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334010</wp:posOffset>
            </wp:positionV>
            <wp:extent cx="715391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1460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FORM 10-Q</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91" w:lineRule="exact"/>
        <w:rPr>
          <w:sz w:val="24"/>
          <w:szCs w:val="24"/>
          <w:color w:val="auto"/>
        </w:rPr>
      </w:pPr>
    </w:p>
    <w:p>
      <w:pPr>
        <w:ind w:left="240" w:hanging="23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96" w:lineRule="exact"/>
        <w:rPr>
          <w:sz w:val="24"/>
          <w:szCs w:val="24"/>
          <w:color w:val="auto"/>
        </w:rPr>
      </w:pPr>
    </w:p>
    <w:p>
      <w:pPr>
        <w:spacing w:after="0"/>
        <w:rPr>
          <w:sz w:val="20"/>
          <w:szCs w:val="20"/>
          <w:color w:val="auto"/>
        </w:rPr>
      </w:pPr>
      <w:r>
        <w:rPr>
          <w:rFonts w:ascii="Arial" w:cs="Arial" w:eastAsia="Arial" w:hAnsi="Arial"/>
          <w:sz w:val="15"/>
          <w:szCs w:val="15"/>
          <w:color w:val="auto"/>
        </w:rPr>
        <w:t>For the quarterly period ended June 30, 2021</w:t>
      </w:r>
    </w:p>
    <w:p>
      <w:pPr>
        <w:spacing w:after="0" w:line="100" w:lineRule="exact"/>
        <w:rPr>
          <w:sz w:val="24"/>
          <w:szCs w:val="24"/>
          <w:color w:val="auto"/>
        </w:rPr>
      </w:pPr>
    </w:p>
    <w:p>
      <w:pPr>
        <w:spacing w:after="0"/>
        <w:rPr>
          <w:sz w:val="20"/>
          <w:szCs w:val="20"/>
          <w:color w:val="auto"/>
        </w:rPr>
      </w:pPr>
      <w:r>
        <w:rPr>
          <w:rFonts w:ascii="Arial" w:cs="Arial" w:eastAsia="Arial" w:hAnsi="Arial"/>
          <w:sz w:val="15"/>
          <w:szCs w:val="15"/>
          <w:color w:val="auto"/>
        </w:rPr>
        <w:t>OR</w:t>
      </w:r>
    </w:p>
    <w:p>
      <w:pPr>
        <w:spacing w:after="0" w:line="114" w:lineRule="exact"/>
        <w:rPr>
          <w:sz w:val="24"/>
          <w:szCs w:val="24"/>
          <w:color w:val="auto"/>
        </w:rPr>
      </w:pPr>
    </w:p>
    <w:p>
      <w:pPr>
        <w:ind w:left="400" w:hanging="39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40" w:lineRule="exact"/>
        <w:rPr>
          <w:sz w:val="24"/>
          <w:szCs w:val="24"/>
          <w:color w:val="auto"/>
        </w:rPr>
      </w:pPr>
    </w:p>
    <w:p>
      <w:pPr>
        <w:ind w:left="400"/>
        <w:spacing w:after="0"/>
        <w:rPr>
          <w:sz w:val="20"/>
          <w:szCs w:val="20"/>
          <w:color w:val="auto"/>
        </w:rPr>
      </w:pPr>
      <w:r>
        <w:rPr>
          <w:rFonts w:ascii="Arial" w:cs="Arial" w:eastAsia="Arial" w:hAnsi="Arial"/>
          <w:sz w:val="15"/>
          <w:szCs w:val="15"/>
          <w:color w:val="auto"/>
        </w:rPr>
        <w:t>For the transition period from: ____________________ to ____________________</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Commission File No. 1-13219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OCWEN FINANCIAL CORPORATION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Borders>
              <w:bottom w:val="single" w:sz="8" w:color="auto"/>
            </w:tcBorders>
          </w:tcPr>
          <w:p>
            <w:pPr>
              <w:jc w:val="center"/>
              <w:ind w:left="1164"/>
              <w:spacing w:after="0"/>
              <w:rPr>
                <w:sz w:val="20"/>
                <w:szCs w:val="20"/>
                <w:color w:val="auto"/>
              </w:rPr>
            </w:pPr>
            <w:r>
              <w:rPr>
                <w:rFonts w:ascii="Arial" w:cs="Arial" w:eastAsia="Arial" w:hAnsi="Arial"/>
                <w:sz w:val="15"/>
                <w:szCs w:val="15"/>
                <w:b w:val="1"/>
                <w:bCs w:val="1"/>
                <w:color w:val="auto"/>
                <w:w w:val="95"/>
              </w:rPr>
              <w:t>Florida</w:t>
            </w:r>
          </w:p>
        </w:tc>
        <w:tc>
          <w:tcPr>
            <w:tcW w:w="1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b w:val="1"/>
                <w:bCs w:val="1"/>
                <w:color w:val="auto"/>
              </w:rPr>
              <w:t>65-0039856</w:t>
            </w:r>
          </w:p>
        </w:tc>
      </w:tr>
      <w:tr>
        <w:trPr>
          <w:trHeight w:val="184"/>
        </w:trPr>
        <w:tc>
          <w:tcPr>
            <w:tcW w:w="7400" w:type="dxa"/>
            <w:vAlign w:val="bottom"/>
            <w:gridSpan w:val="6"/>
          </w:tcPr>
          <w:p>
            <w:pPr>
              <w:jc w:val="center"/>
              <w:ind w:right="2300"/>
              <w:spacing w:after="0"/>
              <w:rPr>
                <w:sz w:val="20"/>
                <w:szCs w:val="20"/>
                <w:color w:val="auto"/>
              </w:rPr>
            </w:pPr>
            <w:r>
              <w:rPr>
                <w:rFonts w:ascii="Arial" w:cs="Arial" w:eastAsia="Arial" w:hAnsi="Arial"/>
                <w:sz w:val="15"/>
                <w:szCs w:val="15"/>
                <w:color w:val="auto"/>
                <w:w w:val="93"/>
              </w:rPr>
              <w:t>(State or other jurisdiction of incorporation or organization)</w:t>
            </w:r>
          </w:p>
        </w:tc>
        <w:tc>
          <w:tcPr>
            <w:tcW w:w="3840" w:type="dxa"/>
            <w:vAlign w:val="bottom"/>
          </w:tcPr>
          <w:p>
            <w:pPr>
              <w:jc w:val="center"/>
              <w:ind w:right="1204"/>
              <w:spacing w:after="0"/>
              <w:rPr>
                <w:sz w:val="20"/>
                <w:szCs w:val="20"/>
                <w:color w:val="auto"/>
              </w:rPr>
            </w:pPr>
            <w:r>
              <w:rPr>
                <w:rFonts w:ascii="Arial" w:cs="Arial" w:eastAsia="Arial" w:hAnsi="Arial"/>
                <w:sz w:val="15"/>
                <w:szCs w:val="15"/>
                <w:color w:val="auto"/>
                <w:w w:val="95"/>
              </w:rPr>
              <w:t>(I.R.S. Employer Identification No.)</w:t>
            </w:r>
          </w:p>
        </w:tc>
      </w:tr>
      <w:tr>
        <w:trPr>
          <w:trHeight w:val="227"/>
        </w:trPr>
        <w:tc>
          <w:tcPr>
            <w:tcW w:w="3880" w:type="dxa"/>
            <w:vAlign w:val="bottom"/>
          </w:tcPr>
          <w:p>
            <w:pPr>
              <w:jc w:val="center"/>
              <w:ind w:left="1144"/>
              <w:spacing w:after="0"/>
              <w:rPr>
                <w:sz w:val="20"/>
                <w:szCs w:val="20"/>
                <w:color w:val="auto"/>
              </w:rPr>
            </w:pPr>
            <w:r>
              <w:rPr>
                <w:rFonts w:ascii="Arial" w:cs="Arial" w:eastAsia="Arial" w:hAnsi="Arial"/>
                <w:sz w:val="15"/>
                <w:szCs w:val="15"/>
                <w:b w:val="1"/>
                <w:bCs w:val="1"/>
                <w:color w:val="auto"/>
                <w:w w:val="91"/>
              </w:rPr>
              <w:t>1661 Worthington Road, Suite 100</w:t>
            </w: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216"/>
        </w:trPr>
        <w:tc>
          <w:tcPr>
            <w:tcW w:w="38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West Palm Beach, Florida</w:t>
            </w:r>
          </w:p>
        </w:tc>
        <w:tc>
          <w:tcPr>
            <w:tcW w:w="12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2284"/>
              <w:spacing w:after="0"/>
              <w:rPr>
                <w:sz w:val="20"/>
                <w:szCs w:val="20"/>
                <w:color w:val="auto"/>
              </w:rPr>
            </w:pPr>
            <w:r>
              <w:rPr>
                <w:rFonts w:ascii="Arial" w:cs="Arial" w:eastAsia="Arial" w:hAnsi="Arial"/>
                <w:sz w:val="15"/>
                <w:szCs w:val="15"/>
                <w:b w:val="1"/>
                <w:bCs w:val="1"/>
                <w:color w:val="auto"/>
              </w:rPr>
              <w:t>33409</w:t>
            </w:r>
          </w:p>
        </w:tc>
      </w:tr>
      <w:tr>
        <w:trPr>
          <w:trHeight w:val="184"/>
        </w:trPr>
        <w:tc>
          <w:tcPr>
            <w:tcW w:w="3880" w:type="dxa"/>
            <w:vAlign w:val="bottom"/>
          </w:tcPr>
          <w:p>
            <w:pPr>
              <w:jc w:val="center"/>
              <w:ind w:left="1144"/>
              <w:spacing w:after="0"/>
              <w:rPr>
                <w:sz w:val="20"/>
                <w:szCs w:val="20"/>
                <w:color w:val="auto"/>
              </w:rPr>
            </w:pPr>
            <w:r>
              <w:rPr>
                <w:rFonts w:ascii="Arial" w:cs="Arial" w:eastAsia="Arial" w:hAnsi="Arial"/>
                <w:sz w:val="15"/>
                <w:szCs w:val="15"/>
                <w:color w:val="auto"/>
                <w:w w:val="93"/>
              </w:rPr>
              <w:t>(Address of principal executive office)</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40" w:type="dxa"/>
            <w:vAlign w:val="bottom"/>
          </w:tcPr>
          <w:p>
            <w:pPr>
              <w:jc w:val="center"/>
              <w:ind w:right="1204"/>
              <w:spacing w:after="0"/>
              <w:rPr>
                <w:sz w:val="20"/>
                <w:szCs w:val="20"/>
                <w:color w:val="auto"/>
              </w:rPr>
            </w:pPr>
            <w:r>
              <w:rPr>
                <w:rFonts w:ascii="Arial" w:cs="Arial" w:eastAsia="Arial" w:hAnsi="Arial"/>
                <w:sz w:val="15"/>
                <w:szCs w:val="15"/>
                <w:color w:val="auto"/>
                <w:w w:val="95"/>
              </w:rPr>
              <w:t>(Zip Code)</w:t>
            </w:r>
          </w:p>
        </w:tc>
      </w:tr>
      <w:tr>
        <w:trPr>
          <w:trHeight w:val="274"/>
        </w:trPr>
        <w:tc>
          <w:tcPr>
            <w:tcW w:w="3880" w:type="dxa"/>
            <w:vAlign w:val="bottom"/>
          </w:tcPr>
          <w:p>
            <w:pPr>
              <w:spacing w:after="0"/>
              <w:rPr>
                <w:sz w:val="23"/>
                <w:szCs w:val="23"/>
                <w:color w:val="auto"/>
              </w:rPr>
            </w:pPr>
          </w:p>
        </w:tc>
        <w:tc>
          <w:tcPr>
            <w:tcW w:w="2220" w:type="dxa"/>
            <w:vAlign w:val="bottom"/>
            <w:gridSpan w:val="3"/>
          </w:tcPr>
          <w:p>
            <w:pPr>
              <w:jc w:val="center"/>
              <w:ind w:left="1204"/>
              <w:spacing w:after="0"/>
              <w:rPr>
                <w:sz w:val="20"/>
                <w:szCs w:val="20"/>
                <w:color w:val="auto"/>
              </w:rPr>
            </w:pPr>
            <w:r>
              <w:rPr>
                <w:rFonts w:ascii="Arial" w:cs="Arial" w:eastAsia="Arial" w:hAnsi="Arial"/>
                <w:sz w:val="15"/>
                <w:szCs w:val="15"/>
                <w:b w:val="1"/>
                <w:bCs w:val="1"/>
                <w:color w:val="auto"/>
                <w:w w:val="91"/>
              </w:rPr>
              <w:t>(561) 682-8000</w:t>
            </w: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40" w:type="dxa"/>
            <w:vAlign w:val="bottom"/>
          </w:tcPr>
          <w:p>
            <w:pPr>
              <w:spacing w:after="0"/>
              <w:rPr>
                <w:sz w:val="23"/>
                <w:szCs w:val="23"/>
                <w:color w:val="auto"/>
              </w:rPr>
            </w:pPr>
          </w:p>
        </w:tc>
      </w:tr>
      <w:tr>
        <w:trPr>
          <w:trHeight w:val="20"/>
        </w:trPr>
        <w:tc>
          <w:tcPr>
            <w:tcW w:w="38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4"/>
        </w:trPr>
        <w:tc>
          <w:tcPr>
            <w:tcW w:w="3880" w:type="dxa"/>
            <w:vAlign w:val="bottom"/>
          </w:tcPr>
          <w:p>
            <w:pPr>
              <w:spacing w:after="0"/>
              <w:rPr>
                <w:sz w:val="16"/>
                <w:szCs w:val="16"/>
                <w:color w:val="auto"/>
              </w:rPr>
            </w:pPr>
          </w:p>
        </w:tc>
        <w:tc>
          <w:tcPr>
            <w:tcW w:w="3520" w:type="dxa"/>
            <w:vAlign w:val="bottom"/>
            <w:gridSpan w:val="5"/>
          </w:tcPr>
          <w:p>
            <w:pPr>
              <w:jc w:val="center"/>
              <w:ind w:right="40"/>
              <w:spacing w:after="0"/>
              <w:rPr>
                <w:sz w:val="20"/>
                <w:szCs w:val="20"/>
                <w:color w:val="auto"/>
              </w:rPr>
            </w:pPr>
            <w:r>
              <w:rPr>
                <w:rFonts w:ascii="Arial" w:cs="Arial" w:eastAsia="Arial" w:hAnsi="Arial"/>
                <w:sz w:val="15"/>
                <w:szCs w:val="15"/>
                <w:color w:val="auto"/>
                <w:w w:val="90"/>
              </w:rPr>
              <w:t>(Registrant’s telephone number, including area code)</w:t>
            </w:r>
          </w:p>
        </w:tc>
        <w:tc>
          <w:tcPr>
            <w:tcW w:w="3840" w:type="dxa"/>
            <w:vAlign w:val="bottom"/>
          </w:tcPr>
          <w:p>
            <w:pPr>
              <w:spacing w:after="0"/>
              <w:rPr>
                <w:sz w:val="16"/>
                <w:szCs w:val="16"/>
                <w:color w:val="auto"/>
              </w:rPr>
            </w:pPr>
          </w:p>
        </w:tc>
      </w:tr>
      <w:tr>
        <w:trPr>
          <w:trHeight w:val="318"/>
        </w:trPr>
        <w:tc>
          <w:tcPr>
            <w:tcW w:w="3880" w:type="dxa"/>
            <w:vAlign w:val="bottom"/>
          </w:tcPr>
          <w:p>
            <w:pPr>
              <w:jc w:val="right"/>
              <w:ind w:right="324"/>
              <w:spacing w:after="0"/>
              <w:rPr>
                <w:sz w:val="20"/>
                <w:szCs w:val="20"/>
                <w:color w:val="auto"/>
              </w:rPr>
            </w:pPr>
            <w:r>
              <w:rPr>
                <w:rFonts w:ascii="Arial" w:cs="Arial" w:eastAsia="Arial" w:hAnsi="Arial"/>
                <w:sz w:val="15"/>
                <w:szCs w:val="15"/>
                <w:color w:val="auto"/>
                <w:w w:val="90"/>
              </w:rPr>
              <w:t>Securities registered pursuant to Section 12(b) of the Act:</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84"/>
        </w:trPr>
        <w:tc>
          <w:tcPr>
            <w:tcW w:w="3880" w:type="dxa"/>
            <w:vAlign w:val="bottom"/>
          </w:tcPr>
          <w:p>
            <w:pPr>
              <w:jc w:val="right"/>
              <w:ind w:right="1064"/>
              <w:spacing w:after="0"/>
              <w:rPr>
                <w:sz w:val="20"/>
                <w:szCs w:val="20"/>
                <w:color w:val="auto"/>
              </w:rPr>
            </w:pPr>
            <w:r>
              <w:rPr>
                <w:rFonts w:ascii="Arial" w:cs="Arial" w:eastAsia="Arial" w:hAnsi="Arial"/>
                <w:sz w:val="15"/>
                <w:szCs w:val="15"/>
                <w:b w:val="1"/>
                <w:bCs w:val="1"/>
                <w:color w:val="auto"/>
              </w:rPr>
              <w:t>Title of each class</w:t>
            </w:r>
          </w:p>
        </w:tc>
        <w:tc>
          <w:tcPr>
            <w:tcW w:w="3520" w:type="dxa"/>
            <w:vAlign w:val="bottom"/>
            <w:gridSpan w:val="5"/>
          </w:tcPr>
          <w:p>
            <w:pPr>
              <w:jc w:val="center"/>
              <w:ind w:right="40"/>
              <w:spacing w:after="0"/>
              <w:rPr>
                <w:sz w:val="20"/>
                <w:szCs w:val="20"/>
                <w:color w:val="auto"/>
              </w:rPr>
            </w:pPr>
            <w:r>
              <w:rPr>
                <w:rFonts w:ascii="Arial" w:cs="Arial" w:eastAsia="Arial" w:hAnsi="Arial"/>
                <w:sz w:val="15"/>
                <w:szCs w:val="15"/>
                <w:b w:val="1"/>
                <w:bCs w:val="1"/>
                <w:color w:val="auto"/>
                <w:w w:val="91"/>
              </w:rPr>
              <w:t>Trading Symbol(s)</w:t>
            </w:r>
          </w:p>
        </w:tc>
        <w:tc>
          <w:tcPr>
            <w:tcW w:w="3840" w:type="dxa"/>
            <w:vAlign w:val="bottom"/>
          </w:tcPr>
          <w:p>
            <w:pPr>
              <w:jc w:val="center"/>
              <w:ind w:right="404"/>
              <w:spacing w:after="0"/>
              <w:rPr>
                <w:sz w:val="20"/>
                <w:szCs w:val="20"/>
                <w:color w:val="auto"/>
              </w:rPr>
            </w:pPr>
            <w:r>
              <w:rPr>
                <w:rFonts w:ascii="Arial" w:cs="Arial" w:eastAsia="Arial" w:hAnsi="Arial"/>
                <w:sz w:val="15"/>
                <w:szCs w:val="15"/>
                <w:b w:val="1"/>
                <w:bCs w:val="1"/>
                <w:color w:val="auto"/>
                <w:w w:val="88"/>
              </w:rPr>
              <w:t>Name of each exchange on which registered</w:t>
            </w:r>
          </w:p>
        </w:tc>
      </w:tr>
      <w:tr>
        <w:trPr>
          <w:trHeight w:val="193"/>
        </w:trPr>
        <w:tc>
          <w:tcPr>
            <w:tcW w:w="3880" w:type="dxa"/>
            <w:vAlign w:val="bottom"/>
          </w:tcPr>
          <w:p>
            <w:pPr>
              <w:jc w:val="right"/>
              <w:ind w:right="644"/>
              <w:spacing w:after="0"/>
              <w:rPr>
                <w:sz w:val="20"/>
                <w:szCs w:val="20"/>
                <w:color w:val="auto"/>
              </w:rPr>
            </w:pPr>
            <w:r>
              <w:rPr>
                <w:rFonts w:ascii="Arial" w:cs="Arial" w:eastAsia="Arial" w:hAnsi="Arial"/>
                <w:sz w:val="15"/>
                <w:szCs w:val="15"/>
                <w:color w:val="auto"/>
              </w:rPr>
              <w:t>Common Stock, $0.01 Par Value</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gridSpan w:val="3"/>
          </w:tcPr>
          <w:p>
            <w:pPr>
              <w:jc w:val="center"/>
              <w:ind w:right="1320"/>
              <w:spacing w:after="0"/>
              <w:rPr>
                <w:sz w:val="20"/>
                <w:szCs w:val="20"/>
                <w:color w:val="auto"/>
              </w:rPr>
            </w:pPr>
            <w:r>
              <w:rPr>
                <w:rFonts w:ascii="Arial" w:cs="Arial" w:eastAsia="Arial" w:hAnsi="Arial"/>
                <w:sz w:val="15"/>
                <w:szCs w:val="15"/>
                <w:color w:val="auto"/>
                <w:w w:val="95"/>
              </w:rPr>
              <w:t>OCN</w:t>
            </w:r>
          </w:p>
        </w:tc>
        <w:tc>
          <w:tcPr>
            <w:tcW w:w="3840" w:type="dxa"/>
            <w:vAlign w:val="bottom"/>
          </w:tcPr>
          <w:p>
            <w:pPr>
              <w:jc w:val="center"/>
              <w:ind w:right="404"/>
              <w:spacing w:after="0"/>
              <w:rPr>
                <w:sz w:val="20"/>
                <w:szCs w:val="20"/>
                <w:color w:val="auto"/>
              </w:rPr>
            </w:pPr>
            <w:r>
              <w:rPr>
                <w:rFonts w:ascii="Arial" w:cs="Arial" w:eastAsia="Arial" w:hAnsi="Arial"/>
                <w:sz w:val="15"/>
                <w:szCs w:val="15"/>
                <w:color w:val="auto"/>
                <w:w w:val="92"/>
              </w:rPr>
              <w:t>New York Stock Exchange</w:t>
            </w:r>
          </w:p>
        </w:tc>
      </w:tr>
    </w:tbl>
    <w:p>
      <w:pPr>
        <w:spacing w:after="0" w:line="161" w:lineRule="exact"/>
        <w:rPr>
          <w:sz w:val="24"/>
          <w:szCs w:val="24"/>
          <w:color w:val="auto"/>
        </w:rPr>
      </w:pPr>
    </w:p>
    <w:p>
      <w:pPr>
        <w:ind w:right="100"/>
        <w:spacing w:after="0" w:line="31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3" w:lineRule="exact"/>
        <w:rPr>
          <w:sz w:val="24"/>
          <w:szCs w:val="24"/>
          <w:color w:val="auto"/>
        </w:rPr>
      </w:pPr>
    </w:p>
    <w:p>
      <w:pPr>
        <w:ind w:right="80"/>
        <w:spacing w:after="0" w:line="27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4" w:lineRule="exact"/>
        <w:rPr>
          <w:sz w:val="24"/>
          <w:szCs w:val="24"/>
          <w:color w:val="auto"/>
        </w:rPr>
      </w:pPr>
    </w:p>
    <w:p>
      <w:pPr>
        <w:ind w:right="160"/>
        <w:spacing w:after="0" w:line="31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1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400" w:type="dxa"/>
            <w:vAlign w:val="bottom"/>
          </w:tcPr>
          <w:p>
            <w:pPr>
              <w:ind w:left="174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3780" w:type="dxa"/>
            <w:vAlign w:val="bottom"/>
          </w:tcPr>
          <w:p>
            <w:pPr>
              <w:ind w:left="520"/>
              <w:spacing w:after="0"/>
              <w:rPr>
                <w:sz w:val="20"/>
                <w:szCs w:val="20"/>
                <w:color w:val="auto"/>
              </w:rPr>
            </w:pPr>
            <w:r>
              <w:rPr>
                <w:rFonts w:ascii="Arial" w:cs="Arial" w:eastAsia="Arial" w:hAnsi="Arial"/>
                <w:sz w:val="15"/>
                <w:szCs w:val="15"/>
                <w:color w:val="auto"/>
              </w:rPr>
              <w:t>Accelerated filer</w:t>
            </w:r>
          </w:p>
        </w:tc>
        <w:tc>
          <w:tcPr>
            <w:tcW w:w="1740" w:type="dxa"/>
            <w:vAlign w:val="bottom"/>
          </w:tcPr>
          <w:p>
            <w:pPr>
              <w:ind w:left="1600"/>
              <w:spacing w:after="0" w:line="151" w:lineRule="exact"/>
              <w:rPr>
                <w:sz w:val="20"/>
                <w:szCs w:val="20"/>
                <w:color w:val="auto"/>
              </w:rPr>
            </w:pPr>
            <w:r>
              <w:rPr>
                <w:rFonts w:ascii="MS PGothic" w:cs="MS PGothic" w:eastAsia="MS PGothic" w:hAnsi="MS PGothic"/>
                <w:sz w:val="15"/>
                <w:szCs w:val="15"/>
                <w:color w:val="auto"/>
                <w:highlight w:val="black"/>
                <w:w w:val="79"/>
              </w:rPr>
              <w:t>☒</w:t>
            </w:r>
          </w:p>
        </w:tc>
      </w:tr>
      <w:tr>
        <w:trPr>
          <w:trHeight w:val="193"/>
        </w:trPr>
        <w:tc>
          <w:tcPr>
            <w:tcW w:w="3120" w:type="dxa"/>
            <w:vAlign w:val="bottom"/>
          </w:tcPr>
          <w:p>
            <w:pPr>
              <w:spacing w:after="0"/>
              <w:rPr>
                <w:sz w:val="20"/>
                <w:szCs w:val="20"/>
                <w:color w:val="auto"/>
              </w:rPr>
            </w:pPr>
            <w:r>
              <w:rPr>
                <w:rFonts w:ascii="Arial" w:cs="Arial" w:eastAsia="Arial" w:hAnsi="Arial"/>
                <w:sz w:val="15"/>
                <w:szCs w:val="15"/>
                <w:color w:val="auto"/>
              </w:rPr>
              <w:t>Non-accelerated filer</w:t>
            </w:r>
          </w:p>
        </w:tc>
        <w:tc>
          <w:tcPr>
            <w:tcW w:w="2400" w:type="dxa"/>
            <w:vAlign w:val="bottom"/>
          </w:tcPr>
          <w:p>
            <w:pPr>
              <w:ind w:left="174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3780" w:type="dxa"/>
            <w:vAlign w:val="bottom"/>
          </w:tcPr>
          <w:p>
            <w:pPr>
              <w:ind w:left="520"/>
              <w:spacing w:after="0"/>
              <w:rPr>
                <w:sz w:val="20"/>
                <w:szCs w:val="20"/>
                <w:color w:val="auto"/>
              </w:rPr>
            </w:pPr>
            <w:r>
              <w:rPr>
                <w:rFonts w:ascii="Arial" w:cs="Arial" w:eastAsia="Arial" w:hAnsi="Arial"/>
                <w:sz w:val="15"/>
                <w:szCs w:val="15"/>
                <w:color w:val="auto"/>
              </w:rPr>
              <w:t>Smaller reporting company</w:t>
            </w:r>
          </w:p>
        </w:tc>
        <w:tc>
          <w:tcPr>
            <w:tcW w:w="1740" w:type="dxa"/>
            <w:vAlign w:val="bottom"/>
          </w:tcPr>
          <w:p>
            <w:pPr>
              <w:ind w:left="1600"/>
              <w:spacing w:after="0" w:line="151" w:lineRule="exact"/>
              <w:rPr>
                <w:sz w:val="20"/>
                <w:szCs w:val="20"/>
                <w:color w:val="auto"/>
              </w:rPr>
            </w:pPr>
            <w:r>
              <w:rPr>
                <w:rFonts w:ascii="MS PGothic" w:cs="MS PGothic" w:eastAsia="MS PGothic" w:hAnsi="MS PGothic"/>
                <w:sz w:val="15"/>
                <w:szCs w:val="15"/>
                <w:color w:val="auto"/>
                <w:highlight w:val="black"/>
                <w:w w:val="79"/>
              </w:rPr>
              <w:t>☒</w:t>
            </w:r>
          </w:p>
        </w:tc>
      </w:tr>
      <w:tr>
        <w:trPr>
          <w:trHeight w:val="238"/>
        </w:trPr>
        <w:tc>
          <w:tcPr>
            <w:tcW w:w="3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780" w:type="dxa"/>
            <w:vAlign w:val="bottom"/>
          </w:tcPr>
          <w:p>
            <w:pPr>
              <w:ind w:left="520"/>
              <w:spacing w:after="0"/>
              <w:rPr>
                <w:sz w:val="20"/>
                <w:szCs w:val="20"/>
                <w:color w:val="auto"/>
              </w:rPr>
            </w:pPr>
            <w:r>
              <w:rPr>
                <w:rFonts w:ascii="Arial" w:cs="Arial" w:eastAsia="Arial" w:hAnsi="Arial"/>
                <w:sz w:val="15"/>
                <w:szCs w:val="15"/>
                <w:color w:val="auto"/>
              </w:rPr>
              <w:t>Emerging growth company</w:t>
            </w:r>
          </w:p>
        </w:tc>
        <w:tc>
          <w:tcPr>
            <w:tcW w:w="1740" w:type="dxa"/>
            <w:vAlign w:val="bottom"/>
          </w:tcPr>
          <w:p>
            <w:pPr>
              <w:ind w:left="1600"/>
              <w:spacing w:after="0" w:line="151" w:lineRule="exact"/>
              <w:rPr>
                <w:sz w:val="20"/>
                <w:szCs w:val="20"/>
                <w:color w:val="auto"/>
              </w:rPr>
            </w:pPr>
            <w:r>
              <w:rPr>
                <w:rFonts w:ascii="MS PGothic" w:cs="MS PGothic" w:eastAsia="MS PGothic" w:hAnsi="MS PGothic"/>
                <w:sz w:val="15"/>
                <w:szCs w:val="15"/>
                <w:color w:val="auto"/>
                <w:highlight w:val="black"/>
                <w:w w:val="79"/>
              </w:rPr>
              <w:t>☐</w:t>
            </w:r>
          </w:p>
        </w:tc>
      </w:tr>
    </w:tbl>
    <w:p>
      <w:pPr>
        <w:spacing w:after="0" w:line="132" w:lineRule="exact"/>
        <w:rPr>
          <w:sz w:val="24"/>
          <w:szCs w:val="24"/>
          <w:color w:val="auto"/>
        </w:rPr>
      </w:pPr>
    </w:p>
    <w:p>
      <w:pPr>
        <w:ind w:right="40"/>
        <w:spacing w:after="0" w:line="27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5" w:lineRule="exact"/>
        <w:rPr>
          <w:sz w:val="24"/>
          <w:szCs w:val="24"/>
          <w:color w:val="auto"/>
        </w:rPr>
      </w:pPr>
    </w:p>
    <w:p>
      <w:pPr>
        <w:ind w:right="428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 Number of shares of common stock outstanding as of July 30, 2021: 9,189,030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493395</wp:posOffset>
            </wp:positionV>
            <wp:extent cx="71793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93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5391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OCWEN FINANCIAL CORPORATION</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460" w:type="dxa"/>
            <w:vAlign w:val="bottom"/>
            <w:gridSpan w:val="2"/>
            <w:vMerge w:val="restart"/>
          </w:tcPr>
          <w:p>
            <w:pPr>
              <w:spacing w:after="0"/>
              <w:rPr>
                <w:rFonts w:ascii="Arial" w:cs="Arial" w:eastAsia="Arial" w:hAnsi="Arial"/>
                <w:sz w:val="15"/>
                <w:szCs w:val="15"/>
                <w:b w:val="1"/>
                <w:bCs w:val="1"/>
                <w:color w:val="auto"/>
              </w:rPr>
            </w:pPr>
            <w:hyperlink w:anchor="page4">
              <w:r>
                <w:rPr>
                  <w:rFonts w:ascii="Arial" w:cs="Arial" w:eastAsia="Arial" w:hAnsi="Arial"/>
                  <w:sz w:val="15"/>
                  <w:szCs w:val="15"/>
                  <w:b w:val="1"/>
                  <w:bCs w:val="1"/>
                  <w:color w:val="auto"/>
                </w:rPr>
                <w:t>PART I - FINANCIAL INFORMATION</w:t>
              </w:r>
            </w:hyperlink>
          </w:p>
        </w:tc>
        <w:tc>
          <w:tcPr>
            <w:tcW w:w="800" w:type="dxa"/>
            <w:vAlign w:val="bottom"/>
            <w:gridSpan w:val="2"/>
          </w:tcPr>
          <w:p>
            <w:pPr>
              <w:ind w:left="200"/>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72"/>
        </w:trPr>
        <w:tc>
          <w:tcPr>
            <w:tcW w:w="10460" w:type="dxa"/>
            <w:vAlign w:val="bottom"/>
            <w:gridSpan w:val="2"/>
            <w:vMerge w:val="continue"/>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820" w:type="dxa"/>
            <w:vAlign w:val="bottom"/>
          </w:tcPr>
          <w:p>
            <w:pPr>
              <w:spacing w:after="0"/>
              <w:rPr>
                <w:rFonts w:ascii="Arial" w:cs="Arial" w:eastAsia="Arial" w:hAnsi="Arial"/>
                <w:sz w:val="15"/>
                <w:szCs w:val="15"/>
                <w:color w:val="auto"/>
              </w:rPr>
            </w:pPr>
            <w:hyperlink w:anchor="page4">
              <w:r>
                <w:rPr>
                  <w:rFonts w:ascii="Arial" w:cs="Arial" w:eastAsia="Arial" w:hAnsi="Arial"/>
                  <w:sz w:val="15"/>
                  <w:szCs w:val="15"/>
                  <w:color w:val="auto"/>
                </w:rPr>
                <w:t>Item 1.</w:t>
              </w:r>
            </w:hyperlink>
          </w:p>
        </w:tc>
        <w:tc>
          <w:tcPr>
            <w:tcW w:w="9640" w:type="dxa"/>
            <w:vAlign w:val="bottom"/>
          </w:tcPr>
          <w:p>
            <w:pPr>
              <w:ind w:left="200"/>
              <w:spacing w:after="0"/>
              <w:rPr>
                <w:rFonts w:ascii="Arial" w:cs="Arial" w:eastAsia="Arial" w:hAnsi="Arial"/>
                <w:sz w:val="15"/>
                <w:szCs w:val="15"/>
                <w:color w:val="auto"/>
              </w:rPr>
            </w:pPr>
            <w:hyperlink w:anchor="page4">
              <w:r>
                <w:rPr>
                  <w:rFonts w:ascii="Arial" w:cs="Arial" w:eastAsia="Arial" w:hAnsi="Arial"/>
                  <w:sz w:val="15"/>
                  <w:szCs w:val="15"/>
                  <w:color w:val="auto"/>
                </w:rPr>
                <w:t>Unaudited Consolidated Financial Statements</w:t>
              </w:r>
            </w:hyperlink>
          </w:p>
        </w:tc>
        <w:tc>
          <w:tcPr>
            <w:tcW w:w="780" w:type="dxa"/>
            <w:vAlign w:val="bottom"/>
          </w:tcPr>
          <w:p>
            <w:pPr>
              <w:jc w:val="right"/>
              <w:spacing w:after="0"/>
              <w:rPr>
                <w:rFonts w:ascii="Arial" w:cs="Arial" w:eastAsia="Arial" w:hAnsi="Arial"/>
                <w:sz w:val="15"/>
                <w:szCs w:val="15"/>
                <w:color w:val="auto"/>
              </w:rPr>
            </w:pPr>
            <w:hyperlink w:anchor="page4">
              <w:r>
                <w:rPr>
                  <w:rFonts w:ascii="Arial" w:cs="Arial" w:eastAsia="Arial" w:hAnsi="Arial"/>
                  <w:sz w:val="15"/>
                  <w:szCs w:val="15"/>
                  <w:color w:val="auto"/>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4">
              <w:r>
                <w:rPr>
                  <w:rFonts w:ascii="Arial" w:cs="Arial" w:eastAsia="Arial" w:hAnsi="Arial"/>
                  <w:sz w:val="15"/>
                  <w:szCs w:val="15"/>
                  <w:color w:val="auto"/>
                </w:rPr>
                <w:t>Consolidated Balance Sheets at June 30, 2021 and December 31, 2020</w:t>
              </w:r>
            </w:hyperlink>
          </w:p>
        </w:tc>
        <w:tc>
          <w:tcPr>
            <w:tcW w:w="780" w:type="dxa"/>
            <w:vAlign w:val="bottom"/>
          </w:tcPr>
          <w:p>
            <w:pPr>
              <w:jc w:val="right"/>
              <w:spacing w:after="0"/>
              <w:rPr>
                <w:rFonts w:ascii="Arial" w:cs="Arial" w:eastAsia="Arial" w:hAnsi="Arial"/>
                <w:sz w:val="15"/>
                <w:szCs w:val="15"/>
                <w:color w:val="auto"/>
              </w:rPr>
            </w:pPr>
            <w:hyperlink w:anchor="page4">
              <w:r>
                <w:rPr>
                  <w:rFonts w:ascii="Arial" w:cs="Arial" w:eastAsia="Arial" w:hAnsi="Arial"/>
                  <w:sz w:val="15"/>
                  <w:szCs w:val="15"/>
                  <w:color w:val="auto"/>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5">
              <w:r>
                <w:rPr>
                  <w:rFonts w:ascii="Arial" w:cs="Arial" w:eastAsia="Arial" w:hAnsi="Arial"/>
                  <w:sz w:val="15"/>
                  <w:szCs w:val="15"/>
                  <w:color w:val="auto"/>
                </w:rPr>
                <w:t xml:space="preserve">Consolidated Statements of Operations for the Three and Six Months Ended June 30, 2021 and </w:t>
              </w:r>
            </w:hyperlink>
            <w:r>
              <w:rPr>
                <w:rFonts w:ascii="Arial" w:cs="Arial" w:eastAsia="Arial" w:hAnsi="Arial"/>
                <w:sz w:val="15"/>
                <w:szCs w:val="15"/>
                <w:color w:val="auto"/>
              </w:rPr>
              <w:t>2020</w:t>
            </w:r>
          </w:p>
        </w:tc>
        <w:tc>
          <w:tcPr>
            <w:tcW w:w="780" w:type="dxa"/>
            <w:vAlign w:val="bottom"/>
          </w:tcPr>
          <w:p>
            <w:pPr>
              <w:jc w:val="right"/>
              <w:spacing w:after="0"/>
              <w:rPr>
                <w:rFonts w:ascii="Arial" w:cs="Arial" w:eastAsia="Arial" w:hAnsi="Arial"/>
                <w:sz w:val="15"/>
                <w:szCs w:val="15"/>
                <w:color w:val="auto"/>
              </w:rPr>
            </w:pPr>
            <w:hyperlink w:anchor="page5">
              <w:r>
                <w:rPr>
                  <w:rFonts w:ascii="Arial" w:cs="Arial" w:eastAsia="Arial" w:hAnsi="Arial"/>
                  <w:sz w:val="15"/>
                  <w:szCs w:val="15"/>
                  <w:color w:val="auto"/>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6">
              <w:r>
                <w:rPr>
                  <w:rFonts w:ascii="Arial" w:cs="Arial" w:eastAsia="Arial" w:hAnsi="Arial"/>
                  <w:sz w:val="15"/>
                  <w:szCs w:val="15"/>
                  <w:color w:val="auto"/>
                </w:rPr>
                <w:t>Consolidated Statements of Comprehensive Income (Loss) for the Three and Six Months Ended June 30, 2021 and 2020</w:t>
              </w:r>
            </w:hyperlink>
          </w:p>
        </w:tc>
        <w:tc>
          <w:tcPr>
            <w:tcW w:w="780" w:type="dxa"/>
            <w:vAlign w:val="bottom"/>
          </w:tcPr>
          <w:p>
            <w:pPr>
              <w:jc w:val="right"/>
              <w:spacing w:after="0"/>
              <w:rPr>
                <w:rFonts w:ascii="Arial" w:cs="Arial" w:eastAsia="Arial" w:hAnsi="Arial"/>
                <w:sz w:val="15"/>
                <w:szCs w:val="15"/>
                <w:color w:val="auto"/>
              </w:rPr>
            </w:pPr>
            <w:hyperlink w:anchor="page6">
              <w:r>
                <w:rPr>
                  <w:rFonts w:ascii="Arial" w:cs="Arial" w:eastAsia="Arial" w:hAnsi="Arial"/>
                  <w:sz w:val="15"/>
                  <w:szCs w:val="15"/>
                  <w:color w:val="auto"/>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7">
              <w:r>
                <w:rPr>
                  <w:rFonts w:ascii="Arial" w:cs="Arial" w:eastAsia="Arial" w:hAnsi="Arial"/>
                  <w:sz w:val="15"/>
                  <w:szCs w:val="15"/>
                  <w:color w:val="auto"/>
                </w:rPr>
                <w:t>Consolidated Statements of Changes in Equity for the Three and Six Months Ended June 30, 2021 and 2020</w:t>
              </w:r>
            </w:hyperlink>
          </w:p>
        </w:tc>
        <w:tc>
          <w:tcPr>
            <w:tcW w:w="780" w:type="dxa"/>
            <w:vAlign w:val="bottom"/>
          </w:tcPr>
          <w:p>
            <w:pPr>
              <w:jc w:val="right"/>
              <w:spacing w:after="0"/>
              <w:rPr>
                <w:rFonts w:ascii="Arial" w:cs="Arial" w:eastAsia="Arial" w:hAnsi="Arial"/>
                <w:sz w:val="15"/>
                <w:szCs w:val="15"/>
                <w:color w:val="auto"/>
              </w:rPr>
            </w:pPr>
            <w:hyperlink w:anchor="page7">
              <w:r>
                <w:rPr>
                  <w:rFonts w:ascii="Arial" w:cs="Arial" w:eastAsia="Arial" w:hAnsi="Arial"/>
                  <w:sz w:val="15"/>
                  <w:szCs w:val="15"/>
                  <w:color w:val="auto"/>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9">
              <w:r>
                <w:rPr>
                  <w:rFonts w:ascii="Arial" w:cs="Arial" w:eastAsia="Arial" w:hAnsi="Arial"/>
                  <w:sz w:val="15"/>
                  <w:szCs w:val="15"/>
                  <w:color w:val="auto"/>
                </w:rPr>
                <w:t xml:space="preserve">Consolidated Statements of Cash Flows for the Six Months Ended June 30, 2021 and </w:t>
              </w:r>
            </w:hyperlink>
            <w:r>
              <w:rPr>
                <w:rFonts w:ascii="Arial" w:cs="Arial" w:eastAsia="Arial" w:hAnsi="Arial"/>
                <w:sz w:val="15"/>
                <w:szCs w:val="15"/>
                <w:color w:val="auto"/>
              </w:rPr>
              <w:t>2020</w:t>
            </w:r>
          </w:p>
        </w:tc>
        <w:tc>
          <w:tcPr>
            <w:tcW w:w="780" w:type="dxa"/>
            <w:vAlign w:val="bottom"/>
          </w:tcPr>
          <w:p>
            <w:pPr>
              <w:jc w:val="right"/>
              <w:spacing w:after="0"/>
              <w:rPr>
                <w:rFonts w:ascii="Arial" w:cs="Arial" w:eastAsia="Arial" w:hAnsi="Arial"/>
                <w:sz w:val="15"/>
                <w:szCs w:val="15"/>
                <w:color w:val="auto"/>
              </w:rPr>
            </w:pPr>
            <w:hyperlink w:anchor="page9">
              <w:r>
                <w:rPr>
                  <w:rFonts w:ascii="Arial" w:cs="Arial" w:eastAsia="Arial" w:hAnsi="Arial"/>
                  <w:sz w:val="15"/>
                  <w:szCs w:val="15"/>
                  <w:color w:val="auto"/>
                </w:rPr>
                <w:t>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9640" w:type="dxa"/>
            <w:vAlign w:val="bottom"/>
          </w:tcPr>
          <w:p>
            <w:pPr>
              <w:ind w:left="200"/>
              <w:spacing w:after="0"/>
              <w:rPr>
                <w:rFonts w:ascii="Arial" w:cs="Arial" w:eastAsia="Arial" w:hAnsi="Arial"/>
                <w:sz w:val="15"/>
                <w:szCs w:val="15"/>
                <w:color w:val="auto"/>
              </w:rPr>
            </w:pPr>
            <w:hyperlink w:anchor="page11">
              <w:r>
                <w:rPr>
                  <w:rFonts w:ascii="Arial" w:cs="Arial" w:eastAsia="Arial" w:hAnsi="Arial"/>
                  <w:sz w:val="15"/>
                  <w:szCs w:val="15"/>
                  <w:color w:val="auto"/>
                </w:rPr>
                <w:t>Notes to Unaudited Consolidated Financial Statements</w:t>
              </w:r>
            </w:hyperlink>
          </w:p>
        </w:tc>
        <w:tc>
          <w:tcPr>
            <w:tcW w:w="780" w:type="dxa"/>
            <w:vAlign w:val="bottom"/>
          </w:tcPr>
          <w:p>
            <w:pPr>
              <w:jc w:val="right"/>
              <w:spacing w:after="0"/>
              <w:rPr>
                <w:rFonts w:ascii="Arial" w:cs="Arial" w:eastAsia="Arial" w:hAnsi="Arial"/>
                <w:sz w:val="15"/>
                <w:szCs w:val="15"/>
                <w:color w:val="auto"/>
              </w:rPr>
            </w:pPr>
            <w:hyperlink w:anchor="page11">
              <w:r>
                <w:rPr>
                  <w:rFonts w:ascii="Arial" w:cs="Arial" w:eastAsia="Arial" w:hAnsi="Arial"/>
                  <w:sz w:val="15"/>
                  <w:szCs w:val="15"/>
                  <w:color w:val="auto"/>
                </w:rPr>
                <w:t>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rFonts w:ascii="Arial" w:cs="Arial" w:eastAsia="Arial" w:hAnsi="Arial"/>
                <w:sz w:val="15"/>
                <w:szCs w:val="15"/>
                <w:color w:val="auto"/>
              </w:rPr>
            </w:pPr>
            <w:hyperlink w:anchor="page58">
              <w:r>
                <w:rPr>
                  <w:rFonts w:ascii="Arial" w:cs="Arial" w:eastAsia="Arial" w:hAnsi="Arial"/>
                  <w:sz w:val="15"/>
                  <w:szCs w:val="15"/>
                  <w:color w:val="auto"/>
                </w:rPr>
                <w:t>Item 2.</w:t>
              </w:r>
            </w:hyperlink>
          </w:p>
        </w:tc>
        <w:tc>
          <w:tcPr>
            <w:tcW w:w="9640" w:type="dxa"/>
            <w:vAlign w:val="bottom"/>
          </w:tcPr>
          <w:p>
            <w:pPr>
              <w:ind w:left="200"/>
              <w:spacing w:after="0"/>
              <w:rPr>
                <w:rFonts w:ascii="Arial" w:cs="Arial" w:eastAsia="Arial" w:hAnsi="Arial"/>
                <w:sz w:val="15"/>
                <w:szCs w:val="15"/>
                <w:color w:val="auto"/>
              </w:rPr>
            </w:pPr>
            <w:hyperlink w:anchor="page58">
              <w:r>
                <w:rPr>
                  <w:rFonts w:ascii="Arial" w:cs="Arial" w:eastAsia="Arial" w:hAnsi="Arial"/>
                  <w:sz w:val="15"/>
                  <w:szCs w:val="15"/>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5"/>
                <w:szCs w:val="15"/>
                <w:color w:val="auto"/>
              </w:rPr>
            </w:pPr>
            <w:hyperlink w:anchor="page58">
              <w:r>
                <w:rPr>
                  <w:rFonts w:ascii="Arial" w:cs="Arial" w:eastAsia="Arial" w:hAnsi="Arial"/>
                  <w:sz w:val="15"/>
                  <w:szCs w:val="15"/>
                  <w:color w:val="auto"/>
                </w:rPr>
                <w:t>56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20" w:type="dxa"/>
            <w:vAlign w:val="bottom"/>
          </w:tcPr>
          <w:p>
            <w:pPr>
              <w:spacing w:after="0"/>
              <w:rPr>
                <w:rFonts w:ascii="Arial" w:cs="Arial" w:eastAsia="Arial" w:hAnsi="Arial"/>
                <w:sz w:val="15"/>
                <w:szCs w:val="15"/>
                <w:color w:val="auto"/>
              </w:rPr>
            </w:pPr>
            <w:hyperlink w:anchor="page100">
              <w:r>
                <w:rPr>
                  <w:rFonts w:ascii="Arial" w:cs="Arial" w:eastAsia="Arial" w:hAnsi="Arial"/>
                  <w:sz w:val="15"/>
                  <w:szCs w:val="15"/>
                  <w:color w:val="auto"/>
                </w:rPr>
                <w:t>Item 3.</w:t>
              </w:r>
            </w:hyperlink>
          </w:p>
        </w:tc>
        <w:tc>
          <w:tcPr>
            <w:tcW w:w="9640" w:type="dxa"/>
            <w:vAlign w:val="bottom"/>
          </w:tcPr>
          <w:p>
            <w:pPr>
              <w:ind w:left="200"/>
              <w:spacing w:after="0"/>
              <w:rPr>
                <w:rFonts w:ascii="Arial" w:cs="Arial" w:eastAsia="Arial" w:hAnsi="Arial"/>
                <w:sz w:val="15"/>
                <w:szCs w:val="15"/>
                <w:color w:val="auto"/>
              </w:rPr>
            </w:pPr>
            <w:hyperlink w:anchor="page100">
              <w:r>
                <w:rPr>
                  <w:rFonts w:ascii="Arial" w:cs="Arial" w:eastAsia="Arial" w:hAnsi="Arial"/>
                  <w:sz w:val="15"/>
                  <w:szCs w:val="15"/>
                  <w:color w:val="auto"/>
                </w:rPr>
                <w:t>Quantitative and Qualitative Disclosures about Market Risk</w:t>
              </w:r>
            </w:hyperlink>
          </w:p>
        </w:tc>
        <w:tc>
          <w:tcPr>
            <w:tcW w:w="780" w:type="dxa"/>
            <w:vAlign w:val="bottom"/>
          </w:tcPr>
          <w:p>
            <w:pPr>
              <w:jc w:val="right"/>
              <w:spacing w:after="0"/>
              <w:rPr>
                <w:rFonts w:ascii="Arial" w:cs="Arial" w:eastAsia="Arial" w:hAnsi="Arial"/>
                <w:sz w:val="15"/>
                <w:szCs w:val="15"/>
                <w:color w:val="auto"/>
              </w:rPr>
            </w:pPr>
            <w:hyperlink w:anchor="page100">
              <w:r>
                <w:rPr>
                  <w:rFonts w:ascii="Arial" w:cs="Arial" w:eastAsia="Arial" w:hAnsi="Arial"/>
                  <w:sz w:val="15"/>
                  <w:szCs w:val="15"/>
                  <w:color w:val="auto"/>
                </w:rPr>
                <w:t>98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20" w:type="dxa"/>
            <w:vAlign w:val="bottom"/>
          </w:tcPr>
          <w:p>
            <w:pPr>
              <w:spacing w:after="0"/>
              <w:rPr>
                <w:rFonts w:ascii="Arial" w:cs="Arial" w:eastAsia="Arial" w:hAnsi="Arial"/>
                <w:sz w:val="15"/>
                <w:szCs w:val="15"/>
                <w:color w:val="auto"/>
              </w:rPr>
            </w:pPr>
            <w:hyperlink w:anchor="page104">
              <w:r>
                <w:rPr>
                  <w:rFonts w:ascii="Arial" w:cs="Arial" w:eastAsia="Arial" w:hAnsi="Arial"/>
                  <w:sz w:val="15"/>
                  <w:szCs w:val="15"/>
                  <w:color w:val="auto"/>
                </w:rPr>
                <w:t>Item 4.</w:t>
              </w:r>
            </w:hyperlink>
          </w:p>
        </w:tc>
        <w:tc>
          <w:tcPr>
            <w:tcW w:w="9640" w:type="dxa"/>
            <w:vAlign w:val="bottom"/>
          </w:tcPr>
          <w:p>
            <w:pPr>
              <w:ind w:left="200"/>
              <w:spacing w:after="0"/>
              <w:rPr>
                <w:rFonts w:ascii="Arial" w:cs="Arial" w:eastAsia="Arial" w:hAnsi="Arial"/>
                <w:sz w:val="15"/>
                <w:szCs w:val="15"/>
                <w:color w:val="auto"/>
              </w:rPr>
            </w:pPr>
            <w:hyperlink w:anchor="page104">
              <w:r>
                <w:rPr>
                  <w:rFonts w:ascii="Arial" w:cs="Arial" w:eastAsia="Arial" w:hAnsi="Arial"/>
                  <w:sz w:val="15"/>
                  <w:szCs w:val="15"/>
                  <w:color w:val="auto"/>
                </w:rPr>
                <w:t>Controls and Procedures</w:t>
              </w:r>
            </w:hyperlink>
          </w:p>
        </w:tc>
        <w:tc>
          <w:tcPr>
            <w:tcW w:w="780" w:type="dxa"/>
            <w:vAlign w:val="bottom"/>
          </w:tcPr>
          <w:p>
            <w:pPr>
              <w:jc w:val="right"/>
              <w:spacing w:after="0"/>
              <w:rPr>
                <w:rFonts w:ascii="Arial" w:cs="Arial" w:eastAsia="Arial" w:hAnsi="Arial"/>
                <w:sz w:val="15"/>
                <w:szCs w:val="15"/>
                <w:color w:val="auto"/>
              </w:rPr>
            </w:pPr>
            <w:hyperlink w:anchor="page104">
              <w:r>
                <w:rPr>
                  <w:rFonts w:ascii="Arial" w:cs="Arial" w:eastAsia="Arial" w:hAnsi="Arial"/>
                  <w:sz w:val="15"/>
                  <w:szCs w:val="15"/>
                  <w:color w:val="auto"/>
                </w:rPr>
                <w:t>102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460" w:type="dxa"/>
            <w:vAlign w:val="bottom"/>
            <w:gridSpan w:val="2"/>
          </w:tcPr>
          <w:p>
            <w:pPr>
              <w:spacing w:after="0"/>
              <w:rPr>
                <w:rFonts w:ascii="Arial" w:cs="Arial" w:eastAsia="Arial" w:hAnsi="Arial"/>
                <w:sz w:val="15"/>
                <w:szCs w:val="15"/>
                <w:b w:val="1"/>
                <w:bCs w:val="1"/>
                <w:color w:val="auto"/>
              </w:rPr>
            </w:pPr>
            <w:hyperlink w:anchor="page105">
              <w:r>
                <w:rPr>
                  <w:rFonts w:ascii="Arial" w:cs="Arial" w:eastAsia="Arial" w:hAnsi="Arial"/>
                  <w:sz w:val="15"/>
                  <w:szCs w:val="15"/>
                  <w:b w:val="1"/>
                  <w:bCs w:val="1"/>
                  <w:color w:val="auto"/>
                </w:rPr>
                <w:t>PART II - OTHER INFORMATION</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20" w:type="dxa"/>
            <w:vAlign w:val="bottom"/>
          </w:tcPr>
          <w:p>
            <w:pPr>
              <w:spacing w:after="0"/>
              <w:rPr>
                <w:rFonts w:ascii="Arial" w:cs="Arial" w:eastAsia="Arial" w:hAnsi="Arial"/>
                <w:sz w:val="15"/>
                <w:szCs w:val="15"/>
                <w:color w:val="auto"/>
              </w:rPr>
            </w:pPr>
            <w:hyperlink w:anchor="page105">
              <w:r>
                <w:rPr>
                  <w:rFonts w:ascii="Arial" w:cs="Arial" w:eastAsia="Arial" w:hAnsi="Arial"/>
                  <w:sz w:val="15"/>
                  <w:szCs w:val="15"/>
                  <w:color w:val="auto"/>
                </w:rPr>
                <w:t>Item 1.</w:t>
              </w:r>
            </w:hyperlink>
          </w:p>
        </w:tc>
        <w:tc>
          <w:tcPr>
            <w:tcW w:w="9640" w:type="dxa"/>
            <w:vAlign w:val="bottom"/>
          </w:tcPr>
          <w:p>
            <w:pPr>
              <w:ind w:left="200"/>
              <w:spacing w:after="0"/>
              <w:rPr>
                <w:rFonts w:ascii="Arial" w:cs="Arial" w:eastAsia="Arial" w:hAnsi="Arial"/>
                <w:sz w:val="15"/>
                <w:szCs w:val="15"/>
                <w:color w:val="auto"/>
              </w:rPr>
            </w:pPr>
            <w:hyperlink w:anchor="page105">
              <w:r>
                <w:rPr>
                  <w:rFonts w:ascii="Arial" w:cs="Arial" w:eastAsia="Arial" w:hAnsi="Arial"/>
                  <w:sz w:val="15"/>
                  <w:szCs w:val="15"/>
                  <w:color w:val="auto"/>
                </w:rPr>
                <w:t>Legal Proceedings</w:t>
              </w:r>
            </w:hyperlink>
          </w:p>
        </w:tc>
        <w:tc>
          <w:tcPr>
            <w:tcW w:w="780" w:type="dxa"/>
            <w:vAlign w:val="bottom"/>
          </w:tcPr>
          <w:p>
            <w:pPr>
              <w:jc w:val="right"/>
              <w:spacing w:after="0"/>
              <w:rPr>
                <w:rFonts w:ascii="Arial" w:cs="Arial" w:eastAsia="Arial" w:hAnsi="Arial"/>
                <w:sz w:val="15"/>
                <w:szCs w:val="15"/>
                <w:color w:val="auto"/>
              </w:rPr>
            </w:pPr>
            <w:hyperlink w:anchor="page105">
              <w:r>
                <w:rPr>
                  <w:rFonts w:ascii="Arial" w:cs="Arial" w:eastAsia="Arial" w:hAnsi="Arial"/>
                  <w:sz w:val="15"/>
                  <w:szCs w:val="15"/>
                  <w:color w:val="auto"/>
                </w:rPr>
                <w:t>103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20" w:type="dxa"/>
            <w:vAlign w:val="bottom"/>
          </w:tcPr>
          <w:p>
            <w:pPr>
              <w:spacing w:after="0"/>
              <w:rPr>
                <w:rFonts w:ascii="Arial" w:cs="Arial" w:eastAsia="Arial" w:hAnsi="Arial"/>
                <w:sz w:val="15"/>
                <w:szCs w:val="15"/>
                <w:color w:val="auto"/>
              </w:rPr>
            </w:pPr>
            <w:hyperlink w:anchor="page105">
              <w:r>
                <w:rPr>
                  <w:rFonts w:ascii="Arial" w:cs="Arial" w:eastAsia="Arial" w:hAnsi="Arial"/>
                  <w:sz w:val="15"/>
                  <w:szCs w:val="15"/>
                  <w:color w:val="auto"/>
                </w:rPr>
                <w:t>Item 1A.</w:t>
              </w:r>
            </w:hyperlink>
          </w:p>
        </w:tc>
        <w:tc>
          <w:tcPr>
            <w:tcW w:w="9640" w:type="dxa"/>
            <w:vAlign w:val="bottom"/>
          </w:tcPr>
          <w:p>
            <w:pPr>
              <w:ind w:left="200"/>
              <w:spacing w:after="0"/>
              <w:rPr>
                <w:rFonts w:ascii="Arial" w:cs="Arial" w:eastAsia="Arial" w:hAnsi="Arial"/>
                <w:sz w:val="15"/>
                <w:szCs w:val="15"/>
                <w:color w:val="auto"/>
              </w:rPr>
            </w:pPr>
            <w:hyperlink w:anchor="page105">
              <w:r>
                <w:rPr>
                  <w:rFonts w:ascii="Arial" w:cs="Arial" w:eastAsia="Arial" w:hAnsi="Arial"/>
                  <w:sz w:val="15"/>
                  <w:szCs w:val="15"/>
                  <w:color w:val="auto"/>
                </w:rPr>
                <w:t>Risk Factors</w:t>
              </w:r>
            </w:hyperlink>
          </w:p>
        </w:tc>
        <w:tc>
          <w:tcPr>
            <w:tcW w:w="780" w:type="dxa"/>
            <w:vAlign w:val="bottom"/>
          </w:tcPr>
          <w:p>
            <w:pPr>
              <w:jc w:val="right"/>
              <w:spacing w:after="0"/>
              <w:rPr>
                <w:rFonts w:ascii="Arial" w:cs="Arial" w:eastAsia="Arial" w:hAnsi="Arial"/>
                <w:sz w:val="15"/>
                <w:szCs w:val="15"/>
                <w:color w:val="auto"/>
              </w:rPr>
            </w:pPr>
            <w:hyperlink w:anchor="page105">
              <w:r>
                <w:rPr>
                  <w:rFonts w:ascii="Arial" w:cs="Arial" w:eastAsia="Arial" w:hAnsi="Arial"/>
                  <w:sz w:val="15"/>
                  <w:szCs w:val="15"/>
                  <w:color w:val="auto"/>
                </w:rPr>
                <w:t>103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rFonts w:ascii="Arial" w:cs="Arial" w:eastAsia="Arial" w:hAnsi="Arial"/>
                <w:sz w:val="15"/>
                <w:szCs w:val="15"/>
                <w:color w:val="auto"/>
              </w:rPr>
            </w:pPr>
            <w:hyperlink w:anchor="page105">
              <w:r>
                <w:rPr>
                  <w:rFonts w:ascii="Arial" w:cs="Arial" w:eastAsia="Arial" w:hAnsi="Arial"/>
                  <w:sz w:val="15"/>
                  <w:szCs w:val="15"/>
                  <w:color w:val="auto"/>
                </w:rPr>
                <w:t>Item 2.</w:t>
              </w:r>
            </w:hyperlink>
          </w:p>
        </w:tc>
        <w:tc>
          <w:tcPr>
            <w:tcW w:w="9640" w:type="dxa"/>
            <w:vAlign w:val="bottom"/>
          </w:tcPr>
          <w:p>
            <w:pPr>
              <w:ind w:left="200"/>
              <w:spacing w:after="0"/>
              <w:rPr>
                <w:rFonts w:ascii="Arial" w:cs="Arial" w:eastAsia="Arial" w:hAnsi="Arial"/>
                <w:sz w:val="15"/>
                <w:szCs w:val="15"/>
                <w:color w:val="auto"/>
              </w:rPr>
            </w:pPr>
            <w:hyperlink w:anchor="page105">
              <w:r>
                <w:rPr>
                  <w:rFonts w:ascii="Arial" w:cs="Arial" w:eastAsia="Arial" w:hAnsi="Arial"/>
                  <w:sz w:val="15"/>
                  <w:szCs w:val="15"/>
                  <w:color w:val="auto"/>
                </w:rPr>
                <w:t>Unregistered Sales of Equity Securities and Use of Proceeds</w:t>
              </w:r>
            </w:hyperlink>
          </w:p>
        </w:tc>
        <w:tc>
          <w:tcPr>
            <w:tcW w:w="780" w:type="dxa"/>
            <w:vAlign w:val="bottom"/>
          </w:tcPr>
          <w:p>
            <w:pPr>
              <w:jc w:val="right"/>
              <w:spacing w:after="0"/>
              <w:rPr>
                <w:rFonts w:ascii="Arial" w:cs="Arial" w:eastAsia="Arial" w:hAnsi="Arial"/>
                <w:sz w:val="15"/>
                <w:szCs w:val="15"/>
                <w:color w:val="auto"/>
              </w:rPr>
            </w:pPr>
            <w:hyperlink w:anchor="page105">
              <w:r>
                <w:rPr>
                  <w:rFonts w:ascii="Arial" w:cs="Arial" w:eastAsia="Arial" w:hAnsi="Arial"/>
                  <w:sz w:val="15"/>
                  <w:szCs w:val="15"/>
                  <w:color w:val="auto"/>
                </w:rPr>
                <w:t>103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rFonts w:ascii="Arial" w:cs="Arial" w:eastAsia="Arial" w:hAnsi="Arial"/>
                <w:sz w:val="15"/>
                <w:szCs w:val="15"/>
                <w:color w:val="auto"/>
              </w:rPr>
            </w:pPr>
            <w:hyperlink w:anchor="page105">
              <w:r>
                <w:rPr>
                  <w:rFonts w:ascii="Arial" w:cs="Arial" w:eastAsia="Arial" w:hAnsi="Arial"/>
                  <w:sz w:val="15"/>
                  <w:szCs w:val="15"/>
                  <w:color w:val="auto"/>
                </w:rPr>
                <w:t>Item 6.</w:t>
              </w:r>
            </w:hyperlink>
          </w:p>
        </w:tc>
        <w:tc>
          <w:tcPr>
            <w:tcW w:w="9640" w:type="dxa"/>
            <w:vAlign w:val="bottom"/>
          </w:tcPr>
          <w:p>
            <w:pPr>
              <w:ind w:left="200"/>
              <w:spacing w:after="0"/>
              <w:rPr>
                <w:rFonts w:ascii="Arial" w:cs="Arial" w:eastAsia="Arial" w:hAnsi="Arial"/>
                <w:sz w:val="15"/>
                <w:szCs w:val="15"/>
                <w:color w:val="auto"/>
              </w:rPr>
            </w:pPr>
            <w:hyperlink w:anchor="page105">
              <w:r>
                <w:rPr>
                  <w:rFonts w:ascii="Arial" w:cs="Arial" w:eastAsia="Arial" w:hAnsi="Arial"/>
                  <w:sz w:val="15"/>
                  <w:szCs w:val="15"/>
                  <w:color w:val="auto"/>
                </w:rPr>
                <w:t>Exhibits</w:t>
              </w:r>
            </w:hyperlink>
          </w:p>
        </w:tc>
        <w:tc>
          <w:tcPr>
            <w:tcW w:w="780" w:type="dxa"/>
            <w:vAlign w:val="bottom"/>
          </w:tcPr>
          <w:p>
            <w:pPr>
              <w:jc w:val="right"/>
              <w:spacing w:after="0"/>
              <w:rPr>
                <w:rFonts w:ascii="Arial" w:cs="Arial" w:eastAsia="Arial" w:hAnsi="Arial"/>
                <w:sz w:val="15"/>
                <w:szCs w:val="15"/>
                <w:color w:val="auto"/>
              </w:rPr>
            </w:pPr>
            <w:hyperlink w:anchor="page105">
              <w:r>
                <w:rPr>
                  <w:rFonts w:ascii="Arial" w:cs="Arial" w:eastAsia="Arial" w:hAnsi="Arial"/>
                  <w:sz w:val="15"/>
                  <w:szCs w:val="15"/>
                  <w:color w:val="auto"/>
                </w:rPr>
                <w:t>103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20" w:type="dxa"/>
            <w:vAlign w:val="bottom"/>
          </w:tcPr>
          <w:p>
            <w:pPr>
              <w:spacing w:after="0"/>
              <w:rPr>
                <w:rFonts w:ascii="Arial" w:cs="Arial" w:eastAsia="Arial" w:hAnsi="Arial"/>
                <w:sz w:val="15"/>
                <w:szCs w:val="15"/>
                <w:color w:val="auto"/>
              </w:rPr>
            </w:pPr>
            <w:hyperlink w:anchor="page106">
              <w:r>
                <w:rPr>
                  <w:rFonts w:ascii="Arial" w:cs="Arial" w:eastAsia="Arial" w:hAnsi="Arial"/>
                  <w:sz w:val="15"/>
                  <w:szCs w:val="15"/>
                  <w:color w:val="auto"/>
                </w:rPr>
                <w:t>Signatures</w:t>
              </w:r>
            </w:hyperlink>
          </w:p>
        </w:tc>
        <w:tc>
          <w:tcPr>
            <w:tcW w:w="964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5"/>
                <w:szCs w:val="15"/>
                <w:color w:val="auto"/>
              </w:rPr>
            </w:pPr>
            <w:hyperlink w:anchor="page106">
              <w:r>
                <w:rPr>
                  <w:rFonts w:ascii="Arial" w:cs="Arial" w:eastAsia="Arial" w:hAnsi="Arial"/>
                  <w:sz w:val="15"/>
                  <w:szCs w:val="15"/>
                  <w:color w:val="auto"/>
                </w:rPr>
                <w:t>105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820" w:type="dxa"/>
            <w:vAlign w:val="bottom"/>
          </w:tcPr>
          <w:p>
            <w:pPr>
              <w:spacing w:after="0"/>
              <w:rPr>
                <w:sz w:val="24"/>
                <w:szCs w:val="24"/>
                <w:color w:val="auto"/>
              </w:rPr>
            </w:pPr>
          </w:p>
        </w:tc>
        <w:tc>
          <w:tcPr>
            <w:tcW w:w="9640" w:type="dxa"/>
            <w:vAlign w:val="bottom"/>
          </w:tcPr>
          <w:p>
            <w:pPr>
              <w:ind w:left="4760"/>
              <w:spacing w:after="0"/>
              <w:rPr>
                <w:sz w:val="20"/>
                <w:szCs w:val="20"/>
                <w:color w:val="auto"/>
              </w:rPr>
            </w:pPr>
            <w:r>
              <w:rPr>
                <w:rFonts w:ascii="Arial" w:cs="Arial" w:eastAsia="Arial" w:hAnsi="Arial"/>
                <w:sz w:val="15"/>
                <w:szCs w:val="15"/>
                <w:color w:val="auto"/>
              </w:rPr>
              <w:t>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20" w:type="dxa"/>
            <w:vAlign w:val="bottom"/>
            <w:tcBorders>
              <w:bottom w:val="single" w:sz="8" w:color="9A9A9A"/>
            </w:tcBorders>
          </w:tcPr>
          <w:p>
            <w:pPr>
              <w:spacing w:after="0"/>
              <w:rPr>
                <w:sz w:val="8"/>
                <w:szCs w:val="8"/>
                <w:color w:val="auto"/>
              </w:rPr>
            </w:pPr>
          </w:p>
        </w:tc>
        <w:tc>
          <w:tcPr>
            <w:tcW w:w="96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772" w:right="3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FORWARD-LOOKING STATEMENTS</w:t>
      </w:r>
    </w:p>
    <w:p>
      <w:pPr>
        <w:spacing w:after="0" w:line="104" w:lineRule="exact"/>
        <w:rPr>
          <w:sz w:val="20"/>
          <w:szCs w:val="20"/>
          <w:color w:val="auto"/>
        </w:rPr>
      </w:pPr>
    </w:p>
    <w:p>
      <w:pPr>
        <w:ind w:right="20" w:firstLine="272"/>
        <w:spacing w:after="0" w:line="265" w:lineRule="auto"/>
        <w:rPr>
          <w:sz w:val="20"/>
          <w:szCs w:val="20"/>
          <w:color w:val="auto"/>
        </w:rPr>
      </w:pPr>
      <w:r>
        <w:rPr>
          <w:rFonts w:ascii="Arial" w:cs="Arial" w:eastAsia="Arial" w:hAnsi="Arial"/>
          <w:sz w:val="15"/>
          <w:szCs w:val="15"/>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4" w:lineRule="exact"/>
        <w:rPr>
          <w:sz w:val="20"/>
          <w:szCs w:val="20"/>
          <w:color w:val="auto"/>
        </w:rPr>
      </w:pPr>
    </w:p>
    <w:p>
      <w:pPr>
        <w:ind w:firstLine="272"/>
        <w:spacing w:after="0" w:line="278" w:lineRule="auto"/>
        <w:rPr>
          <w:sz w:val="20"/>
          <w:szCs w:val="20"/>
          <w:color w:val="auto"/>
        </w:rPr>
      </w:pPr>
      <w:r>
        <w:rPr>
          <w:rFonts w:ascii="Arial" w:cs="Arial" w:eastAsia="Arial" w:hAnsi="Arial"/>
          <w:sz w:val="14"/>
          <w:szCs w:val="14"/>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Part II, Item 1A, Risk Factors of this report and the following:</w:t>
      </w:r>
    </w:p>
    <w:p>
      <w:pPr>
        <w:spacing w:after="0" w:line="56" w:lineRule="exact"/>
        <w:rPr>
          <w:sz w:val="20"/>
          <w:szCs w:val="20"/>
          <w:color w:val="auto"/>
        </w:rPr>
      </w:pPr>
    </w:p>
    <w:p>
      <w:pPr>
        <w:ind w:left="540" w:right="220" w:hanging="277"/>
        <w:spacing w:after="0" w:line="242"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relating to the continuing impacts of the Coronavirus 2019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ind w:left="540" w:right="200" w:hanging="277"/>
        <w:spacing w:after="0" w:line="250"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for ongoing COVID-19 related disruption in the financial markets and in commercial activity generally, increased unemployment, and other financial difficulties facing our borrowers;</w:t>
      </w: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proportion of borrowers who enter into forbearance plans, the financial ability of borrowers to resume repayment and their timing for doing so;</w:t>
      </w:r>
    </w:p>
    <w:p>
      <w:pPr>
        <w:ind w:left="540" w:right="460" w:hanging="277"/>
        <w:spacing w:after="0" w:line="22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extent to which our mortgage servicing right (MSR) joint venture with Oaktree Capital Management L.P. and its affiliates (Oaktree), other recent transactions and our enterprise sales initiatives will generate additional subservicing volume and result in increased profitability;</w:t>
      </w:r>
    </w:p>
    <w:p>
      <w:pPr>
        <w:spacing w:after="0" w:line="1" w:lineRule="exact"/>
        <w:rPr>
          <w:rFonts w:ascii="Arial" w:cs="Arial" w:eastAsia="Arial" w:hAnsi="Arial"/>
          <w:sz w:val="15"/>
          <w:szCs w:val="15"/>
          <w:color w:val="auto"/>
        </w:rPr>
      </w:pPr>
    </w:p>
    <w:p>
      <w:pPr>
        <w:ind w:left="540" w:hanging="277"/>
        <w:spacing w:after="0" w:line="236"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deploy the proceeds of the senior secured notes in suitable investments at appropriate returns;</w:t>
      </w:r>
    </w:p>
    <w:p>
      <w:pPr>
        <w:ind w:left="540" w:right="840" w:hanging="277"/>
        <w:spacing w:after="0" w:line="221"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close announced bulk acquisitions of MSRs and other transactions, including the ability to obtain regulatory approvals, enter into definitive financing arrangements, and satisfy closing conditions, and the timing for doing so;</w:t>
      </w:r>
    </w:p>
    <w:p>
      <w:pPr>
        <w:ind w:left="540" w:right="180" w:hanging="277"/>
        <w:spacing w:after="0" w:line="22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timeline for closing our agreement with Reverse Mortgage Solutions, Inc. (RMS) and our ability to efficiently integrate the operations, assets and employees of its reverse mortgage servicing platform;</w:t>
      </w:r>
    </w:p>
    <w:p>
      <w:pPr>
        <w:spacing w:after="0" w:line="1" w:lineRule="exact"/>
        <w:rPr>
          <w:rFonts w:ascii="Arial" w:cs="Arial" w:eastAsia="Arial" w:hAnsi="Arial"/>
          <w:sz w:val="15"/>
          <w:szCs w:val="15"/>
          <w:color w:val="auto"/>
        </w:rPr>
      </w:pPr>
    </w:p>
    <w:p>
      <w:pPr>
        <w:ind w:left="540" w:right="120" w:hanging="277"/>
        <w:spacing w:after="0" w:line="269" w:lineRule="auto"/>
        <w:tabs>
          <w:tab w:leader="none" w:pos="5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increased servicing costs based on rising borrower delinquency levels or other factors;</w:t>
      </w:r>
    </w:p>
    <w:p>
      <w:pPr>
        <w:spacing w:after="0" w:line="9" w:lineRule="exact"/>
        <w:rPr>
          <w:rFonts w:ascii="Arial" w:cs="Arial" w:eastAsia="Arial" w:hAnsi="Arial"/>
          <w:sz w:val="15"/>
          <w:szCs w:val="15"/>
          <w:color w:val="auto"/>
        </w:rPr>
      </w:pPr>
    </w:p>
    <w:p>
      <w:pPr>
        <w:ind w:left="540" w:right="40" w:hanging="277"/>
        <w:spacing w:after="0" w:line="252"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reduced collection of servicing fees and ancillary income and delayed collection of servicing revenue as a result of forbearance plans and moratoria on evictions and foreclosure proceedings;</w:t>
      </w: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to improve our financial performance through cost re-engineering initiatives and other actions;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to grow our lending business and increase our lending volumes in a competitive market and uncertain interest rate environment;</w:t>
      </w:r>
    </w:p>
    <w:p>
      <w:pPr>
        <w:ind w:left="540" w:right="200" w:hanging="277"/>
        <w:spacing w:after="0" w:line="22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related to our long-term relationship and remaining agreements with New Residential Investment Corp. (NRZ), our largest servicing client, including whether our subservicing agreements will renew or terminate in July 2022;</w:t>
      </w:r>
    </w:p>
    <w:p>
      <w:pPr>
        <w:spacing w:after="0" w:line="1" w:lineRule="exact"/>
        <w:rPr>
          <w:rFonts w:ascii="Arial" w:cs="Arial" w:eastAsia="Arial" w:hAnsi="Arial"/>
          <w:sz w:val="15"/>
          <w:szCs w:val="15"/>
          <w:color w:val="auto"/>
        </w:rPr>
      </w:pPr>
    </w:p>
    <w:p>
      <w:pPr>
        <w:ind w:left="540" w:right="140" w:hanging="277"/>
        <w:spacing w:after="0" w:line="251"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Arial" w:cs="Arial" w:eastAsia="Arial" w:hAnsi="Arial"/>
          <w:sz w:val="15"/>
          <w:szCs w:val="15"/>
          <w:color w:val="auto"/>
        </w:rPr>
      </w:pPr>
    </w:p>
    <w:p>
      <w:pPr>
        <w:ind w:left="540" w:hanging="277"/>
        <w:spacing w:after="0" w:line="238"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adverse effects on our business as a result of regulatory investigations, litigation, cease and desist orders or settlements and the reactions of key counterparties, including lenders, the GSEs and Ginnie Mae;</w:t>
      </w:r>
    </w:p>
    <w:p>
      <w:pPr>
        <w:spacing w:after="0" w:line="1"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comply with the terms of our settlements with regulatory agencies and the costs of doing so;</w:t>
      </w:r>
    </w:p>
    <w:p>
      <w:pPr>
        <w:spacing w:after="0" w:line="6"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adverse developments in existing legal proceedings or the initiation of new legal proceedings;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effectively manage our regulatory and contractual compliance obligations;</w:t>
      </w:r>
    </w:p>
    <w:p>
      <w:pPr>
        <w:spacing w:after="0" w:line="9" w:lineRule="exact"/>
        <w:rPr>
          <w:rFonts w:ascii="Arial" w:cs="Arial" w:eastAsia="Arial" w:hAnsi="Arial"/>
          <w:sz w:val="15"/>
          <w:szCs w:val="15"/>
          <w:color w:val="auto"/>
        </w:rPr>
      </w:pPr>
    </w:p>
    <w:p>
      <w:pPr>
        <w:ind w:left="540" w:right="80" w:hanging="277"/>
        <w:spacing w:after="0" w:line="249"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uncertainty related to changes in legislation, regulations, government programs and policies, industry initiatives, best servicing and lending practices, and media scrutiny of our business and industry;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 w:name="page4"/>
    <w:bookmarkEnd w:id="3"/>
    <w:p>
      <w:pPr>
        <w:ind w:left="540" w:right="40" w:hanging="277"/>
        <w:spacing w:after="0" w:line="245"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extent to which a recent judicial interpretation of the Fair Debt Collection Practices Act may require us to modify our business practices and expose us to increased expense and litigation risk;</w:t>
      </w:r>
    </w:p>
    <w:p>
      <w:pPr>
        <w:ind w:left="540" w:right="220" w:hanging="277"/>
        <w:spacing w:after="0" w:line="250"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interpret correctly and comply with liquidity, net worth and other financial and other requirements of regulators, the GSEs and Ginnie Mae, as well as those set forth in our debt and other agreements;</w:t>
      </w:r>
    </w:p>
    <w:p>
      <w:pPr>
        <w:ind w:left="540" w:hanging="277"/>
        <w:spacing w:after="0" w:line="252"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comply with our servicing agreements, including our ability to comply with our agreements with, and the requirements of, the GSEs and Ginnie Mae and maintain our seller/servicer and other statuses with them;</w:t>
      </w:r>
    </w:p>
    <w:p>
      <w:pPr>
        <w:ind w:left="540" w:hanging="277"/>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servicer and credit ratings as well as other actions from various rating agencies, including the impact of prior or future downgrades of our servicer and credit ratings;</w:t>
      </w:r>
    </w:p>
    <w:p>
      <w:pPr>
        <w:spacing w:after="0" w:line="20" w:lineRule="exact"/>
        <w:rPr>
          <w:rFonts w:ascii="Arial" w:cs="Arial" w:eastAsia="Arial" w:hAnsi="Arial"/>
          <w:sz w:val="14"/>
          <w:szCs w:val="14"/>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of our information technology or other security systems or breach of our privacy protections, including any failure to protect customers’ data;</w:t>
      </w:r>
    </w:p>
    <w:p>
      <w:pPr>
        <w:spacing w:after="0" w:line="9" w:lineRule="exact"/>
        <w:rPr>
          <w:rFonts w:ascii="Arial" w:cs="Arial" w:eastAsia="Arial" w:hAnsi="Arial"/>
          <w:sz w:val="15"/>
          <w:szCs w:val="15"/>
          <w:color w:val="auto"/>
        </w:rPr>
      </w:pPr>
    </w:p>
    <w:p>
      <w:pPr>
        <w:ind w:left="540" w:right="60" w:hanging="277"/>
        <w:spacing w:after="0" w:line="270" w:lineRule="auto"/>
        <w:tabs>
          <w:tab w:leader="none" w:pos="53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loss of the services of our senior managers and key employees;</w:t>
      </w:r>
    </w:p>
    <w:p>
      <w:pPr>
        <w:spacing w:after="0" w:line="9" w:lineRule="exact"/>
        <w:rPr>
          <w:rFonts w:ascii="Arial" w:cs="Arial" w:eastAsia="Arial" w:hAnsi="Arial"/>
          <w:sz w:val="15"/>
          <w:szCs w:val="15"/>
          <w:color w:val="auto"/>
        </w:rPr>
      </w:pPr>
    </w:p>
    <w:p>
      <w:pPr>
        <w:ind w:left="540" w:right="120" w:hanging="277"/>
        <w:spacing w:after="0" w:line="252"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actions of loan owners and guarantors, including mortgage-backed securities investors, the GSEs, Ginnie Mae and trustees regarding loan put-backs, penalties and legal actions;</w:t>
      </w:r>
    </w:p>
    <w:p>
      <w:pPr>
        <w:ind w:left="540" w:right="200" w:hanging="277"/>
        <w:spacing w:after="0" w:line="252"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our ability to continue to collect certain expedited payment or convenience fees and potential liability for charging such fees;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our reserves, valuations, provisions and anticipated realization of assets;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ability of third-party obligors and financing sources to fund servicing advances on a timely basis on loans serviced by us;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characteristics of our servicing portfolio, including prepayment speeds along with delinquency and advance rates;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successfully modify delinquent loans, manage foreclosures and sell foreclosed properties;</w:t>
      </w:r>
    </w:p>
    <w:p>
      <w:pPr>
        <w:spacing w:after="0" w:line="9" w:lineRule="exact"/>
        <w:rPr>
          <w:rFonts w:ascii="Arial" w:cs="Arial" w:eastAsia="Arial" w:hAnsi="Arial"/>
          <w:sz w:val="15"/>
          <w:szCs w:val="15"/>
          <w:color w:val="auto"/>
        </w:rPr>
      </w:pPr>
    </w:p>
    <w:p>
      <w:pPr>
        <w:ind w:left="540" w:right="380" w:hanging="277"/>
        <w:spacing w:after="0" w:line="252"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processes for judicial and non-judicial foreclosure proceedings, including potential additional costs or delays or moratoria in the future or claims pertaining to past practices;</w:t>
      </w: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adequately manage and maintain real estate owned (REO) properties and vacant properties collateralizing loans that we service;</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realize anticipated future gains from future draws on existing loans in our reverse mortgage portfolio;</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effectively manage our exposure to interest rate changes and foreign exchange fluctuations;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effectively transform our operations in response to changing business needs, including our ability to do so without unanticipated adverse tax consequences;</w:t>
      </w:r>
    </w:p>
    <w:p>
      <w:pPr>
        <w:spacing w:after="0" w:line="20" w:lineRule="exact"/>
        <w:rPr>
          <w:rFonts w:ascii="Arial" w:cs="Arial" w:eastAsia="Arial" w:hAnsi="Arial"/>
          <w:sz w:val="14"/>
          <w:szCs w:val="14"/>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political or economic stability of the United States and of the foreign countries in which we have operations; and</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maintain positive relationships with our large shareholders and obtain their support for management proposals requiring shareholder approval.</w:t>
      </w:r>
    </w:p>
    <w:p>
      <w:pPr>
        <w:spacing w:after="0" w:line="91" w:lineRule="exact"/>
        <w:rPr>
          <w:sz w:val="20"/>
          <w:szCs w:val="20"/>
          <w:color w:val="auto"/>
        </w:rPr>
      </w:pPr>
    </w:p>
    <w:p>
      <w:pPr>
        <w:ind w:right="100" w:firstLine="272"/>
        <w:spacing w:after="0" w:line="292" w:lineRule="auto"/>
        <w:rPr>
          <w:sz w:val="20"/>
          <w:szCs w:val="20"/>
          <w:color w:val="auto"/>
        </w:rPr>
      </w:pPr>
      <w:r>
        <w:rPr>
          <w:rFonts w:ascii="Arial" w:cs="Arial" w:eastAsia="Arial" w:hAnsi="Arial"/>
          <w:sz w:val="14"/>
          <w:szCs w:val="14"/>
          <w:color w:val="auto"/>
        </w:rPr>
        <w:t>Further information on the risks specific to our business is detailed within this report and our other reports and filings with the SEC including our Annual Report on Form 10-K for the year ended December 31, 2020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00"/>
          </w:cols>
          <w:pgMar w:left="320" w:top="776"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PART I –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1. UNAUDITED CONSOLIDATED FINANCIAL STATEMENTS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6"/>
                <w:szCs w:val="16"/>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85"/>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243,582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284,802</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Restricted cash (amounts related to variable interest entities (VIEs) of $12,404 and $16,791)</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72,463</w:t>
            </w:r>
          </w:p>
        </w:tc>
        <w:tc>
          <w:tcPr>
            <w:tcW w:w="0" w:type="dxa"/>
            <w:vAlign w:val="bottom"/>
          </w:tcPr>
          <w:p>
            <w:pPr>
              <w:spacing w:after="0"/>
              <w:rPr>
                <w:sz w:val="1"/>
                <w:szCs w:val="1"/>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Mortgage servicing rights (MSRs), at fair value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2,072,518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1,294,817</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Advances, net (amounts related to VIEs of $610,964 and $651,576)</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761,973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828,239</w:t>
            </w:r>
          </w:p>
        </w:tc>
        <w:tc>
          <w:tcPr>
            <w:tcW w:w="0" w:type="dxa"/>
            <w:vAlign w:val="bottom"/>
          </w:tcPr>
          <w:p>
            <w:pPr>
              <w:spacing w:after="0"/>
              <w:rPr>
                <w:sz w:val="1"/>
                <w:szCs w:val="1"/>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Loans held for sale ($680,866 and $366,364 carried at fair value) (amounts related to VIEs of $154,687 and $0)</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696,020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387,836</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Loans held for investment, at fair value (amounts related to VIEs of $8,680 and $9,770)</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7,120,953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7,006,897</w:t>
            </w:r>
          </w:p>
        </w:tc>
        <w:tc>
          <w:tcPr>
            <w:tcW w:w="0" w:type="dxa"/>
            <w:vAlign w:val="bottom"/>
          </w:tcPr>
          <w:p>
            <w:pPr>
              <w:spacing w:after="0"/>
              <w:rPr>
                <w:sz w:val="1"/>
                <w:szCs w:val="1"/>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Receivables,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165,185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187,665</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Premises and equipment, net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16,925</w:t>
            </w:r>
          </w:p>
        </w:tc>
        <w:tc>
          <w:tcPr>
            <w:tcW w:w="0" w:type="dxa"/>
            <w:vAlign w:val="bottom"/>
          </w:tcPr>
          <w:p>
            <w:pPr>
              <w:spacing w:after="0"/>
              <w:rPr>
                <w:sz w:val="1"/>
                <w:szCs w:val="1"/>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Investment in equity method investee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11,878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assets ($26,403 and $25,476 carried at fair value) (amounts related to VIEs of $2,426 and $4,544)</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611,935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571,483</w:t>
            </w:r>
          </w:p>
        </w:tc>
        <w:tc>
          <w:tcPr>
            <w:tcW w:w="0" w:type="dxa"/>
            <w:vAlign w:val="bottom"/>
          </w:tcPr>
          <w:p>
            <w:pPr>
              <w:spacing w:after="0"/>
              <w:rPr>
                <w:sz w:val="1"/>
                <w:szCs w:val="1"/>
                <w:color w:val="auto"/>
              </w:rPr>
            </w:pPr>
          </w:p>
        </w:tc>
      </w:tr>
      <w:tr>
        <w:trPr>
          <w:trHeight w:val="185"/>
        </w:trPr>
        <w:tc>
          <w:tcPr>
            <w:tcW w:w="8060" w:type="dxa"/>
            <w:vAlign w:val="bottom"/>
          </w:tcPr>
          <w:p>
            <w:pPr>
              <w:ind w:left="18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11,767,710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80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060" w:type="dxa"/>
            <w:vAlign w:val="bottom"/>
          </w:tcPr>
          <w:p>
            <w:pPr>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Liabilities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60" w:type="dxa"/>
            <w:vAlign w:val="bottom"/>
          </w:tcPr>
          <w:p>
            <w:pPr>
              <w:ind w:left="140"/>
              <w:spacing w:after="0"/>
              <w:rPr>
                <w:sz w:val="20"/>
                <w:szCs w:val="20"/>
                <w:color w:val="auto"/>
              </w:rPr>
            </w:pPr>
            <w:r>
              <w:rPr>
                <w:rFonts w:ascii="Arial" w:cs="Arial" w:eastAsia="Arial" w:hAnsi="Arial"/>
                <w:sz w:val="15"/>
                <w:szCs w:val="15"/>
                <w:color w:val="auto"/>
              </w:rPr>
              <w:t>Home Equity Conversion Mortgage-Backed Securities (HMBS) related borrowings, at fair value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6,823,911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6,772,711</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financing liabilities, at fair value (amounts related to VIEs of $8,680 and $9,770)</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544,251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576,722</w:t>
            </w:r>
          </w:p>
        </w:tc>
        <w:tc>
          <w:tcPr>
            <w:tcW w:w="0" w:type="dxa"/>
            <w:vAlign w:val="bottom"/>
          </w:tcPr>
          <w:p>
            <w:pPr>
              <w:spacing w:after="0"/>
              <w:rPr>
                <w:sz w:val="1"/>
                <w:szCs w:val="1"/>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Advance match funded liabilities (related to VIEs)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530,182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581,288</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Mortgage loan warehouse facilities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773,352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451,713</w:t>
            </w:r>
          </w:p>
        </w:tc>
        <w:tc>
          <w:tcPr>
            <w:tcW w:w="0" w:type="dxa"/>
            <w:vAlign w:val="bottom"/>
          </w:tcPr>
          <w:p>
            <w:pPr>
              <w:spacing w:after="0"/>
              <w:rPr>
                <w:sz w:val="1"/>
                <w:szCs w:val="1"/>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MSR financing facilities,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1,012,478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437,672</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Senior secured term loan, net</w:t>
            </w: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179,776</w:t>
            </w:r>
          </w:p>
        </w:tc>
        <w:tc>
          <w:tcPr>
            <w:tcW w:w="0" w:type="dxa"/>
            <w:vAlign w:val="bottom"/>
          </w:tcPr>
          <w:p>
            <w:pPr>
              <w:spacing w:after="0"/>
              <w:rPr>
                <w:sz w:val="1"/>
                <w:szCs w:val="1"/>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Senior notes,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610,600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311,898</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liabilities ($4,039 and $4,638 carried at fair value)</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1,025,836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923,975</w:t>
            </w: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11,320,610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10,235,755</w:t>
            </w:r>
          </w:p>
        </w:tc>
        <w:tc>
          <w:tcPr>
            <w:tcW w:w="0" w:type="dxa"/>
            <w:vAlign w:val="bottom"/>
          </w:tcPr>
          <w:p>
            <w:pPr>
              <w:spacing w:after="0"/>
              <w:rPr>
                <w:sz w:val="1"/>
                <w:szCs w:val="1"/>
                <w:color w:val="auto"/>
              </w:rPr>
            </w:pPr>
          </w:p>
        </w:tc>
      </w:tr>
      <w:tr>
        <w:trPr>
          <w:trHeight w:val="117"/>
        </w:trPr>
        <w:tc>
          <w:tcPr>
            <w:tcW w:w="8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060" w:type="dxa"/>
            <w:vAlign w:val="bottom"/>
          </w:tcPr>
          <w:p>
            <w:pPr>
              <w:ind w:left="100"/>
              <w:spacing w:after="0"/>
              <w:rPr>
                <w:sz w:val="20"/>
                <w:szCs w:val="20"/>
                <w:color w:val="auto"/>
              </w:rPr>
            </w:pPr>
            <w:r>
              <w:rPr>
                <w:rFonts w:ascii="Arial" w:cs="Arial" w:eastAsia="Arial" w:hAnsi="Arial"/>
                <w:sz w:val="15"/>
                <w:szCs w:val="15"/>
                <w:b w:val="1"/>
                <w:bCs w:val="1"/>
                <w:color w:val="auto"/>
              </w:rPr>
              <w:t>Commitments and Contingencies (Notes 21 and 22)</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60" w:type="dxa"/>
            <w:vAlign w:val="bottom"/>
          </w:tcPr>
          <w:p>
            <w:pPr>
              <w:ind w:left="10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0"/>
              </w:rPr>
              <w:t>Common stock, $.01 par value; 13,333,333 shares authorized; 9,189,030 and 8,687,750 shares issued and outstanding at June 30,</w:t>
            </w: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92"/>
        </w:trPr>
        <w:tc>
          <w:tcPr>
            <w:tcW w:w="8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2021 and December 31, 2020, respectively.</w:t>
            </w:r>
          </w:p>
        </w:tc>
        <w:tc>
          <w:tcPr>
            <w:tcW w:w="22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6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590,252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556,062</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deficit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(133,461)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(131,682)</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Accumulated other comprehensive loss, net of income taxes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(9,783)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(9,095)</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447,100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415,372</w:t>
            </w:r>
          </w:p>
        </w:tc>
        <w:tc>
          <w:tcPr>
            <w:tcW w:w="0" w:type="dxa"/>
            <w:vAlign w:val="bottom"/>
          </w:tcPr>
          <w:p>
            <w:pPr>
              <w:spacing w:after="0"/>
              <w:rPr>
                <w:sz w:val="1"/>
                <w:szCs w:val="1"/>
                <w:color w:val="auto"/>
              </w:rPr>
            </w:pPr>
          </w:p>
        </w:tc>
      </w:tr>
      <w:tr>
        <w:trPr>
          <w:trHeight w:val="185"/>
        </w:trPr>
        <w:tc>
          <w:tcPr>
            <w:tcW w:w="8060" w:type="dxa"/>
            <w:vAlign w:val="bottom"/>
          </w:tcPr>
          <w:p>
            <w:pPr>
              <w:ind w:left="18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11,767,710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ind w:left="140"/>
              <w:spacing w:after="0"/>
              <w:rPr>
                <w:sz w:val="20"/>
                <w:szCs w:val="20"/>
                <w:color w:val="auto"/>
              </w:rPr>
            </w:pPr>
            <w:r>
              <w:rPr>
                <w:rFonts w:ascii="Arial" w:cs="Arial" w:eastAsia="Arial" w:hAnsi="Arial"/>
                <w:sz w:val="15"/>
                <w:szCs w:val="15"/>
                <w:b w:val="1"/>
                <w:bCs w:val="1"/>
                <w:color w:val="auto"/>
              </w:rPr>
              <w:t>For the Three Months Ended June 30,</w:t>
            </w:r>
          </w:p>
        </w:tc>
        <w:tc>
          <w:tcPr>
            <w:tcW w:w="260" w:type="dxa"/>
            <w:vAlign w:val="bottom"/>
          </w:tcPr>
          <w:p>
            <w:pPr>
              <w:spacing w:after="0"/>
              <w:rPr>
                <w:sz w:val="16"/>
                <w:szCs w:val="16"/>
                <w:color w:val="auto"/>
              </w:rPr>
            </w:pPr>
          </w:p>
        </w:tc>
        <w:tc>
          <w:tcPr>
            <w:tcW w:w="2900" w:type="dxa"/>
            <w:vAlign w:val="bottom"/>
            <w:gridSpan w:val="4"/>
          </w:tcPr>
          <w:p>
            <w:pPr>
              <w:jc w:val="right"/>
              <w:ind w:right="364"/>
              <w:spacing w:after="0"/>
              <w:rPr>
                <w:sz w:val="20"/>
                <w:szCs w:val="20"/>
                <w:color w:val="auto"/>
              </w:rPr>
            </w:pPr>
            <w:r>
              <w:rPr>
                <w:rFonts w:ascii="Arial" w:cs="Arial" w:eastAsia="Arial" w:hAnsi="Arial"/>
                <w:sz w:val="15"/>
                <w:szCs w:val="15"/>
                <w:b w:val="1"/>
                <w:bCs w:val="1"/>
                <w:color w:val="auto"/>
                <w:w w:val="97"/>
              </w:rPr>
              <w:t>For the Six Months Ended June 30,</w:t>
            </w:r>
          </w:p>
        </w:tc>
      </w:tr>
      <w:tr>
        <w:trPr>
          <w:trHeight w:val="185"/>
        </w:trPr>
        <w:tc>
          <w:tcPr>
            <w:tcW w:w="48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73"/>
        </w:trPr>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Servicing and subservicing fees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184,441</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175,240</w:t>
            </w:r>
          </w:p>
        </w:tc>
        <w:tc>
          <w:tcPr>
            <w:tcW w:w="12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356,179</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386,723</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Reverse mortgage revenue, net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13,759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51,127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36,556</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Gain on loans held for sale,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42,713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33,547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48,434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46,878</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revenue, net</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8,990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17,299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10,709</w:t>
            </w:r>
          </w:p>
        </w:tc>
      </w:tr>
      <w:tr>
        <w:trPr>
          <w:trHeight w:val="184"/>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revenue</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265,445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227,024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473,039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480,866</w:t>
            </w:r>
          </w:p>
        </w:tc>
      </w:tr>
      <w:tr>
        <w:trPr>
          <w:trHeight w:val="117"/>
        </w:trPr>
        <w:tc>
          <w:tcPr>
            <w:tcW w:w="4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93"/>
        </w:trPr>
        <w:tc>
          <w:tcPr>
            <w:tcW w:w="4820" w:type="dxa"/>
            <w:vAlign w:val="bottom"/>
          </w:tcPr>
          <w:p>
            <w:pPr>
              <w:spacing w:after="0"/>
              <w:rPr>
                <w:sz w:val="20"/>
                <w:szCs w:val="20"/>
                <w:color w:val="auto"/>
              </w:rPr>
            </w:pPr>
            <w:r>
              <w:rPr>
                <w:rFonts w:ascii="Arial" w:cs="Arial" w:eastAsia="Arial" w:hAnsi="Arial"/>
                <w:sz w:val="15"/>
                <w:szCs w:val="15"/>
                <w:b w:val="1"/>
                <w:bCs w:val="1"/>
                <w:color w:val="auto"/>
              </w:rPr>
              <w:t>MSR valuation adjustments,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(72,450)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(23,434)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(51,242)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(197,554)</w:t>
            </w:r>
          </w:p>
        </w:tc>
      </w:tr>
      <w:tr>
        <w:trPr>
          <w:trHeight w:val="136"/>
        </w:trPr>
        <w:tc>
          <w:tcPr>
            <w:tcW w:w="4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93"/>
        </w:trPr>
        <w:tc>
          <w:tcPr>
            <w:tcW w:w="482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Compensation and benefits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72,172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65,017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140,453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125,745</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Servicing and origination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26,642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54,112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37,617</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Professional services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49,455</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Technology and communications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13,170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16,111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26,313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31,304</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Occupancy and equipment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16,136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28,105</w:t>
            </w:r>
          </w:p>
        </w:tc>
      </w:tr>
      <w:tr>
        <w:trPr>
          <w:trHeight w:val="192"/>
        </w:trPr>
        <w:tc>
          <w:tcPr>
            <w:tcW w:w="48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expenses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8,956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9,797</w:t>
            </w:r>
          </w:p>
        </w:tc>
      </w:tr>
      <w:tr>
        <w:trPr>
          <w:trHeight w:val="184"/>
        </w:trPr>
        <w:tc>
          <w:tcPr>
            <w:tcW w:w="48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149,808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144,809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289,437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282,023</w:t>
            </w:r>
          </w:p>
        </w:tc>
      </w:tr>
      <w:tr>
        <w:trPr>
          <w:trHeight w:val="117"/>
        </w:trPr>
        <w:tc>
          <w:tcPr>
            <w:tcW w:w="4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93"/>
        </w:trPr>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 (expense)</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4,188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8,124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8,961</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(26,760)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(56,742)</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Pledged MSR liability expense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(39,810)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(41,686)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(77,660)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(48,280)</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Loss on extinguishment of debt</w:t>
            </w: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Earnings of equity method investee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net</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1,271</w:t>
            </w:r>
          </w:p>
        </w:tc>
      </w:tr>
      <w:tr>
        <w:trPr>
          <w:trHeight w:val="184"/>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other expense, net</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(65,424)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(64,937)</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(142,958)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(94,790)</w:t>
            </w:r>
          </w:p>
        </w:tc>
      </w:tr>
      <w:tr>
        <w:trPr>
          <w:trHeight w:val="117"/>
        </w:trPr>
        <w:tc>
          <w:tcPr>
            <w:tcW w:w="4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(22,237)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(6,156)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(10,598)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(93,501)</w:t>
            </w:r>
          </w:p>
        </w:tc>
      </w:tr>
      <w:tr>
        <w:trPr>
          <w:trHeight w:val="194"/>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(11,915)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(8,819)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(69,966)</w:t>
            </w:r>
          </w:p>
        </w:tc>
      </w:tr>
      <w:tr>
        <w:trPr>
          <w:trHeight w:val="162"/>
        </w:trPr>
        <w:tc>
          <w:tcPr>
            <w:tcW w:w="482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Net income (loss)</w:t>
            </w:r>
          </w:p>
        </w:tc>
        <w:tc>
          <w:tcPr>
            <w:tcW w:w="220" w:type="dxa"/>
            <w:vAlign w:val="bottom"/>
            <w:tcBorders>
              <w:bottom w:val="single" w:sz="8" w:color="auto"/>
            </w:tcBorders>
          </w:tcPr>
          <w:p>
            <w:pPr>
              <w:jc w:val="right"/>
              <w:ind w:right="44"/>
              <w:spacing w:after="0" w:line="161" w:lineRule="exact"/>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(10,322)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4"/>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1,954</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4"/>
              <w:spacing w:after="0" w:line="161"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(1,779)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4"/>
              <w:spacing w:after="0" w:line="161" w:lineRule="exact"/>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(23,535)</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9"/>
        </w:trPr>
        <w:tc>
          <w:tcPr>
            <w:tcW w:w="4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93"/>
        </w:trPr>
        <w:tc>
          <w:tcPr>
            <w:tcW w:w="4820" w:type="dxa"/>
            <w:vAlign w:val="bottom"/>
          </w:tcPr>
          <w:p>
            <w:pPr>
              <w:spacing w:after="0"/>
              <w:rPr>
                <w:sz w:val="20"/>
                <w:szCs w:val="20"/>
                <w:color w:val="auto"/>
              </w:rPr>
            </w:pPr>
            <w:r>
              <w:rPr>
                <w:rFonts w:ascii="Arial" w:cs="Arial" w:eastAsia="Arial" w:hAnsi="Arial"/>
                <w:sz w:val="15"/>
                <w:szCs w:val="15"/>
                <w:b w:val="1"/>
                <w:bCs w:val="1"/>
                <w:color w:val="auto"/>
              </w:rPr>
              <w:t>Earnings (loss) per share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Diluted</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0.23</w:t>
            </w:r>
          </w:p>
        </w:tc>
        <w:tc>
          <w:tcPr>
            <w:tcW w:w="12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(0.20)</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(2.67)</w:t>
            </w:r>
          </w:p>
        </w:tc>
      </w:tr>
      <w:tr>
        <w:trPr>
          <w:trHeight w:val="137"/>
        </w:trPr>
        <w:tc>
          <w:tcPr>
            <w:tcW w:w="4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93"/>
        </w:trPr>
        <w:tc>
          <w:tcPr>
            <w:tcW w:w="4820" w:type="dxa"/>
            <w:vAlign w:val="bottom"/>
          </w:tcPr>
          <w:p>
            <w:pPr>
              <w:spacing w:after="0"/>
              <w:rPr>
                <w:sz w:val="20"/>
                <w:szCs w:val="20"/>
                <w:color w:val="auto"/>
              </w:rPr>
            </w:pPr>
            <w:r>
              <w:rPr>
                <w:rFonts w:ascii="Arial" w:cs="Arial" w:eastAsia="Arial" w:hAnsi="Arial"/>
                <w:sz w:val="15"/>
                <w:szCs w:val="15"/>
                <w:b w:val="1"/>
                <w:bCs w:val="1"/>
                <w:color w:val="auto"/>
              </w:rPr>
              <w:t>Weighted average common shares outstanding</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8,999,544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8,651,273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8,844,637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8,820,931</w:t>
            </w:r>
          </w:p>
        </w:tc>
      </w:tr>
      <w:tr>
        <w:trPr>
          <w:trHeight w:val="191"/>
        </w:trPr>
        <w:tc>
          <w:tcPr>
            <w:tcW w:w="4820" w:type="dxa"/>
            <w:vAlign w:val="bottom"/>
          </w:tcPr>
          <w:p>
            <w:pPr>
              <w:ind w:left="100"/>
              <w:spacing w:after="0"/>
              <w:rPr>
                <w:sz w:val="20"/>
                <w:szCs w:val="20"/>
                <w:color w:val="auto"/>
              </w:rPr>
            </w:pPr>
            <w:r>
              <w:rPr>
                <w:rFonts w:ascii="Arial" w:cs="Arial" w:eastAsia="Arial" w:hAnsi="Arial"/>
                <w:sz w:val="15"/>
                <w:szCs w:val="15"/>
                <w:color w:val="auto"/>
              </w:rPr>
              <w:t>Diluted</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8,999,544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8,661,490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8,844,637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8,820,931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6" w:name="page7"/>
    <w:bookmarkEnd w:id="6"/>
    <w:p>
      <w:pPr>
        <w:jc w:val="center"/>
        <w:spacing w:after="0" w:line="268" w:lineRule="auto"/>
        <w:rPr>
          <w:sz w:val="20"/>
          <w:szCs w:val="20"/>
          <w:color w:val="auto"/>
        </w:rPr>
      </w:pPr>
      <w:r>
        <w:rPr>
          <w:rFonts w:ascii="Arial" w:cs="Arial" w:eastAsia="Arial" w:hAnsi="Arial"/>
          <w:sz w:val="15"/>
          <w:szCs w:val="15"/>
          <w:b w:val="1"/>
          <w:bCs w:val="1"/>
          <w:color w:val="auto"/>
        </w:rPr>
        <w:t>OCWEN FINANCIAL CORPORATION AND SUBSIDIARIES UNAUDITED CONSOLIDATED STATEMENTS OF COMPREHENSIVE INCOME (LOSS) (Dollars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280" w:type="dxa"/>
            <w:vAlign w:val="bottom"/>
            <w:gridSpan w:val="6"/>
          </w:tcPr>
          <w:p>
            <w:pPr>
              <w:ind w:left="360"/>
              <w:spacing w:after="0"/>
              <w:rPr>
                <w:sz w:val="20"/>
                <w:szCs w:val="20"/>
                <w:color w:val="auto"/>
              </w:rPr>
            </w:pPr>
            <w:r>
              <w:rPr>
                <w:rFonts w:ascii="Arial" w:cs="Arial" w:eastAsia="Arial" w:hAnsi="Arial"/>
                <w:sz w:val="15"/>
                <w:szCs w:val="15"/>
                <w:b w:val="1"/>
                <w:bCs w:val="1"/>
                <w:color w:val="auto"/>
              </w:rPr>
              <w:t>For the Three Months Ended June 30,</w:t>
            </w:r>
          </w:p>
        </w:tc>
        <w:tc>
          <w:tcPr>
            <w:tcW w:w="260" w:type="dxa"/>
            <w:vAlign w:val="bottom"/>
          </w:tcPr>
          <w:p>
            <w:pPr>
              <w:spacing w:after="0"/>
              <w:rPr>
                <w:sz w:val="16"/>
                <w:szCs w:val="16"/>
                <w:color w:val="auto"/>
              </w:rPr>
            </w:pPr>
          </w:p>
        </w:tc>
        <w:tc>
          <w:tcPr>
            <w:tcW w:w="2900" w:type="dxa"/>
            <w:vAlign w:val="bottom"/>
            <w:gridSpan w:val="4"/>
          </w:tcPr>
          <w:p>
            <w:pPr>
              <w:jc w:val="right"/>
              <w:ind w:right="364"/>
              <w:spacing w:after="0"/>
              <w:rPr>
                <w:sz w:val="20"/>
                <w:szCs w:val="20"/>
                <w:color w:val="auto"/>
              </w:rPr>
            </w:pPr>
            <w:r>
              <w:rPr>
                <w:rFonts w:ascii="Arial" w:cs="Arial" w:eastAsia="Arial" w:hAnsi="Arial"/>
                <w:sz w:val="15"/>
                <w:szCs w:val="15"/>
                <w:b w:val="1"/>
                <w:bCs w:val="1"/>
                <w:color w:val="auto"/>
                <w:w w:val="97"/>
              </w:rPr>
              <w:t>For the Six Months Ended June 30,</w:t>
            </w:r>
          </w:p>
        </w:tc>
      </w:tr>
      <w:tr>
        <w:trPr>
          <w:trHeight w:val="185"/>
        </w:trPr>
        <w:tc>
          <w:tcPr>
            <w:tcW w:w="48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84"/>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(10,322)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(23,535)</w:t>
            </w:r>
          </w:p>
        </w:tc>
      </w:tr>
      <w:tr>
        <w:trPr>
          <w:trHeight w:val="136"/>
        </w:trPr>
        <w:tc>
          <w:tcPr>
            <w:tcW w:w="4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3"/>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net of income taxes: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Change in unfunded pension plan obligation liability</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185"/>
        </w:trPr>
        <w:tc>
          <w:tcPr>
            <w:tcW w:w="4820" w:type="dxa"/>
            <w:vAlign w:val="bottom"/>
          </w:tcPr>
          <w:p>
            <w:pPr>
              <w:spacing w:after="0"/>
              <w:rPr>
                <w:sz w:val="20"/>
                <w:szCs w:val="20"/>
                <w:color w:val="auto"/>
              </w:rPr>
            </w:pPr>
            <w:r>
              <w:rPr>
                <w:rFonts w:ascii="Arial" w:cs="Arial" w:eastAsia="Arial" w:hAnsi="Arial"/>
                <w:sz w:val="15"/>
                <w:szCs w:val="15"/>
                <w:color w:val="auto"/>
              </w:rPr>
              <w:t>Comprehensive income (loss)</w:t>
            </w: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(10,667)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(23,367)</w:t>
            </w: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 CONSOLIDATED STATEMENTS OF CHANGES IN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THREE MONTHS ENDED JUNE 30, 2021 AND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gridSpan w:val="3"/>
            <w:vMerge w:val="restart"/>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6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80"/>
              <w:spacing w:after="0" w:line="115" w:lineRule="exact"/>
              <w:rPr>
                <w:sz w:val="20"/>
                <w:szCs w:val="20"/>
                <w:color w:val="auto"/>
              </w:rPr>
            </w:pPr>
            <w:r>
              <w:rPr>
                <w:rFonts w:ascii="Arial" w:cs="Arial" w:eastAsia="Arial" w:hAnsi="Arial"/>
                <w:sz w:val="12"/>
                <w:szCs w:val="12"/>
                <w:b w:val="1"/>
                <w:bCs w:val="1"/>
                <w:color w:val="auto"/>
              </w:rPr>
              <w:t>Other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Additional Paid-in</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99"/>
              </w:rPr>
              <w:t>Comprehensive</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tcPr>
          <w:p>
            <w:pPr>
              <w:jc w:val="center"/>
              <w:ind w:right="100"/>
              <w:spacing w:after="0" w:line="136" w:lineRule="exact"/>
              <w:rPr>
                <w:sz w:val="20"/>
                <w:szCs w:val="20"/>
                <w:color w:val="auto"/>
              </w:rPr>
            </w:pPr>
            <w:r>
              <w:rPr>
                <w:rFonts w:ascii="Arial" w:cs="Arial" w:eastAsia="Arial" w:hAnsi="Arial"/>
                <w:sz w:val="14"/>
                <w:szCs w:val="14"/>
                <w:b w:val="1"/>
                <w:bCs w:val="1"/>
                <w:color w:val="auto"/>
                <w:w w:val="88"/>
              </w:rPr>
              <w:t>Deficit) Retained</w:t>
            </w:r>
          </w:p>
        </w:tc>
        <w:tc>
          <w:tcPr>
            <w:tcW w:w="120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w w:val="94"/>
              </w:rPr>
              <w:t>Income (Loss), Net</w:t>
            </w:r>
          </w:p>
        </w:tc>
        <w:tc>
          <w:tcPr>
            <w:tcW w:w="24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of Income Taxes</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60" w:type="dxa"/>
            <w:vAlign w:val="bottom"/>
            <w:tcBorders>
              <w:top w:val="single" w:sz="8" w:color="CCEEFF"/>
            </w:tcBorders>
            <w:gridSpan w:val="3"/>
            <w:shd w:val="clear" w:color="auto" w:fill="CCEEFF"/>
          </w:tcPr>
          <w:p>
            <w:pPr>
              <w:ind w:left="20"/>
              <w:spacing w:after="0" w:line="141" w:lineRule="exact"/>
              <w:rPr>
                <w:sz w:val="20"/>
                <w:szCs w:val="20"/>
                <w:color w:val="auto"/>
              </w:rPr>
            </w:pPr>
            <w:r>
              <w:rPr>
                <w:rFonts w:ascii="Arial" w:cs="Arial" w:eastAsia="Arial" w:hAnsi="Arial"/>
                <w:sz w:val="15"/>
                <w:szCs w:val="15"/>
                <w:b w:val="1"/>
                <w:bCs w:val="1"/>
                <w:color w:val="auto"/>
              </w:rPr>
              <w:t>Three Months Ended June 30, 2021 and 2020</w:t>
            </w: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tcPr>
          <w:p>
            <w:pPr>
              <w:spacing w:after="0"/>
              <w:rPr>
                <w:sz w:val="15"/>
                <w:szCs w:val="15"/>
                <w:color w:val="auto"/>
              </w:rPr>
            </w:pPr>
          </w:p>
        </w:tc>
        <w:tc>
          <w:tcPr>
            <w:tcW w:w="29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Balance at March 31, 2021</w:t>
            </w:r>
          </w:p>
        </w:tc>
        <w:tc>
          <w:tcPr>
            <w:tcW w:w="11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8,701,530</w:t>
            </w: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ind w:right="712"/>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87</w:t>
            </w: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572,500</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(123,139)</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(9,438)</w:t>
            </w: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jc w:val="right"/>
              <w:ind w:right="92"/>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440,010</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40" w:type="dxa"/>
            <w:vAlign w:val="bottom"/>
            <w:gridSpan w:val="2"/>
          </w:tcPr>
          <w:p>
            <w:pPr>
              <w:ind w:left="160"/>
              <w:spacing w:after="0"/>
              <w:rPr>
                <w:sz w:val="20"/>
                <w:szCs w:val="20"/>
                <w:color w:val="auto"/>
              </w:rPr>
            </w:pPr>
            <w:r>
              <w:rPr>
                <w:rFonts w:ascii="Arial" w:cs="Arial" w:eastAsia="Arial" w:hAnsi="Arial"/>
                <w:sz w:val="14"/>
                <w:szCs w:val="14"/>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426,705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12,169</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Issuance of common stock warrants, net of issuance costs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40" w:type="dxa"/>
            <w:vAlign w:val="bottom"/>
            <w:gridSpan w:val="2"/>
          </w:tcPr>
          <w:p>
            <w:pPr>
              <w:ind w:left="160"/>
              <w:spacing w:after="0"/>
              <w:rPr>
                <w:sz w:val="20"/>
                <w:szCs w:val="20"/>
                <w:color w:val="auto"/>
              </w:rPr>
            </w:pPr>
            <w:r>
              <w:rPr>
                <w:rFonts w:ascii="Arial" w:cs="Arial" w:eastAsia="Arial" w:hAnsi="Arial"/>
                <w:sz w:val="14"/>
                <w:szCs w:val="14"/>
                <w:color w:val="auto"/>
              </w:rPr>
              <w:t>Equity-based compensation and other</w:t>
            </w:r>
          </w:p>
        </w:tc>
        <w:tc>
          <w:tcPr>
            <w:tcW w:w="1120" w:type="dxa"/>
            <w:vAlign w:val="bottom"/>
          </w:tcPr>
          <w:p>
            <w:pPr>
              <w:jc w:val="right"/>
              <w:spacing w:after="0"/>
              <w:rPr>
                <w:sz w:val="20"/>
                <w:szCs w:val="20"/>
                <w:color w:val="auto"/>
              </w:rPr>
            </w:pPr>
            <w:r>
              <w:rPr>
                <w:rFonts w:ascii="Arial" w:cs="Arial" w:eastAsia="Arial" w:hAnsi="Arial"/>
                <w:sz w:val="14"/>
                <w:szCs w:val="14"/>
                <w:color w:val="auto"/>
              </w:rPr>
              <w:t>60,795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comprehensive loss, net of income taxes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 June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9,189,030</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590,252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(133,461)</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(9,783)</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447,100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4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 March 31, 2020</w:t>
            </w:r>
          </w:p>
        </w:tc>
        <w:tc>
          <w:tcPr>
            <w:tcW w:w="1120" w:type="dxa"/>
            <w:vAlign w:val="bottom"/>
          </w:tcPr>
          <w:p>
            <w:pPr>
              <w:jc w:val="right"/>
              <w:spacing w:after="0"/>
              <w:rPr>
                <w:sz w:val="20"/>
                <w:szCs w:val="20"/>
                <w:color w:val="auto"/>
              </w:rPr>
            </w:pPr>
            <w:r>
              <w:rPr>
                <w:rFonts w:ascii="Arial" w:cs="Arial" w:eastAsia="Arial" w:hAnsi="Arial"/>
                <w:sz w:val="14"/>
                <w:szCs w:val="14"/>
                <w:color w:val="auto"/>
              </w:rPr>
              <w:t>8,638,818</w:t>
            </w:r>
          </w:p>
        </w:tc>
        <w:tc>
          <w:tcPr>
            <w:tcW w:w="80" w:type="dxa"/>
            <w:vAlign w:val="bottom"/>
          </w:tcPr>
          <w:p>
            <w:pPr>
              <w:spacing w:after="0"/>
              <w:rPr>
                <w:sz w:val="15"/>
                <w:szCs w:val="15"/>
                <w:color w:val="auto"/>
              </w:rPr>
            </w:pPr>
          </w:p>
        </w:tc>
        <w:tc>
          <w:tcPr>
            <w:tcW w:w="860" w:type="dxa"/>
            <w:vAlign w:val="bottom"/>
          </w:tcPr>
          <w:p>
            <w:pPr>
              <w:jc w:val="right"/>
              <w:ind w:right="712"/>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554,276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(116,993)</w:t>
            </w:r>
          </w:p>
        </w:tc>
        <w:tc>
          <w:tcPr>
            <w:tcW w:w="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(7,512)</w:t>
            </w:r>
          </w:p>
        </w:tc>
        <w:tc>
          <w:tcPr>
            <w:tcW w:w="8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429,857</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40" w:type="dxa"/>
            <w:vAlign w:val="bottom"/>
            <w:gridSpan w:val="2"/>
          </w:tcPr>
          <w:p>
            <w:pPr>
              <w:ind w:left="160"/>
              <w:spacing w:after="0"/>
              <w:rPr>
                <w:sz w:val="20"/>
                <w:szCs w:val="20"/>
                <w:color w:val="auto"/>
              </w:rPr>
            </w:pPr>
            <w:r>
              <w:rPr>
                <w:rFonts w:ascii="Arial" w:cs="Arial" w:eastAsia="Arial" w:hAnsi="Arial"/>
                <w:sz w:val="14"/>
                <w:szCs w:val="14"/>
                <w:color w:val="auto"/>
              </w:rPr>
              <w:t>Equity-based compensation and other</w:t>
            </w:r>
          </w:p>
        </w:tc>
        <w:tc>
          <w:tcPr>
            <w:tcW w:w="1120" w:type="dxa"/>
            <w:vAlign w:val="bottom"/>
          </w:tcPr>
          <w:p>
            <w:pPr>
              <w:jc w:val="right"/>
              <w:spacing w:after="0"/>
              <w:rPr>
                <w:sz w:val="20"/>
                <w:szCs w:val="20"/>
                <w:color w:val="auto"/>
              </w:rPr>
            </w:pPr>
            <w:r>
              <w:rPr>
                <w:rFonts w:ascii="Arial" w:cs="Arial" w:eastAsia="Arial" w:hAnsi="Arial"/>
                <w:sz w:val="14"/>
                <w:szCs w:val="14"/>
                <w:color w:val="auto"/>
              </w:rPr>
              <w:t>28,442</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comprehensive income, net of income taxes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840"/>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 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8,667,260</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555,147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(115,039)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(7,426)</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57150</wp:posOffset>
            </wp:positionV>
            <wp:extent cx="71793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20"/>
          </w:cols>
          <w:pgMar w:left="340" w:top="87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 CONSOLIDATED STATEMENTS OF CHANGES IN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 THE SIX MONTHS ENDED JUNE 30, 2021 AND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60" w:type="dxa"/>
            <w:vAlign w:val="bottom"/>
            <w:gridSpan w:val="3"/>
            <w:vMerge w:val="restart"/>
          </w:tcPr>
          <w:p>
            <w:pPr>
              <w:jc w:val="right"/>
              <w:ind w:right="39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7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6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vMerge w:val="restart"/>
          </w:tcPr>
          <w:p>
            <w:pPr>
              <w:ind w:left="20"/>
              <w:spacing w:after="0" w:line="136" w:lineRule="exact"/>
              <w:rPr>
                <w:sz w:val="20"/>
                <w:szCs w:val="20"/>
                <w:color w:val="auto"/>
              </w:rPr>
            </w:pPr>
            <w:r>
              <w:rPr>
                <w:rFonts w:ascii="Arial" w:cs="Arial" w:eastAsia="Arial" w:hAnsi="Arial"/>
                <w:sz w:val="14"/>
                <w:szCs w:val="14"/>
                <w:b w:val="1"/>
                <w:bCs w:val="1"/>
                <w:color w:val="auto"/>
                <w:w w:val="97"/>
              </w:rPr>
              <w:t>Additional Paid-in</w:t>
            </w:r>
          </w:p>
        </w:tc>
        <w:tc>
          <w:tcPr>
            <w:tcW w:w="1200" w:type="dxa"/>
            <w:vAlign w:val="bottom"/>
            <w:gridSpan w:val="3"/>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90"/>
              </w:rPr>
              <w:t>Deficit) Retained</w:t>
            </w:r>
          </w:p>
        </w:tc>
        <w:tc>
          <w:tcPr>
            <w:tcW w:w="100" w:type="dxa"/>
            <w:vAlign w:val="bottom"/>
          </w:tcPr>
          <w:p>
            <w:pPr>
              <w:spacing w:after="0"/>
              <w:rPr>
                <w:sz w:val="7"/>
                <w:szCs w:val="7"/>
                <w:color w:val="auto"/>
              </w:rPr>
            </w:pPr>
          </w:p>
        </w:tc>
        <w:tc>
          <w:tcPr>
            <w:tcW w:w="110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4"/>
              </w:rPr>
              <w:t>Loss, Net of</w:t>
            </w: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8"/>
        </w:trPr>
        <w:tc>
          <w:tcPr>
            <w:tcW w:w="2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Income Taxes</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tcBorders>
              <w:top w:val="single" w:sz="8" w:color="CCEEFF"/>
              <w:bottom w:val="single" w:sz="8" w:color="auto"/>
            </w:tcBorders>
            <w:shd w:val="clear" w:color="auto" w:fill="CCEEFF"/>
          </w:tcPr>
          <w:p>
            <w:pPr>
              <w:spacing w:after="0" w:line="141" w:lineRule="exact"/>
              <w:rPr>
                <w:sz w:val="20"/>
                <w:szCs w:val="20"/>
                <w:color w:val="auto"/>
              </w:rPr>
            </w:pPr>
            <w:r>
              <w:rPr>
                <w:rFonts w:ascii="Arial" w:cs="Arial" w:eastAsia="Arial" w:hAnsi="Arial"/>
                <w:sz w:val="15"/>
                <w:szCs w:val="15"/>
                <w:b w:val="1"/>
                <w:bCs w:val="1"/>
                <w:color w:val="auto"/>
                <w:w w:val="90"/>
              </w:rPr>
              <w:t>Six Months Ended June 30, 2021 and 2020</w:t>
            </w:r>
          </w:p>
        </w:tc>
        <w:tc>
          <w:tcPr>
            <w:tcW w:w="132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0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 December 31, 2020</w:t>
            </w:r>
          </w:p>
        </w:tc>
        <w:tc>
          <w:tcPr>
            <w:tcW w:w="1120" w:type="dxa"/>
            <w:vAlign w:val="bottom"/>
          </w:tcPr>
          <w:p>
            <w:pPr>
              <w:jc w:val="right"/>
              <w:spacing w:after="0"/>
              <w:rPr>
                <w:sz w:val="20"/>
                <w:szCs w:val="20"/>
                <w:color w:val="auto"/>
              </w:rPr>
            </w:pPr>
            <w:r>
              <w:rPr>
                <w:rFonts w:ascii="Arial" w:cs="Arial" w:eastAsia="Arial" w:hAnsi="Arial"/>
                <w:sz w:val="14"/>
                <w:szCs w:val="14"/>
                <w:color w:val="auto"/>
              </w:rPr>
              <w:t>8,687,750</w:t>
            </w:r>
          </w:p>
        </w:tc>
        <w:tc>
          <w:tcPr>
            <w:tcW w:w="80" w:type="dxa"/>
            <w:vAlign w:val="bottom"/>
          </w:tcPr>
          <w:p>
            <w:pPr>
              <w:spacing w:after="0"/>
              <w:rPr>
                <w:sz w:val="15"/>
                <w:szCs w:val="15"/>
                <w:color w:val="auto"/>
              </w:rPr>
            </w:pPr>
          </w:p>
        </w:tc>
        <w:tc>
          <w:tcPr>
            <w:tcW w:w="860" w:type="dxa"/>
            <w:vAlign w:val="bottom"/>
          </w:tcPr>
          <w:p>
            <w:pPr>
              <w:jc w:val="right"/>
              <w:ind w:right="712"/>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556,062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(131,682)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(9,095)</w:t>
            </w:r>
          </w:p>
        </w:tc>
        <w:tc>
          <w:tcPr>
            <w:tcW w:w="8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415,372</w:t>
            </w:r>
          </w:p>
        </w:tc>
        <w:tc>
          <w:tcPr>
            <w:tcW w:w="0" w:type="dxa"/>
            <w:vAlign w:val="bottom"/>
          </w:tcPr>
          <w:p>
            <w:pPr>
              <w:spacing w:after="0"/>
              <w:rPr>
                <w:sz w:val="1"/>
                <w:szCs w:val="1"/>
                <w:color w:val="auto"/>
              </w:rPr>
            </w:pPr>
          </w:p>
        </w:tc>
      </w:tr>
      <w:tr>
        <w:trPr>
          <w:trHeight w:val="184"/>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79"/>
        </w:trPr>
        <w:tc>
          <w:tcPr>
            <w:tcW w:w="4060" w:type="dxa"/>
            <w:vAlign w:val="bottom"/>
            <w:gridSpan w:val="2"/>
          </w:tcPr>
          <w:p>
            <w:pPr>
              <w:ind w:left="180"/>
              <w:spacing w:after="0"/>
              <w:rPr>
                <w:sz w:val="20"/>
                <w:szCs w:val="20"/>
                <w:color w:val="auto"/>
              </w:rPr>
            </w:pPr>
            <w:r>
              <w:rPr>
                <w:rFonts w:ascii="Arial" w:cs="Arial" w:eastAsia="Arial" w:hAnsi="Arial"/>
                <w:sz w:val="14"/>
                <w:szCs w:val="14"/>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426,705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12,169</w:t>
            </w:r>
          </w:p>
        </w:tc>
        <w:tc>
          <w:tcPr>
            <w:tcW w:w="0" w:type="dxa"/>
            <w:vAlign w:val="bottom"/>
          </w:tcPr>
          <w:p>
            <w:pPr>
              <w:spacing w:after="0"/>
              <w:rPr>
                <w:sz w:val="1"/>
                <w:szCs w:val="1"/>
                <w:color w:val="auto"/>
              </w:rPr>
            </w:pPr>
          </w:p>
        </w:tc>
      </w:tr>
      <w:tr>
        <w:trPr>
          <w:trHeight w:val="184"/>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Issuance of common stock warrants, net of issuance costs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19,956</w:t>
            </w:r>
          </w:p>
        </w:tc>
        <w:tc>
          <w:tcPr>
            <w:tcW w:w="0" w:type="dxa"/>
            <w:vAlign w:val="bottom"/>
          </w:tcPr>
          <w:p>
            <w:pPr>
              <w:spacing w:after="0"/>
              <w:rPr>
                <w:sz w:val="1"/>
                <w:szCs w:val="1"/>
                <w:color w:val="auto"/>
              </w:rPr>
            </w:pPr>
          </w:p>
        </w:tc>
      </w:tr>
      <w:tr>
        <w:trPr>
          <w:trHeight w:val="179"/>
        </w:trPr>
        <w:tc>
          <w:tcPr>
            <w:tcW w:w="4060" w:type="dxa"/>
            <w:vAlign w:val="bottom"/>
            <w:gridSpan w:val="2"/>
          </w:tcPr>
          <w:p>
            <w:pPr>
              <w:ind w:left="180"/>
              <w:spacing w:after="0"/>
              <w:rPr>
                <w:sz w:val="20"/>
                <w:szCs w:val="20"/>
                <w:color w:val="auto"/>
              </w:rPr>
            </w:pPr>
            <w:r>
              <w:rPr>
                <w:rFonts w:ascii="Arial" w:cs="Arial" w:eastAsia="Arial" w:hAnsi="Arial"/>
                <w:sz w:val="14"/>
                <w:szCs w:val="14"/>
                <w:color w:val="auto"/>
              </w:rPr>
              <w:t>Equity-based compensation and other</w:t>
            </w:r>
          </w:p>
        </w:tc>
        <w:tc>
          <w:tcPr>
            <w:tcW w:w="1120" w:type="dxa"/>
            <w:vAlign w:val="bottom"/>
          </w:tcPr>
          <w:p>
            <w:pPr>
              <w:jc w:val="right"/>
              <w:spacing w:after="0"/>
              <w:rPr>
                <w:sz w:val="20"/>
                <w:szCs w:val="20"/>
                <w:color w:val="auto"/>
              </w:rPr>
            </w:pPr>
            <w:r>
              <w:rPr>
                <w:rFonts w:ascii="Arial" w:cs="Arial" w:eastAsia="Arial" w:hAnsi="Arial"/>
                <w:sz w:val="14"/>
                <w:szCs w:val="14"/>
                <w:color w:val="auto"/>
              </w:rPr>
              <w:t>74,575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8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76"/>
        </w:trPr>
        <w:tc>
          <w:tcPr>
            <w:tcW w:w="40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 June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9,189,030</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590,252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(133,461)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(9,783)</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447,100</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 December 31, 2019</w:t>
            </w:r>
          </w:p>
        </w:tc>
        <w:tc>
          <w:tcPr>
            <w:tcW w:w="1120" w:type="dxa"/>
            <w:vAlign w:val="bottom"/>
          </w:tcPr>
          <w:p>
            <w:pPr>
              <w:jc w:val="right"/>
              <w:spacing w:after="0"/>
              <w:rPr>
                <w:sz w:val="20"/>
                <w:szCs w:val="20"/>
                <w:color w:val="auto"/>
              </w:rPr>
            </w:pPr>
            <w:r>
              <w:rPr>
                <w:rFonts w:ascii="Arial" w:cs="Arial" w:eastAsia="Arial" w:hAnsi="Arial"/>
                <w:sz w:val="14"/>
                <w:szCs w:val="14"/>
                <w:color w:val="auto"/>
              </w:rPr>
              <w:t>8,990,816</w:t>
            </w:r>
          </w:p>
        </w:tc>
        <w:tc>
          <w:tcPr>
            <w:tcW w:w="80" w:type="dxa"/>
            <w:vAlign w:val="bottom"/>
          </w:tcPr>
          <w:p>
            <w:pPr>
              <w:spacing w:after="0"/>
              <w:rPr>
                <w:sz w:val="15"/>
                <w:szCs w:val="15"/>
                <w:color w:val="auto"/>
              </w:rPr>
            </w:pPr>
          </w:p>
        </w:tc>
        <w:tc>
          <w:tcPr>
            <w:tcW w:w="860" w:type="dxa"/>
            <w:vAlign w:val="bottom"/>
          </w:tcPr>
          <w:p>
            <w:pPr>
              <w:jc w:val="right"/>
              <w:ind w:right="712"/>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558,057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(138,542)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(7,594)</w:t>
            </w:r>
          </w:p>
        </w:tc>
        <w:tc>
          <w:tcPr>
            <w:tcW w:w="8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412,011</w:t>
            </w:r>
          </w:p>
        </w:tc>
        <w:tc>
          <w:tcPr>
            <w:tcW w:w="0" w:type="dxa"/>
            <w:vAlign w:val="bottom"/>
          </w:tcPr>
          <w:p>
            <w:pPr>
              <w:spacing w:after="0"/>
              <w:rPr>
                <w:sz w:val="1"/>
                <w:szCs w:val="1"/>
                <w:color w:val="auto"/>
              </w:rPr>
            </w:pPr>
          </w:p>
        </w:tc>
      </w:tr>
      <w:tr>
        <w:trPr>
          <w:trHeight w:val="184"/>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(23,535)</w:t>
            </w:r>
          </w:p>
        </w:tc>
        <w:tc>
          <w:tcPr>
            <w:tcW w:w="0" w:type="dxa"/>
            <w:vAlign w:val="bottom"/>
          </w:tcPr>
          <w:p>
            <w:pPr>
              <w:spacing w:after="0"/>
              <w:rPr>
                <w:sz w:val="1"/>
                <w:szCs w:val="1"/>
                <w:color w:val="auto"/>
              </w:rPr>
            </w:pPr>
          </w:p>
        </w:tc>
      </w:tr>
      <w:tr>
        <w:trPr>
          <w:trHeight w:val="139"/>
        </w:trPr>
        <w:tc>
          <w:tcPr>
            <w:tcW w:w="4060" w:type="dxa"/>
            <w:vAlign w:val="bottom"/>
            <w:gridSpan w:val="2"/>
          </w:tcPr>
          <w:p>
            <w:pPr>
              <w:ind w:left="180"/>
              <w:spacing w:after="0" w:line="139" w:lineRule="exact"/>
              <w:rPr>
                <w:sz w:val="20"/>
                <w:szCs w:val="20"/>
                <w:color w:val="auto"/>
              </w:rPr>
            </w:pPr>
            <w:r>
              <w:rPr>
                <w:rFonts w:ascii="Arial" w:cs="Arial" w:eastAsia="Arial" w:hAnsi="Arial"/>
                <w:sz w:val="14"/>
                <w:szCs w:val="14"/>
                <w:color w:val="auto"/>
                <w:w w:val="97"/>
              </w:rPr>
              <w:t>Cumulative effect of adoption of Financial Accounting Standards</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47,038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47,038</w:t>
            </w:r>
          </w:p>
        </w:tc>
        <w:tc>
          <w:tcPr>
            <w:tcW w:w="0" w:type="dxa"/>
            <w:vAlign w:val="bottom"/>
          </w:tcPr>
          <w:p>
            <w:pPr>
              <w:spacing w:after="0"/>
              <w:rPr>
                <w:sz w:val="1"/>
                <w:szCs w:val="1"/>
                <w:color w:val="auto"/>
              </w:rPr>
            </w:pPr>
          </w:p>
        </w:tc>
      </w:tr>
      <w:tr>
        <w:trPr>
          <w:trHeight w:val="176"/>
        </w:trPr>
        <w:tc>
          <w:tcPr>
            <w:tcW w:w="4060" w:type="dxa"/>
            <w:vAlign w:val="bottom"/>
            <w:gridSpan w:val="2"/>
          </w:tcPr>
          <w:p>
            <w:pPr>
              <w:ind w:left="320"/>
              <w:spacing w:after="0"/>
              <w:rPr>
                <w:sz w:val="20"/>
                <w:szCs w:val="20"/>
                <w:color w:val="auto"/>
              </w:rPr>
            </w:pPr>
            <w:r>
              <w:rPr>
                <w:rFonts w:ascii="Arial" w:cs="Arial" w:eastAsia="Arial" w:hAnsi="Arial"/>
                <w:sz w:val="14"/>
                <w:szCs w:val="14"/>
                <w:color w:val="auto"/>
                <w:w w:val="93"/>
              </w:rPr>
              <w:t>Board (FASB) Accounting Standards Update (ASU) No. 2016-13</w:t>
            </w:r>
          </w:p>
        </w:tc>
        <w:tc>
          <w:tcPr>
            <w:tcW w:w="120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(377,484)</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w:t>
            </w:r>
          </w:p>
        </w:tc>
        <w:tc>
          <w:tcPr>
            <w:tcW w:w="0" w:type="dxa"/>
            <w:vAlign w:val="bottom"/>
          </w:tcPr>
          <w:p>
            <w:pPr>
              <w:spacing w:after="0"/>
              <w:rPr>
                <w:sz w:val="1"/>
                <w:szCs w:val="1"/>
                <w:color w:val="auto"/>
              </w:rPr>
            </w:pPr>
          </w:p>
        </w:tc>
      </w:tr>
      <w:tr>
        <w:trPr>
          <w:trHeight w:val="179"/>
        </w:trPr>
        <w:tc>
          <w:tcPr>
            <w:tcW w:w="4060" w:type="dxa"/>
            <w:vAlign w:val="bottom"/>
            <w:gridSpan w:val="2"/>
          </w:tcPr>
          <w:p>
            <w:pPr>
              <w:ind w:left="180"/>
              <w:spacing w:after="0"/>
              <w:rPr>
                <w:sz w:val="20"/>
                <w:szCs w:val="20"/>
                <w:color w:val="auto"/>
              </w:rPr>
            </w:pPr>
            <w:r>
              <w:rPr>
                <w:rFonts w:ascii="Arial" w:cs="Arial" w:eastAsia="Arial" w:hAnsi="Arial"/>
                <w:sz w:val="14"/>
                <w:szCs w:val="14"/>
                <w:color w:val="auto"/>
              </w:rPr>
              <w:t>Equity-based compensation and other</w:t>
            </w:r>
          </w:p>
        </w:tc>
        <w:tc>
          <w:tcPr>
            <w:tcW w:w="1120" w:type="dxa"/>
            <w:vAlign w:val="bottom"/>
          </w:tcPr>
          <w:p>
            <w:pPr>
              <w:jc w:val="right"/>
              <w:spacing w:after="0"/>
              <w:rPr>
                <w:sz w:val="20"/>
                <w:szCs w:val="20"/>
                <w:color w:val="auto"/>
              </w:rPr>
            </w:pPr>
            <w:r>
              <w:rPr>
                <w:rFonts w:ascii="Arial" w:cs="Arial" w:eastAsia="Arial" w:hAnsi="Arial"/>
                <w:sz w:val="14"/>
                <w:szCs w:val="14"/>
                <w:color w:val="auto"/>
              </w:rPr>
              <w:t>53,928</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18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6"/>
        </w:trPr>
        <w:tc>
          <w:tcPr>
            <w:tcW w:w="40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 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8,667,260</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555,147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(115,039)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(7,426)</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432,769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00"/>
          </w:cols>
          <w:pgMar w:left="320" w:top="874"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5"/>
                <w:szCs w:val="15"/>
                <w:b w:val="1"/>
                <w:bCs w:val="1"/>
                <w:color w:val="auto"/>
                <w:w w:val="97"/>
              </w:rPr>
              <w:t>For the Six Months Ended June 30,</w:t>
            </w:r>
          </w:p>
        </w:tc>
        <w:tc>
          <w:tcPr>
            <w:tcW w:w="0" w:type="dxa"/>
            <w:vAlign w:val="bottom"/>
          </w:tcPr>
          <w:p>
            <w:pPr>
              <w:spacing w:after="0"/>
              <w:rPr>
                <w:sz w:val="1"/>
                <w:szCs w:val="1"/>
                <w:color w:val="auto"/>
              </w:rPr>
            </w:pPr>
          </w:p>
        </w:tc>
      </w:tr>
      <w:tr>
        <w:trPr>
          <w:trHeight w:val="185"/>
        </w:trPr>
        <w:tc>
          <w:tcPr>
            <w:tcW w:w="8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4"/>
        </w:trPr>
        <w:tc>
          <w:tcPr>
            <w:tcW w:w="8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Net loss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(1,779)</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(23,535)</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Adjustments to reconcile loss to net cash (used in) provided by operating activities: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tcPr>
          <w:p>
            <w:pPr>
              <w:ind w:left="180"/>
              <w:spacing w:after="0"/>
              <w:rPr>
                <w:sz w:val="20"/>
                <w:szCs w:val="20"/>
                <w:color w:val="auto"/>
              </w:rPr>
            </w:pPr>
            <w:r>
              <w:rPr>
                <w:rFonts w:ascii="Arial" w:cs="Arial" w:eastAsia="Arial" w:hAnsi="Arial"/>
                <w:sz w:val="15"/>
                <w:szCs w:val="15"/>
                <w:color w:val="auto"/>
              </w:rPr>
              <w:t>MSR valuation adjustments,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51,242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197,554</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(gain) on sale of MSRs, net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92"/>
        </w:trPr>
        <w:tc>
          <w:tcPr>
            <w:tcW w:w="8100" w:type="dxa"/>
            <w:vAlign w:val="bottom"/>
          </w:tcPr>
          <w:p>
            <w:pPr>
              <w:ind w:left="180"/>
              <w:spacing w:after="0"/>
              <w:rPr>
                <w:sz w:val="20"/>
                <w:szCs w:val="20"/>
                <w:color w:val="auto"/>
              </w:rPr>
            </w:pPr>
            <w:r>
              <w:rPr>
                <w:rFonts w:ascii="Arial" w:cs="Arial" w:eastAsia="Arial" w:hAnsi="Arial"/>
                <w:sz w:val="15"/>
                <w:szCs w:val="15"/>
                <w:color w:val="auto"/>
              </w:rPr>
              <w:t>Provision for bad debts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11,522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11,939</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11,093</w:t>
            </w:r>
          </w:p>
        </w:tc>
        <w:tc>
          <w:tcPr>
            <w:tcW w:w="0" w:type="dxa"/>
            <w:vAlign w:val="bottom"/>
          </w:tcPr>
          <w:p>
            <w:pPr>
              <w:spacing w:after="0"/>
              <w:rPr>
                <w:sz w:val="1"/>
                <w:szCs w:val="1"/>
                <w:color w:val="auto"/>
              </w:rPr>
            </w:pPr>
          </w:p>
        </w:tc>
      </w:tr>
      <w:tr>
        <w:trPr>
          <w:trHeight w:val="192"/>
        </w:trPr>
        <w:tc>
          <w:tcPr>
            <w:tcW w:w="8100" w:type="dxa"/>
            <w:vAlign w:val="bottom"/>
          </w:tcPr>
          <w:p>
            <w:pPr>
              <w:ind w:left="180"/>
              <w:spacing w:after="0"/>
              <w:rPr>
                <w:sz w:val="20"/>
                <w:szCs w:val="20"/>
                <w:color w:val="auto"/>
              </w:rPr>
            </w:pPr>
            <w:r>
              <w:rPr>
                <w:rFonts w:ascii="Arial" w:cs="Arial" w:eastAsia="Arial" w:hAnsi="Arial"/>
                <w:sz w:val="15"/>
                <w:szCs w:val="15"/>
                <w:color w:val="auto"/>
              </w:rPr>
              <w:t>Amortization of debt issuance costs and discount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4,181</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Equity-based compensation expense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w:t>
            </w:r>
          </w:p>
        </w:tc>
        <w:tc>
          <w:tcPr>
            <w:tcW w:w="0" w:type="dxa"/>
            <w:vAlign w:val="bottom"/>
          </w:tcPr>
          <w:p>
            <w:pPr>
              <w:spacing w:after="0"/>
              <w:rPr>
                <w:sz w:val="1"/>
                <w:szCs w:val="1"/>
                <w:color w:val="auto"/>
              </w:rPr>
            </w:pPr>
          </w:p>
        </w:tc>
      </w:tr>
      <w:tr>
        <w:trPr>
          <w:trHeight w:val="192"/>
        </w:trPr>
        <w:tc>
          <w:tcPr>
            <w:tcW w:w="8100" w:type="dxa"/>
            <w:vAlign w:val="bottom"/>
          </w:tcPr>
          <w:p>
            <w:pPr>
              <w:ind w:left="180"/>
              <w:spacing w:after="0"/>
              <w:rPr>
                <w:sz w:val="20"/>
                <w:szCs w:val="20"/>
                <w:color w:val="auto"/>
              </w:rPr>
            </w:pPr>
            <w:r>
              <w:rPr>
                <w:rFonts w:ascii="Arial" w:cs="Arial" w:eastAsia="Arial" w:hAnsi="Arial"/>
                <w:sz w:val="15"/>
                <w:szCs w:val="15"/>
                <w:color w:val="auto"/>
              </w:rPr>
              <w:t>Loss on extinguishment of debt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(gain) on valuation of Pledged MSR financing liability</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(31,716)</w:t>
            </w:r>
          </w:p>
        </w:tc>
        <w:tc>
          <w:tcPr>
            <w:tcW w:w="0" w:type="dxa"/>
            <w:vAlign w:val="bottom"/>
          </w:tcPr>
          <w:p>
            <w:pPr>
              <w:spacing w:after="0"/>
              <w:rPr>
                <w:sz w:val="1"/>
                <w:szCs w:val="1"/>
                <w:color w:val="auto"/>
              </w:rPr>
            </w:pPr>
          </w:p>
        </w:tc>
      </w:tr>
      <w:tr>
        <w:trPr>
          <w:trHeight w:val="226"/>
        </w:trPr>
        <w:tc>
          <w:tcPr>
            <w:tcW w:w="8100" w:type="dxa"/>
            <w:vAlign w:val="bottom"/>
          </w:tcPr>
          <w:p>
            <w:pPr>
              <w:ind w:left="180"/>
              <w:spacing w:after="0"/>
              <w:rPr>
                <w:sz w:val="20"/>
                <w:szCs w:val="20"/>
                <w:color w:val="auto"/>
              </w:rPr>
            </w:pPr>
            <w:r>
              <w:rPr>
                <w:rFonts w:ascii="Arial" w:cs="Arial" w:eastAsia="Arial" w:hAnsi="Arial"/>
                <w:sz w:val="15"/>
                <w:szCs w:val="15"/>
                <w:color w:val="auto"/>
              </w:rPr>
              <w:t>Net gain on valuation of loans held for investment and HMBS-related borrowings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(18,505)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(15,351)</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Gain on loans held for sale, net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(46,878)</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Origination and purchase of loans held for sale</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(6,620,727)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(1,949,022)</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Proceeds from sale and collections of loans held for sale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6,287,238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1,936,204</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Changes in assets and 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Decrease in advances, net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144,020</w:t>
            </w:r>
          </w:p>
        </w:tc>
        <w:tc>
          <w:tcPr>
            <w:tcW w:w="0" w:type="dxa"/>
            <w:vAlign w:val="bottom"/>
          </w:tcPr>
          <w:p>
            <w:pPr>
              <w:spacing w:after="0"/>
              <w:rPr>
                <w:sz w:val="1"/>
                <w:szCs w:val="1"/>
                <w:color w:val="auto"/>
              </w:rPr>
            </w:pPr>
          </w:p>
        </w:tc>
      </w:tr>
      <w:tr>
        <w:trPr>
          <w:trHeight w:val="192"/>
        </w:trPr>
        <w:tc>
          <w:tcPr>
            <w:tcW w:w="8100" w:type="dxa"/>
            <w:vAlign w:val="bottom"/>
          </w:tcPr>
          <w:p>
            <w:pPr>
              <w:ind w:left="180"/>
              <w:spacing w:after="0"/>
              <w:rPr>
                <w:sz w:val="20"/>
                <w:szCs w:val="20"/>
                <w:color w:val="auto"/>
              </w:rPr>
            </w:pPr>
            <w:r>
              <w:rPr>
                <w:rFonts w:ascii="Arial" w:cs="Arial" w:eastAsia="Arial" w:hAnsi="Arial"/>
                <w:sz w:val="15"/>
                <w:szCs w:val="15"/>
                <w:color w:val="auto"/>
              </w:rPr>
              <w:t>Decrease in receivables and other assets,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44,368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39,998</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Decrease in other liabilities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(45,533)</w:t>
            </w:r>
          </w:p>
        </w:tc>
        <w:tc>
          <w:tcPr>
            <w:tcW w:w="0" w:type="dxa"/>
            <w:vAlign w:val="bottom"/>
          </w:tcPr>
          <w:p>
            <w:pPr>
              <w:spacing w:after="0"/>
              <w:rPr>
                <w:sz w:val="1"/>
                <w:szCs w:val="1"/>
                <w:color w:val="auto"/>
              </w:rPr>
            </w:pPr>
          </w:p>
        </w:tc>
      </w:tr>
      <w:tr>
        <w:trPr>
          <w:trHeight w:val="192"/>
        </w:trPr>
        <w:tc>
          <w:tcPr>
            <w:tcW w:w="81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net</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(9,497)</w:t>
            </w:r>
          </w:p>
        </w:tc>
        <w:tc>
          <w:tcPr>
            <w:tcW w:w="0" w:type="dxa"/>
            <w:vAlign w:val="bottom"/>
          </w:tcPr>
          <w:p>
            <w:pPr>
              <w:spacing w:after="0"/>
              <w:rPr>
                <w:sz w:val="1"/>
                <w:szCs w:val="1"/>
                <w:color w:val="auto"/>
              </w:rPr>
            </w:pPr>
          </w:p>
        </w:tc>
      </w:tr>
      <w:tr>
        <w:trPr>
          <w:trHeight w:val="18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(used in) provided by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(216,237)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224,819</w:t>
            </w:r>
          </w:p>
        </w:tc>
        <w:tc>
          <w:tcPr>
            <w:tcW w:w="0" w:type="dxa"/>
            <w:vAlign w:val="bottom"/>
          </w:tcPr>
          <w:p>
            <w:pPr>
              <w:spacing w:after="0"/>
              <w:rPr>
                <w:sz w:val="1"/>
                <w:szCs w:val="1"/>
                <w:color w:val="auto"/>
              </w:rPr>
            </w:pPr>
          </w:p>
        </w:tc>
      </w:tr>
      <w:tr>
        <w:trPr>
          <w:trHeight w:val="117"/>
        </w:trPr>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Origination of loans held for investment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(720,442)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(568,074)</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Principal payments received on loans held for investment</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722,099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370,114</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Purchase of MSRs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(712,578)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(48,014)</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Investment in equity method investee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81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net</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2,589</w:t>
            </w:r>
          </w:p>
        </w:tc>
        <w:tc>
          <w:tcPr>
            <w:tcW w:w="0" w:type="dxa"/>
            <w:vAlign w:val="bottom"/>
          </w:tcPr>
          <w:p>
            <w:pPr>
              <w:spacing w:after="0"/>
              <w:rPr>
                <w:sz w:val="1"/>
                <w:szCs w:val="1"/>
                <w:color w:val="auto"/>
              </w:rPr>
            </w:pPr>
          </w:p>
        </w:tc>
      </w:tr>
      <w:tr>
        <w:trPr>
          <w:trHeight w:val="18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(722,496)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(243,385)</w:t>
            </w:r>
          </w:p>
        </w:tc>
        <w:tc>
          <w:tcPr>
            <w:tcW w:w="0" w:type="dxa"/>
            <w:vAlign w:val="bottom"/>
          </w:tcPr>
          <w:p>
            <w:pPr>
              <w:spacing w:after="0"/>
              <w:rPr>
                <w:sz w:val="1"/>
                <w:szCs w:val="1"/>
                <w:color w:val="auto"/>
              </w:rPr>
            </w:pPr>
          </w:p>
        </w:tc>
      </w:tr>
      <w:tr>
        <w:trPr>
          <w:trHeight w:val="117"/>
        </w:trPr>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Repayment of advance match funded liabilities,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(51,106)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(66,459)</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Repayment of other financing liabilities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(68,534)</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Proceeds from (repayment of) mortgage loan warehouse facilities, net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321,639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(6,881)</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Proceeds from MSR financing facilities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630,003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129,452</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Repayment of MSR financing facilities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(53,509)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(166,055)</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Repayment of Senior notes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(319,156)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Proceeds from issuance of Senior notes and warrants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647,944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Repayment of senior secured term loan (SSTL) borrowings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(188,700)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(131,066)</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Payment of debt issuance costs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(16,032)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(7,451)</w:t>
            </w:r>
          </w:p>
        </w:tc>
        <w:tc>
          <w:tcPr>
            <w:tcW w:w="0" w:type="dxa"/>
            <w:vAlign w:val="bottom"/>
          </w:tcPr>
          <w:p>
            <w:pPr>
              <w:spacing w:after="0"/>
              <w:rPr>
                <w:sz w:val="1"/>
                <w:szCs w:val="1"/>
                <w:color w:val="auto"/>
              </w:rPr>
            </w:pPr>
          </w:p>
        </w:tc>
      </w:tr>
      <w:tr>
        <w:trPr>
          <w:trHeight w:val="149"/>
        </w:trPr>
        <w:tc>
          <w:tcPr>
            <w:tcW w:w="810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color w:val="auto"/>
                <w:w w:val="93"/>
              </w:rPr>
              <w:t>Proceeds from sale of Home Equity Conversion Mortgages (HECM, or reverse mortgages) accounted for as a financing (HMBS-</w:t>
            </w:r>
          </w:p>
        </w:tc>
        <w:tc>
          <w:tcPr>
            <w:tcW w:w="2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667,480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590,640</w:t>
            </w:r>
          </w:p>
        </w:tc>
        <w:tc>
          <w:tcPr>
            <w:tcW w:w="0" w:type="dxa"/>
            <w:vAlign w:val="bottom"/>
          </w:tcPr>
          <w:p>
            <w:pPr>
              <w:spacing w:after="0"/>
              <w:rPr>
                <w:sz w:val="1"/>
                <w:szCs w:val="1"/>
                <w:color w:val="auto"/>
              </w:rPr>
            </w:pPr>
          </w:p>
        </w:tc>
      </w:tr>
      <w:tr>
        <w:trPr>
          <w:trHeight w:val="192"/>
        </w:trPr>
        <w:tc>
          <w:tcPr>
            <w:tcW w:w="81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related borrowings)</w:t>
            </w:r>
          </w:p>
        </w:tc>
        <w:tc>
          <w:tcPr>
            <w:tcW w:w="26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Repayment of HMBS-related borrowings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(715,332)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(365,233)</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Issuance of common stock</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Repurchase of common stock</w:t>
            </w:r>
          </w:p>
        </w:tc>
        <w:tc>
          <w:tcPr>
            <w:tcW w:w="2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(4,605)</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net</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cash provided by (used in) financing activities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892,968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(96,225)</w:t>
            </w:r>
          </w:p>
        </w:tc>
        <w:tc>
          <w:tcPr>
            <w:tcW w:w="0" w:type="dxa"/>
            <w:vAlign w:val="bottom"/>
          </w:tcPr>
          <w:p>
            <w:pPr>
              <w:spacing w:after="0"/>
              <w:rPr>
                <w:sz w:val="1"/>
                <w:szCs w:val="1"/>
                <w:color w:val="auto"/>
              </w:rPr>
            </w:pPr>
          </w:p>
        </w:tc>
      </w:tr>
      <w:tr>
        <w:trPr>
          <w:trHeight w:val="117"/>
        </w:trPr>
        <w:tc>
          <w:tcPr>
            <w:tcW w:w="8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8100" w:type="dxa"/>
            <w:vAlign w:val="bottom"/>
          </w:tcPr>
          <w:p>
            <w:pPr>
              <w:spacing w:after="0"/>
              <w:rPr>
                <w:sz w:val="20"/>
                <w:szCs w:val="20"/>
                <w:color w:val="auto"/>
              </w:rPr>
            </w:pPr>
            <w:r>
              <w:rPr>
                <w:rFonts w:ascii="Arial" w:cs="Arial" w:eastAsia="Arial" w:hAnsi="Arial"/>
                <w:sz w:val="15"/>
                <w:szCs w:val="15"/>
                <w:color w:val="auto"/>
              </w:rPr>
              <w:t>Net decrease in cash, cash equivalents and restricted cash</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(45,765)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(114,791)</w:t>
            </w:r>
          </w:p>
        </w:tc>
        <w:tc>
          <w:tcPr>
            <w:tcW w:w="0" w:type="dxa"/>
            <w:vAlign w:val="bottom"/>
          </w:tcPr>
          <w:p>
            <w:pPr>
              <w:spacing w:after="0"/>
              <w:rPr>
                <w:sz w:val="1"/>
                <w:szCs w:val="1"/>
                <w:color w:val="auto"/>
              </w:rPr>
            </w:pPr>
          </w:p>
        </w:tc>
      </w:tr>
      <w:tr>
        <w:trPr>
          <w:trHeight w:val="193"/>
        </w:trPr>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357,265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492,340</w:t>
            </w:r>
          </w:p>
        </w:tc>
        <w:tc>
          <w:tcPr>
            <w:tcW w:w="0" w:type="dxa"/>
            <w:vAlign w:val="bottom"/>
          </w:tcPr>
          <w:p>
            <w:pPr>
              <w:spacing w:after="0"/>
              <w:rPr>
                <w:sz w:val="1"/>
                <w:szCs w:val="1"/>
                <w:color w:val="auto"/>
              </w:rPr>
            </w:pPr>
          </w:p>
        </w:tc>
      </w:tr>
      <w:tr>
        <w:trPr>
          <w:trHeight w:val="185"/>
        </w:trPr>
        <w:tc>
          <w:tcPr>
            <w:tcW w:w="8100" w:type="dxa"/>
            <w:vAlign w:val="bottom"/>
          </w:tcPr>
          <w:p>
            <w:pPr>
              <w:spacing w:after="0"/>
              <w:rPr>
                <w:sz w:val="20"/>
                <w:szCs w:val="20"/>
                <w:color w:val="auto"/>
              </w:rPr>
            </w:pPr>
            <w:r>
              <w:rPr>
                <w:rFonts w:ascii="Arial" w:cs="Arial" w:eastAsia="Arial" w:hAnsi="Arial"/>
                <w:sz w:val="15"/>
                <w:szCs w:val="15"/>
                <w:color w:val="auto"/>
              </w:rPr>
              <w:t>Cash, cash equivalents and restricted cash at end of period</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311,500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377,549</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8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100" w:type="dxa"/>
            <w:vAlign w:val="bottom"/>
          </w:tcPr>
          <w:p>
            <w:pPr>
              <w:spacing w:after="0"/>
              <w:rPr>
                <w:sz w:val="20"/>
                <w:szCs w:val="20"/>
                <w:color w:val="auto"/>
              </w:rPr>
            </w:pPr>
            <w:r>
              <w:rPr>
                <w:rFonts w:ascii="Arial" w:cs="Arial" w:eastAsia="Arial" w:hAnsi="Arial"/>
                <w:sz w:val="15"/>
                <w:szCs w:val="15"/>
                <w:b w:val="1"/>
                <w:bCs w:val="1"/>
                <w:color w:val="auto"/>
              </w:rPr>
              <w:t>Supplemental non-cash investing and financing activities: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100" w:type="dxa"/>
            <w:vAlign w:val="bottom"/>
          </w:tcPr>
          <w:p>
            <w:pPr>
              <w:spacing w:after="0"/>
              <w:rPr>
                <w:sz w:val="20"/>
                <w:szCs w:val="20"/>
                <w:color w:val="auto"/>
              </w:rPr>
            </w:pPr>
            <w:r>
              <w:rPr>
                <w:rFonts w:ascii="Arial" w:cs="Arial" w:eastAsia="Arial" w:hAnsi="Arial"/>
                <w:sz w:val="15"/>
                <w:szCs w:val="15"/>
                <w:color w:val="auto"/>
              </w:rPr>
              <w:t>Recognition of gross right-of-use asset and lease liability:</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Right-of-use asset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2,608</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Lease liability</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2,597</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Transfers of loans held for sale to real estate owned (REO)</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w:t>
            </w:r>
          </w:p>
        </w:tc>
        <w:tc>
          <w:tcPr>
            <w:tcW w:w="0" w:type="dxa"/>
            <w:vAlign w:val="bottom"/>
          </w:tcPr>
          <w:p>
            <w:pPr>
              <w:spacing w:after="0"/>
              <w:rPr>
                <w:sz w:val="1"/>
                <w:szCs w:val="1"/>
                <w:color w:val="auto"/>
              </w:rPr>
            </w:pPr>
          </w:p>
        </w:tc>
      </w:tr>
      <w:tr>
        <w:trPr>
          <w:trHeight w:val="192"/>
        </w:trPr>
        <w:tc>
          <w:tcPr>
            <w:tcW w:w="8100" w:type="dxa"/>
            <w:vAlign w:val="bottom"/>
          </w:tcPr>
          <w:p>
            <w:pPr>
              <w:ind w:left="20"/>
              <w:spacing w:after="0"/>
              <w:rPr>
                <w:sz w:val="20"/>
                <w:szCs w:val="20"/>
                <w:color w:val="auto"/>
              </w:rPr>
            </w:pPr>
            <w:r>
              <w:rPr>
                <w:rFonts w:ascii="Arial" w:cs="Arial" w:eastAsia="Arial" w:hAnsi="Arial"/>
                <w:sz w:val="15"/>
                <w:szCs w:val="15"/>
                <w:color w:val="auto"/>
              </w:rPr>
              <w:t>Transfer from loans held for investment to loans held for sale</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1,119</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Derecognition of MSRs and financing liabilities: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MSRs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(263,344)</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Financing liability - MSRs pledged (Rights to MSRs)</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(263,344)</w:t>
            </w:r>
          </w:p>
        </w:tc>
        <w:tc>
          <w:tcPr>
            <w:tcW w:w="0" w:type="dxa"/>
            <w:vAlign w:val="bottom"/>
          </w:tcPr>
          <w:p>
            <w:pPr>
              <w:spacing w:after="0"/>
              <w:rPr>
                <w:sz w:val="1"/>
                <w:szCs w:val="1"/>
                <w:color w:val="auto"/>
              </w:rPr>
            </w:pPr>
          </w:p>
        </w:tc>
      </w:tr>
      <w:tr>
        <w:trPr>
          <w:trHeight w:val="192"/>
        </w:trPr>
        <w:tc>
          <w:tcPr>
            <w:tcW w:w="8100" w:type="dxa"/>
            <w:vAlign w:val="bottom"/>
          </w:tcPr>
          <w:p>
            <w:pPr>
              <w:spacing w:after="0"/>
              <w:rPr>
                <w:sz w:val="20"/>
                <w:szCs w:val="20"/>
                <w:color w:val="auto"/>
              </w:rPr>
            </w:pPr>
            <w:r>
              <w:rPr>
                <w:rFonts w:ascii="Arial" w:cs="Arial" w:eastAsia="Arial" w:hAnsi="Arial"/>
                <w:sz w:val="15"/>
                <w:szCs w:val="15"/>
                <w:color w:val="auto"/>
              </w:rPr>
              <w:t>Deconsolidation of mortgage-backed securitization trusts (VIEs)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Loans held for investment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(10,715)</w:t>
            </w:r>
          </w:p>
        </w:tc>
        <w:tc>
          <w:tcPr>
            <w:tcW w:w="0" w:type="dxa"/>
            <w:vAlign w:val="bottom"/>
          </w:tcPr>
          <w:p>
            <w:pPr>
              <w:spacing w:after="0"/>
              <w:rPr>
                <w:sz w:val="1"/>
                <w:szCs w:val="1"/>
                <w:color w:val="auto"/>
              </w:rPr>
            </w:pPr>
          </w:p>
        </w:tc>
      </w:tr>
      <w:tr>
        <w:trPr>
          <w:trHeight w:val="192"/>
        </w:trPr>
        <w:tc>
          <w:tcPr>
            <w:tcW w:w="8100" w:type="dxa"/>
            <w:vAlign w:val="bottom"/>
          </w:tcPr>
          <w:p>
            <w:pPr>
              <w:ind w:left="100"/>
              <w:spacing w:after="0"/>
              <w:rPr>
                <w:sz w:val="20"/>
                <w:szCs w:val="20"/>
                <w:color w:val="auto"/>
              </w:rPr>
            </w:pPr>
            <w:r>
              <w:rPr>
                <w:rFonts w:ascii="Arial" w:cs="Arial" w:eastAsia="Arial" w:hAnsi="Arial"/>
                <w:sz w:val="15"/>
                <w:szCs w:val="15"/>
                <w:color w:val="auto"/>
              </w:rPr>
              <w:t>Other financing liabilities</w:t>
            </w:r>
          </w:p>
        </w:tc>
        <w:tc>
          <w:tcPr>
            <w:tcW w:w="2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(9,519)</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Recognition of future draw commitments for HECM loans at fair value upon adoption of FASB ASU No. 2016-13</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47,038</w:t>
            </w:r>
          </w:p>
        </w:tc>
        <w:tc>
          <w:tcPr>
            <w:tcW w:w="0" w:type="dxa"/>
            <w:vAlign w:val="bottom"/>
          </w:tcPr>
          <w:p>
            <w:pPr>
              <w:spacing w:after="0"/>
              <w:rPr>
                <w:sz w:val="1"/>
                <w:szCs w:val="1"/>
                <w:color w:val="auto"/>
              </w:rPr>
            </w:pPr>
          </w:p>
        </w:tc>
      </w:tr>
      <w:tr>
        <w:trPr>
          <w:trHeight w:val="136"/>
        </w:trPr>
        <w:tc>
          <w:tcPr>
            <w:tcW w:w="8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information - Sale and deconsolidation of subsidiary</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tcPr>
          <w:p>
            <w:pPr>
              <w:ind w:left="180"/>
              <w:spacing w:after="0"/>
              <w:rPr>
                <w:sz w:val="20"/>
                <w:szCs w:val="20"/>
                <w:color w:val="auto"/>
              </w:rPr>
            </w:pPr>
            <w:r>
              <w:rPr>
                <w:rFonts w:ascii="Arial" w:cs="Arial" w:eastAsia="Arial" w:hAnsi="Arial"/>
                <w:sz w:val="15"/>
                <w:szCs w:val="15"/>
                <w:color w:val="auto"/>
              </w:rPr>
              <w:t>Cash proceeds received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4,409</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8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Equity / cash balance held by subsidiary upon sale</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color w:val="auto"/>
        </w:rPr>
        <w:t>The following table provides a reconciliation of cash, cash equivalents and restricted cash reported within the unaudited consolidated balance sheets and the unaudited consolidated statements of cash flows:</w:t>
      </w:r>
    </w:p>
    <w:p>
      <w:pPr>
        <w:sectPr>
          <w:pgSz w:w="11900" w:h="16838" w:orient="portrait"/>
          <w:cols w:equalWidth="0" w:num="1">
            <w:col w:w="11260"/>
          </w:cols>
          <w:pgMar w:left="320" w:top="329" w:right="319" w:bottom="814"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Pr>
          <w:p>
            <w:pPr>
              <w:spacing w:after="0"/>
              <w:rPr>
                <w:sz w:val="16"/>
                <w:szCs w:val="16"/>
                <w:color w:val="auto"/>
              </w:rPr>
            </w:pPr>
          </w:p>
        </w:tc>
        <w:tc>
          <w:tcPr>
            <w:tcW w:w="1320" w:type="dxa"/>
            <w:vAlign w:val="bottom"/>
          </w:tcPr>
          <w:p>
            <w:pPr>
              <w:jc w:val="right"/>
              <w:ind w:right="244"/>
              <w:spacing w:after="0"/>
              <w:rPr>
                <w:sz w:val="20"/>
                <w:szCs w:val="20"/>
                <w:color w:val="auto"/>
              </w:rPr>
            </w:pPr>
            <w:r>
              <w:rPr>
                <w:rFonts w:ascii="Arial" w:cs="Arial" w:eastAsia="Arial" w:hAnsi="Arial"/>
                <w:sz w:val="15"/>
                <w:szCs w:val="15"/>
                <w:b w:val="1"/>
                <w:bCs w:val="1"/>
                <w:color w:val="auto"/>
              </w:rPr>
              <w:t>June 30, 2020</w:t>
            </w:r>
          </w:p>
        </w:tc>
      </w:tr>
      <w:tr>
        <w:trPr>
          <w:trHeight w:val="185"/>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243,582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313,736</w:t>
            </w:r>
          </w:p>
        </w:tc>
      </w:tr>
      <w:tr>
        <w:trPr>
          <w:trHeight w:val="192"/>
        </w:trPr>
        <w:tc>
          <w:tcPr>
            <w:tcW w:w="8080" w:type="dxa"/>
            <w:vAlign w:val="bottom"/>
          </w:tcPr>
          <w:p>
            <w:pPr>
              <w:ind w:left="20"/>
              <w:spacing w:after="0"/>
              <w:rPr>
                <w:sz w:val="20"/>
                <w:szCs w:val="20"/>
                <w:color w:val="auto"/>
              </w:rPr>
            </w:pPr>
            <w:r>
              <w:rPr>
                <w:rFonts w:ascii="Arial" w:cs="Arial" w:eastAsia="Arial" w:hAnsi="Arial"/>
                <w:sz w:val="15"/>
                <w:szCs w:val="15"/>
                <w:color w:val="auto"/>
              </w:rPr>
              <w:t>Restricted cash and equivalents: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4"/>
        </w:trPr>
        <w:tc>
          <w:tcPr>
            <w:tcW w:w="8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Debt service accounts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18,757</w:t>
            </w:r>
          </w:p>
        </w:tc>
      </w:tr>
      <w:tr>
        <w:trPr>
          <w:trHeight w:val="192"/>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restricted cash</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52,275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45,056</w:t>
            </w:r>
          </w:p>
        </w:tc>
      </w:tr>
      <w:tr>
        <w:trPr>
          <w:trHeight w:val="21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cash, cash equivalents and restricted cash reported in the statements of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311,500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377,549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unaudited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15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5"/>
          <w:szCs w:val="15"/>
          <w:b w:val="1"/>
          <w:bCs w:val="1"/>
          <w:color w:val="auto"/>
        </w:rPr>
        <w:t>OCWEN FINANCIAL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data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72390</wp:posOffset>
            </wp:positionV>
            <wp:extent cx="68611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1175" cy="69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Organization</w:t>
      </w:r>
    </w:p>
    <w:p>
      <w:pPr>
        <w:spacing w:after="0" w:line="104" w:lineRule="exact"/>
        <w:rPr>
          <w:sz w:val="20"/>
          <w:szCs w:val="20"/>
          <w:color w:val="auto"/>
        </w:rPr>
      </w:pPr>
    </w:p>
    <w:p>
      <w:pPr>
        <w:jc w:val="both"/>
        <w:ind w:right="40" w:firstLine="272"/>
        <w:spacing w:after="0" w:line="265" w:lineRule="auto"/>
        <w:rPr>
          <w:sz w:val="20"/>
          <w:szCs w:val="20"/>
          <w:color w:val="auto"/>
        </w:rPr>
      </w:pPr>
      <w:r>
        <w:rPr>
          <w:rFonts w:ascii="Arial" w:cs="Arial" w:eastAsia="Arial" w:hAnsi="Arial"/>
          <w:sz w:val="15"/>
          <w:szCs w:val="15"/>
          <w:color w:val="auto"/>
        </w:rPr>
        <w:t>Ocwen Financial Corporation (NYSE: OCN) (Ocwen, OFC, we, us and our) is a non-bank mortgage servicer and originator providing solutions to homeowners,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64" w:lineRule="exact"/>
        <w:rPr>
          <w:sz w:val="20"/>
          <w:szCs w:val="20"/>
          <w:color w:val="auto"/>
        </w:rPr>
      </w:pPr>
    </w:p>
    <w:p>
      <w:pPr>
        <w:ind w:firstLine="272"/>
        <w:spacing w:after="0" w:line="261" w:lineRule="auto"/>
        <w:rPr>
          <w:sz w:val="20"/>
          <w:szCs w:val="20"/>
          <w:color w:val="auto"/>
        </w:rPr>
      </w:pPr>
      <w:r>
        <w:rPr>
          <w:rFonts w:ascii="Arial" w:cs="Arial" w:eastAsia="Arial" w:hAnsi="Arial"/>
          <w:sz w:val="15"/>
          <w:szCs w:val="15"/>
          <w:color w:val="auto"/>
        </w:rPr>
        <w:t>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10 - Investment in Equity Method Investee for additional information.</w:t>
      </w:r>
    </w:p>
    <w:p>
      <w:pPr>
        <w:spacing w:after="0" w:line="67" w:lineRule="exact"/>
        <w:rPr>
          <w:sz w:val="20"/>
          <w:szCs w:val="20"/>
          <w:color w:val="auto"/>
        </w:rPr>
      </w:pPr>
    </w:p>
    <w:p>
      <w:pPr>
        <w:ind w:right="20" w:firstLine="272"/>
        <w:spacing w:after="0" w:line="300" w:lineRule="auto"/>
        <w:rPr>
          <w:sz w:val="20"/>
          <w:szCs w:val="20"/>
          <w:color w:val="auto"/>
        </w:rPr>
      </w:pPr>
      <w:r>
        <w:rPr>
          <w:rFonts w:ascii="Arial" w:cs="Arial" w:eastAsia="Arial" w:hAnsi="Arial"/>
          <w:sz w:val="13"/>
          <w:szCs w:val="13"/>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48" w:lineRule="exact"/>
        <w:rPr>
          <w:sz w:val="20"/>
          <w:szCs w:val="20"/>
          <w:color w:val="auto"/>
        </w:rPr>
      </w:pPr>
    </w:p>
    <w:p>
      <w:pPr>
        <w:ind w:right="200" w:firstLine="272"/>
        <w:spacing w:after="0" w:line="307" w:lineRule="auto"/>
        <w:rPr>
          <w:sz w:val="20"/>
          <w:szCs w:val="20"/>
          <w:color w:val="auto"/>
        </w:rPr>
      </w:pPr>
      <w:r>
        <w:rPr>
          <w:rFonts w:ascii="Arial" w:cs="Arial" w:eastAsia="Arial" w:hAnsi="Arial"/>
          <w:sz w:val="13"/>
          <w:szCs w:val="13"/>
          <w:color w:val="auto"/>
        </w:rPr>
        <w:t>We source our servicing portfolio through multiple channels, including recapture, retail, wholesale, correspondent, flow MSR purchase agreements, the Agency Cash Window programs and bulk MSR purchases. We originate, sell and securitize conventional (conforming to the underwriting standards of Fannie Mae or Freddie Mac; collectively referred to as Agency or GSE) loans and government-insured (Federal Housing Administration (FHA) or Department of Veterans Affairs (VA)) forward mortgage loans, generally with servicing retained. The GSEs or Ginnie Mae guarantee these mortgage securitizations. We originate and purchase Home Equity Conversion Mortgage (HECM) loans, or reverse mortgages, that are mostly insured by the FHA and we are an approved issuer of Home Equity Conversion Mortgage-Backed Securities (HMBS) that are guaranteed by Ginnie Mae.</w:t>
      </w:r>
    </w:p>
    <w:p>
      <w:pPr>
        <w:spacing w:after="0" w:line="42" w:lineRule="exact"/>
        <w:rPr>
          <w:sz w:val="20"/>
          <w:szCs w:val="20"/>
          <w:color w:val="auto"/>
        </w:rPr>
      </w:pPr>
    </w:p>
    <w:p>
      <w:pPr>
        <w:ind w:right="240" w:firstLine="272"/>
        <w:spacing w:after="0" w:line="265" w:lineRule="auto"/>
        <w:rPr>
          <w:sz w:val="20"/>
          <w:szCs w:val="20"/>
          <w:color w:val="auto"/>
        </w:rPr>
      </w:pPr>
      <w:r>
        <w:rPr>
          <w:rFonts w:ascii="Arial" w:cs="Arial" w:eastAsia="Arial" w:hAnsi="Arial"/>
          <w:sz w:val="15"/>
          <w:szCs w:val="15"/>
          <w:color w:val="auto"/>
        </w:rPr>
        <w:t>We had a total of approximately 5,200 employees at June 30, 2021 of which approximately 3,100 were located in India and approximately 500 were based in the Philippines. Our operations in India and the Philippines primarily provide internal support services, principally to our loan servicing business and our corporate functions. Of our foreign-based employees, approximately 69% were engaged in supporting our loan servicing operations as of June 30, 2021.</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04" w:lineRule="exact"/>
        <w:rPr>
          <w:sz w:val="20"/>
          <w:szCs w:val="20"/>
          <w:color w:val="auto"/>
        </w:rPr>
      </w:pPr>
    </w:p>
    <w:p>
      <w:pPr>
        <w:ind w:right="160" w:firstLine="272"/>
        <w:spacing w:after="0" w:line="256" w:lineRule="auto"/>
        <w:rPr>
          <w:sz w:val="20"/>
          <w:szCs w:val="20"/>
          <w:color w:val="auto"/>
        </w:rPr>
      </w:pPr>
      <w:r>
        <w:rPr>
          <w:rFonts w:ascii="Arial" w:cs="Arial" w:eastAsia="Arial" w:hAnsi="Arial"/>
          <w:sz w:val="15"/>
          <w:szCs w:val="15"/>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2021 are not necessarily indicative of the results that may be expected for any other interim period or for the year ending December 31, 2021. The unaudited consolidated financial statements presented herein should be read in conjunction with the audited consolidated financial statements and related notes thereto included in our Annual Report on Form 10-K for the year ended December 31, 2020.</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2" w:right="319" w:bottom="1440" w:gutter="0" w:footer="0" w:header="0"/>
        </w:sectPr>
      </w:pPr>
    </w:p>
    <w:bookmarkStart w:id="12" w:name="page13"/>
    <w:bookmarkEnd w:id="12"/>
    <w:p>
      <w:pPr>
        <w:jc w:val="both"/>
        <w:ind w:right="20" w:firstLine="272"/>
        <w:spacing w:after="0" w:line="292" w:lineRule="auto"/>
        <w:rPr>
          <w:sz w:val="20"/>
          <w:szCs w:val="20"/>
          <w:color w:val="auto"/>
        </w:rPr>
      </w:pPr>
      <w:r>
        <w:rPr>
          <w:rFonts w:ascii="Arial" w:cs="Arial" w:eastAsia="Arial" w:hAnsi="Arial"/>
          <w:sz w:val="14"/>
          <w:szCs w:val="14"/>
          <w:color w:val="auto"/>
        </w:rPr>
        <w:t>In August 2020, Ocwen implemented a reverse stock split of its shares of common stock in a ratio of one-for-15. The number of shares, loss per share amounts, repurchase price per share amounts, and Common stock and Additional paid-in capital balances have been retroactively adjusted for all periods presented in this Quarterly Report on Form 10-Q to give effect to the reverse stock split as if it occurred at the beginning of the first period presented. See Note 14 – Equity for additional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 and Assumptions</w:t>
      </w:r>
    </w:p>
    <w:p>
      <w:pPr>
        <w:spacing w:after="0" w:line="104" w:lineRule="exact"/>
        <w:rPr>
          <w:sz w:val="20"/>
          <w:szCs w:val="20"/>
          <w:color w:val="auto"/>
        </w:rPr>
      </w:pPr>
    </w:p>
    <w:p>
      <w:pPr>
        <w:ind w:right="20" w:firstLine="272"/>
        <w:spacing w:after="0" w:line="258" w:lineRule="auto"/>
        <w:rPr>
          <w:sz w:val="20"/>
          <w:szCs w:val="20"/>
          <w:color w:val="auto"/>
        </w:rPr>
      </w:pPr>
      <w:r>
        <w:rPr>
          <w:rFonts w:ascii="Arial" w:cs="Arial" w:eastAsia="Arial" w:hAnsi="Arial"/>
          <w:sz w:val="15"/>
          <w:szCs w:val="15"/>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Accounting Standards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Income Taxes (ASC Topic 740): Simplifying the Accounting for Income Taxes (ASU 2019-12)</w:t>
      </w:r>
    </w:p>
    <w:p>
      <w:pPr>
        <w:spacing w:after="0" w:line="58" w:lineRule="exact"/>
        <w:rPr>
          <w:sz w:val="20"/>
          <w:szCs w:val="20"/>
          <w:color w:val="auto"/>
        </w:rPr>
      </w:pPr>
    </w:p>
    <w:p>
      <w:pPr>
        <w:ind w:right="20" w:firstLine="272"/>
        <w:spacing w:after="0" w:line="258" w:lineRule="auto"/>
        <w:rPr>
          <w:sz w:val="20"/>
          <w:szCs w:val="20"/>
          <w:color w:val="auto"/>
        </w:rPr>
      </w:pPr>
      <w:r>
        <w:rPr>
          <w:rFonts w:ascii="Arial" w:cs="Arial" w:eastAsia="Arial" w:hAnsi="Arial"/>
          <w:sz w:val="15"/>
          <w:szCs w:val="15"/>
          <w:color w:val="auto"/>
        </w:rPr>
        <w:t>The FASB issued this ASU to Accounting Standards Codification (ASC) Topic 740, Income Taxes, as part of its overall simplification initiative to reduce costs and complexity of applying accounting standards while maintaining or improving the usefulness of the information provided to users of financial statements. Amendments include the removal of certain exceptions to the general principles of ASC Topic 740 in such areas as intraperiod tax allocation, year to date losses in interim periods and deferred tax liabilities related to outside basis differences. Amendments also include simplification in other areas such as interim recognition of enactment of tax laws or rate changes and accounting for a franchise tax (or similar tax) that is partially based on income.</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adoption of this standard on January 1, 2021 did not have a material impact on our consolidated financial statements.</w:t>
      </w:r>
    </w:p>
    <w:p>
      <w:pPr>
        <w:spacing w:after="0" w:line="96" w:lineRule="exact"/>
        <w:rPr>
          <w:sz w:val="20"/>
          <w:szCs w:val="20"/>
          <w:color w:val="auto"/>
        </w:rPr>
      </w:pPr>
    </w:p>
    <w:p>
      <w:pPr>
        <w:ind w:right="580" w:firstLine="272"/>
        <w:spacing w:after="0" w:line="283" w:lineRule="auto"/>
        <w:rPr>
          <w:sz w:val="20"/>
          <w:szCs w:val="20"/>
          <w:color w:val="auto"/>
        </w:rPr>
      </w:pPr>
      <w:r>
        <w:rPr>
          <w:rFonts w:ascii="Arial" w:cs="Arial" w:eastAsia="Arial" w:hAnsi="Arial"/>
          <w:sz w:val="15"/>
          <w:szCs w:val="15"/>
          <w:b w:val="1"/>
          <w:bCs w:val="1"/>
          <w:color w:val="auto"/>
        </w:rPr>
        <w:t>Debt—Debt with Conversion and Other Options and Derivatives and Hedging—Contracts in Entity's Own Equity—Accounting for Convertible Instruments and Contracts in an Entity's Own Equity (ASU 2020-06)</w:t>
      </w:r>
    </w:p>
    <w:p>
      <w:pPr>
        <w:spacing w:after="0" w:line="51" w:lineRule="exact"/>
        <w:rPr>
          <w:sz w:val="20"/>
          <w:szCs w:val="20"/>
          <w:color w:val="auto"/>
        </w:rPr>
      </w:pPr>
    </w:p>
    <w:p>
      <w:pPr>
        <w:ind w:right="80" w:firstLine="272"/>
        <w:spacing w:after="0" w:line="292" w:lineRule="auto"/>
        <w:rPr>
          <w:sz w:val="20"/>
          <w:szCs w:val="20"/>
          <w:color w:val="auto"/>
        </w:rPr>
      </w:pPr>
      <w:r>
        <w:rPr>
          <w:rFonts w:ascii="Arial" w:cs="Arial" w:eastAsia="Arial" w:hAnsi="Arial"/>
          <w:sz w:val="14"/>
          <w:szCs w:val="14"/>
          <w:color w:val="auto"/>
        </w:rPr>
        <w:t>The amendments in this ASU simplify the accounting for certain financial instruments with characteristics of liabilities and equity by reducing the number of accounting models for convertible debt and convertible preferred stock instruments. In addition, this ASU amended the derivative guidance for the “own stock” scope exception and certain aspects when calculating earnings per share. The amendments in this ASU affect entities that issue convertible instruments and/or contracts in an entity’s own equity.</w:t>
      </w:r>
    </w:p>
    <w:p>
      <w:pPr>
        <w:spacing w:after="0" w:line="48" w:lineRule="exact"/>
        <w:rPr>
          <w:sz w:val="20"/>
          <w:szCs w:val="20"/>
          <w:color w:val="auto"/>
        </w:rPr>
      </w:pPr>
    </w:p>
    <w:p>
      <w:pPr>
        <w:ind w:firstLine="272"/>
        <w:spacing w:after="0" w:line="262" w:lineRule="auto"/>
        <w:rPr>
          <w:sz w:val="20"/>
          <w:szCs w:val="20"/>
          <w:color w:val="auto"/>
        </w:rPr>
      </w:pPr>
      <w:r>
        <w:rPr>
          <w:rFonts w:ascii="Arial" w:cs="Arial" w:eastAsia="Arial" w:hAnsi="Arial"/>
          <w:sz w:val="15"/>
          <w:szCs w:val="15"/>
          <w:color w:val="auto"/>
        </w:rPr>
        <w:t>The amendments in this ASU are effective on January 1, 2022, with early adoption permitted on January 1, 2021. Our early adoption of this standard on January 1, 2021 did not have a material impact on our consolidated financial statements.</w:t>
      </w:r>
    </w:p>
    <w:p>
      <w:pPr>
        <w:spacing w:after="0" w:line="51" w:lineRule="exact"/>
        <w:rPr>
          <w:sz w:val="20"/>
          <w:szCs w:val="20"/>
          <w:color w:val="auto"/>
        </w:rPr>
      </w:pPr>
    </w:p>
    <w:p>
      <w:pPr>
        <w:ind w:right="60" w:firstLine="272"/>
        <w:spacing w:after="0" w:line="283" w:lineRule="auto"/>
        <w:rPr>
          <w:sz w:val="20"/>
          <w:szCs w:val="20"/>
          <w:color w:val="auto"/>
        </w:rPr>
      </w:pPr>
      <w:r>
        <w:rPr>
          <w:rFonts w:ascii="Arial" w:cs="Arial" w:eastAsia="Arial" w:hAnsi="Arial"/>
          <w:sz w:val="15"/>
          <w:szCs w:val="15"/>
          <w:b w:val="1"/>
          <w:bCs w:val="1"/>
          <w:color w:val="auto"/>
        </w:rPr>
        <w:t>Investments—Equity Securities (ASC Topic 321), Investments—Equity Method and Joint Ventures (ASC Topic 323), and Derivatives and Hedging (ASC Topic 815) (ASU 2020-01)</w:t>
      </w:r>
    </w:p>
    <w:p>
      <w:pPr>
        <w:spacing w:after="0" w:line="51" w:lineRule="exact"/>
        <w:rPr>
          <w:sz w:val="20"/>
          <w:szCs w:val="20"/>
          <w:color w:val="auto"/>
        </w:rPr>
      </w:pPr>
    </w:p>
    <w:p>
      <w:pPr>
        <w:ind w:firstLine="272"/>
        <w:spacing w:after="0" w:line="278" w:lineRule="auto"/>
        <w:rPr>
          <w:sz w:val="20"/>
          <w:szCs w:val="20"/>
          <w:color w:val="auto"/>
        </w:rPr>
      </w:pPr>
      <w:r>
        <w:rPr>
          <w:rFonts w:ascii="Arial" w:cs="Arial" w:eastAsia="Arial" w:hAnsi="Arial"/>
          <w:sz w:val="14"/>
          <w:szCs w:val="14"/>
          <w:color w:val="auto"/>
        </w:rPr>
        <w:t>The amendments in this ASU affect all entities that apply the guidance in ASC Topics 321, 323, and 815 and (1) elect to apply the measurement alternative or (2) enter into a forward contract or purchase an option to purchase securities that, upon settlement of the forward contract or exercise of the purchased option, would be accounted for under the equity method of accounting. The amendments clarify that forward or option contracts to purchase investments that will be accounted for using the equity method that do not meet the definition of a derivative under ASC Topic 815 are in the scope of ASC Topic 321. Therefore, when the purchase contract is considered a forward or option contract in the scope of this guidance, the investor would account for changes in the contract’s fair value prior to closing through earnings, unless the contract qualifies for the measurement alternative and it is elected. If the measurement alternative is elected, the change in the fair value of the contract would be reflected in earnings upon closing. In addition, if there are observable transactions or impairments before closing, the guidance would require remeasurement of the contract to fair value.</w:t>
      </w:r>
    </w:p>
    <w:p>
      <w:pPr>
        <w:spacing w:after="0" w:line="56" w:lineRule="exact"/>
        <w:rPr>
          <w:sz w:val="20"/>
          <w:szCs w:val="20"/>
          <w:color w:val="auto"/>
        </w:rPr>
      </w:pPr>
    </w:p>
    <w:p>
      <w:pPr>
        <w:ind w:right="3760" w:firstLine="272"/>
        <w:spacing w:after="0" w:line="265" w:lineRule="auto"/>
        <w:rPr>
          <w:sz w:val="20"/>
          <w:szCs w:val="20"/>
          <w:color w:val="auto"/>
        </w:rPr>
      </w:pPr>
      <w:r>
        <w:rPr>
          <w:rFonts w:ascii="Arial" w:cs="Arial" w:eastAsia="Arial" w:hAnsi="Arial"/>
          <w:sz w:val="15"/>
          <w:szCs w:val="15"/>
          <w:color w:val="auto"/>
        </w:rPr>
        <w:t>The guidance in this ASU also specifies that when applying the measurement alternative in ASC Topic 321, observable transactions include those transactions by the investor that result in the application or discontinuation of the equity method of accounting.</w:t>
      </w:r>
    </w:p>
    <w:p>
      <w:pPr>
        <w:spacing w:after="0" w:line="64" w:lineRule="exact"/>
        <w:rPr>
          <w:sz w:val="20"/>
          <w:szCs w:val="20"/>
          <w:color w:val="auto"/>
        </w:rPr>
      </w:pPr>
    </w:p>
    <w:p>
      <w:pPr>
        <w:ind w:right="620" w:firstLine="272"/>
        <w:spacing w:after="0" w:line="278" w:lineRule="auto"/>
        <w:rPr>
          <w:sz w:val="20"/>
          <w:szCs w:val="20"/>
          <w:color w:val="auto"/>
        </w:rPr>
      </w:pPr>
      <w:r>
        <w:rPr>
          <w:rFonts w:ascii="Arial" w:cs="Arial" w:eastAsia="Arial" w:hAnsi="Arial"/>
          <w:sz w:val="15"/>
          <w:szCs w:val="15"/>
          <w:color w:val="auto"/>
        </w:rPr>
        <w:t>The amendments under this ASU are effective prospectively. Our adoption of this standard on January 1, 2021 did not have a material impact on our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3" w:name="page14"/>
    <w:bookmarkEnd w:id="13"/>
    <w:p>
      <w:pPr>
        <w:ind w:left="9"/>
        <w:spacing w:after="0"/>
        <w:rPr>
          <w:sz w:val="20"/>
          <w:szCs w:val="20"/>
          <w:color w:val="auto"/>
        </w:rPr>
      </w:pPr>
      <w:r>
        <w:rPr>
          <w:rFonts w:ascii="Arial" w:cs="Arial" w:eastAsia="Arial" w:hAnsi="Arial"/>
          <w:sz w:val="15"/>
          <w:szCs w:val="15"/>
          <w:b w:val="1"/>
          <w:bCs w:val="1"/>
          <w:color w:val="auto"/>
        </w:rPr>
        <w:t>Note 2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3994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54" w:lineRule="exact"/>
        <w:rPr>
          <w:sz w:val="20"/>
          <w:szCs w:val="20"/>
          <w:color w:val="auto"/>
        </w:rPr>
      </w:pPr>
    </w:p>
    <w:p>
      <w:pPr>
        <w:ind w:left="9" w:right="140" w:firstLine="272"/>
        <w:spacing w:after="0" w:line="261" w:lineRule="auto"/>
        <w:rPr>
          <w:sz w:val="20"/>
          <w:szCs w:val="20"/>
          <w:color w:val="auto"/>
        </w:rPr>
      </w:pPr>
      <w:r>
        <w:rPr>
          <w:rFonts w:ascii="Arial" w:cs="Arial" w:eastAsia="Arial" w:hAnsi="Arial"/>
          <w:sz w:val="15"/>
          <w:szCs w:val="15"/>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(3) financings of advances and (4) MSR financings. Financing transactions that do not use SPEs or VIEs are disclosed in Note 12 – Borrowings.</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Securitizations of Residential Mortgage Loans</w:t>
      </w:r>
    </w:p>
    <w:p>
      <w:pPr>
        <w:spacing w:after="0" w:line="104"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Transfers of Forward Loans</w:t>
      </w:r>
    </w:p>
    <w:p>
      <w:pPr>
        <w:spacing w:after="0" w:line="100" w:lineRule="exact"/>
        <w:rPr>
          <w:sz w:val="20"/>
          <w:szCs w:val="20"/>
          <w:color w:val="auto"/>
        </w:rPr>
      </w:pPr>
    </w:p>
    <w:p>
      <w:pPr>
        <w:ind w:left="9" w:right="340" w:firstLine="272"/>
        <w:spacing w:after="0" w:line="265" w:lineRule="auto"/>
        <w:rPr>
          <w:sz w:val="20"/>
          <w:szCs w:val="20"/>
          <w:color w:val="auto"/>
        </w:rPr>
      </w:pPr>
      <w:r>
        <w:rPr>
          <w:rFonts w:ascii="Arial" w:cs="Arial" w:eastAsia="Arial" w:hAnsi="Arial"/>
          <w:sz w:val="15"/>
          <w:szCs w:val="15"/>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4" w:lineRule="exact"/>
        <w:rPr>
          <w:sz w:val="20"/>
          <w:szCs w:val="20"/>
          <w:color w:val="auto"/>
        </w:rPr>
      </w:pPr>
    </w:p>
    <w:p>
      <w:pPr>
        <w:ind w:left="269"/>
        <w:spacing w:after="0"/>
        <w:rPr>
          <w:sz w:val="20"/>
          <w:szCs w:val="20"/>
          <w:color w:val="auto"/>
        </w:rPr>
      </w:pPr>
      <w:r>
        <w:rPr>
          <w:rFonts w:ascii="Arial" w:cs="Arial" w:eastAsia="Arial" w:hAnsi="Arial"/>
          <w:sz w:val="14"/>
          <w:szCs w:val="14"/>
          <w:color w:val="auto"/>
        </w:rPr>
        <w:t>The following table presents a summary of cash flows received from and paid to securitization trusts related to transfers of loans accounted for as sales that were outstanding:</w:t>
      </w:r>
    </w:p>
    <w:p>
      <w:pPr>
        <w:spacing w:after="0" w:line="153"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Pr>
          <w:p>
            <w:pPr>
              <w:spacing w:after="0"/>
              <w:rPr>
                <w:sz w:val="16"/>
                <w:szCs w:val="16"/>
                <w:color w:val="auto"/>
              </w:rPr>
            </w:pPr>
          </w:p>
        </w:tc>
        <w:tc>
          <w:tcPr>
            <w:tcW w:w="28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48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85"/>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Proceeds received from securitizations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3,147,912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1,071,252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6,396,831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1,891,253</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Servicing fees collected (1)</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14,350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10,391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27,528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22,643</w:t>
            </w: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Purchases of previously transferred assets, net of claims reimbursed</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(10,019)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(4,277)</w:t>
            </w:r>
          </w:p>
        </w:tc>
      </w:tr>
      <w:tr>
        <w:trPr>
          <w:trHeight w:val="184"/>
        </w:trPr>
        <w:tc>
          <w:tcPr>
            <w:tcW w:w="482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3,155,482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1,079,974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6,414,340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1,909,619</w:t>
            </w: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69" w:right="260" w:hanging="269"/>
        <w:spacing w:after="0" w:line="255" w:lineRule="auto"/>
        <w:tabs>
          <w:tab w:leader="none" w:pos="269"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receive servicing fees based upon the securitized loan balances and certain ancillary fees, all of which are reported in Servicing and subservicing fees in the unaudited consolidated statements of operations.</w:t>
      </w:r>
    </w:p>
    <w:p>
      <w:pPr>
        <w:spacing w:after="0" w:line="64" w:lineRule="exact"/>
        <w:rPr>
          <w:sz w:val="20"/>
          <w:szCs w:val="20"/>
          <w:color w:val="auto"/>
        </w:rPr>
      </w:pPr>
    </w:p>
    <w:p>
      <w:pPr>
        <w:ind w:left="9" w:right="160" w:firstLine="272"/>
        <w:spacing w:after="0" w:line="265" w:lineRule="auto"/>
        <w:rPr>
          <w:sz w:val="20"/>
          <w:szCs w:val="20"/>
          <w:color w:val="auto"/>
        </w:rPr>
      </w:pPr>
      <w:r>
        <w:rPr>
          <w:rFonts w:ascii="Arial" w:cs="Arial" w:eastAsia="Arial" w:hAnsi="Arial"/>
          <w:sz w:val="15"/>
          <w:szCs w:val="15"/>
          <w:color w:val="auto"/>
        </w:rPr>
        <w:t>In connection with these transfers, we retained MSRs of $35.8 million and $70.1 million during the three and six months ended June 30, 2021, respectively, and $9.1 million and $15.7 million during the three and six months ended June 30, 2020, respectively. We securitize forward residential mortgage loans involving the GSEs and loans insured by the FHA or VA through Ginnie Mae.</w:t>
      </w:r>
    </w:p>
    <w:p>
      <w:pPr>
        <w:spacing w:after="0" w:line="64" w:lineRule="exact"/>
        <w:rPr>
          <w:sz w:val="20"/>
          <w:szCs w:val="20"/>
          <w:color w:val="auto"/>
        </w:rPr>
      </w:pPr>
    </w:p>
    <w:p>
      <w:pPr>
        <w:ind w:left="9" w:right="20" w:firstLine="272"/>
        <w:spacing w:after="0" w:line="278" w:lineRule="auto"/>
        <w:rPr>
          <w:sz w:val="20"/>
          <w:szCs w:val="20"/>
          <w:color w:val="auto"/>
        </w:rPr>
      </w:pPr>
      <w:r>
        <w:rPr>
          <w:rFonts w:ascii="Arial" w:cs="Arial" w:eastAsia="Arial" w:hAnsi="Arial"/>
          <w:sz w:val="15"/>
          <w:szCs w:val="15"/>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54" w:lineRule="exact"/>
        <w:rPr>
          <w:sz w:val="20"/>
          <w:szCs w:val="20"/>
          <w:color w:val="auto"/>
        </w:rPr>
      </w:pPr>
    </w:p>
    <w:p>
      <w:pPr>
        <w:ind w:left="9" w:firstLine="272"/>
        <w:spacing w:after="0" w:line="278" w:lineRule="auto"/>
        <w:rPr>
          <w:sz w:val="20"/>
          <w:szCs w:val="20"/>
          <w:color w:val="auto"/>
        </w:rPr>
      </w:pPr>
      <w:r>
        <w:rPr>
          <w:rFonts w:ascii="Arial" w:cs="Arial" w:eastAsia="Arial" w:hAnsi="Arial"/>
          <w:sz w:val="15"/>
          <w:szCs w:val="15"/>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62"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6"/>
                <w:szCs w:val="16"/>
                <w:color w:val="auto"/>
              </w:rPr>
            </w:pPr>
          </w:p>
        </w:tc>
        <w:tc>
          <w:tcPr>
            <w:tcW w:w="140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December 31, 2020</w:t>
            </w:r>
          </w:p>
        </w:tc>
      </w:tr>
      <w:tr>
        <w:trPr>
          <w:trHeight w:val="174"/>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Carrying value of assets</w:t>
            </w: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MSRs, at fair value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219,489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137,029</w:t>
            </w: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Advances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141,041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143,361</w:t>
            </w:r>
          </w:p>
        </w:tc>
      </w:tr>
      <w:tr>
        <w:trPr>
          <w:trHeight w:val="192"/>
        </w:trPr>
        <w:tc>
          <w:tcPr>
            <w:tcW w:w="8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UPB of loans transferred (1)</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22,484,487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18,062,856</w:t>
            </w:r>
          </w:p>
        </w:tc>
      </w:tr>
      <w:tr>
        <w:trPr>
          <w:trHeight w:val="21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Maximum exposure to loss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22,845,017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18,343,246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69" w:right="320" w:hanging="269"/>
        <w:spacing w:after="0" w:line="255" w:lineRule="auto"/>
        <w:tabs>
          <w:tab w:leader="none" w:pos="269"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$5.0 billion and $4.1 billion of loans delivered to Ginnie Mae as of June 30, 2021 and December 31, 2020, respectively, and includes loan modifications delivered through the Ginnie Mae Early Buyout Program (EBO).</w:t>
      </w:r>
    </w:p>
    <w:p>
      <w:pPr>
        <w:spacing w:after="0" w:line="64" w:lineRule="exact"/>
        <w:rPr>
          <w:sz w:val="20"/>
          <w:szCs w:val="20"/>
          <w:color w:val="auto"/>
        </w:rPr>
      </w:pPr>
    </w:p>
    <w:p>
      <w:pPr>
        <w:ind w:left="9" w:right="60" w:firstLine="272"/>
        <w:spacing w:after="0" w:line="314" w:lineRule="auto"/>
        <w:rPr>
          <w:sz w:val="20"/>
          <w:szCs w:val="20"/>
          <w:color w:val="auto"/>
        </w:rPr>
      </w:pPr>
      <w:r>
        <w:rPr>
          <w:rFonts w:ascii="Arial" w:cs="Arial" w:eastAsia="Arial" w:hAnsi="Arial"/>
          <w:sz w:val="14"/>
          <w:szCs w:val="14"/>
          <w:color w:val="auto"/>
        </w:rPr>
        <w:t>At June 30, 2021 and December 31, 2020, 5.4% and 6.8%, respectively, of the transferred residential loans that we service were 60 days or more past due, including 60 days or more past due loans under forbearance. This includes 15.1% and 17.1%, respectively, of loans delivered to Ginnie Mae that are 60 days or more past due.</w:t>
      </w:r>
    </w:p>
    <w:p>
      <w:pPr>
        <w:spacing w:after="0" w:line="33"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Transfers of Reverse Mortgages</w:t>
      </w:r>
    </w:p>
    <w:p>
      <w:pPr>
        <w:spacing w:after="0" w:line="100" w:lineRule="exact"/>
        <w:rPr>
          <w:sz w:val="20"/>
          <w:szCs w:val="20"/>
          <w:color w:val="auto"/>
        </w:rPr>
      </w:pPr>
    </w:p>
    <w:p>
      <w:pPr>
        <w:ind w:left="9" w:right="140" w:firstLine="272"/>
        <w:spacing w:after="0" w:line="265" w:lineRule="auto"/>
        <w:rPr>
          <w:sz w:val="20"/>
          <w:szCs w:val="20"/>
          <w:color w:val="auto"/>
        </w:rPr>
      </w:pPr>
      <w:r>
        <w:rPr>
          <w:rFonts w:ascii="Arial" w:cs="Arial" w:eastAsia="Arial" w:hAnsi="Arial"/>
          <w:sz w:val="15"/>
          <w:szCs w:val="15"/>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and the servicing requirements require the issuer/servicer to absorb some level of interest</w:t>
      </w:r>
    </w:p>
    <w:p>
      <w:pPr>
        <w:spacing w:after="0" w:line="200" w:lineRule="exact"/>
        <w:rPr>
          <w:sz w:val="20"/>
          <w:szCs w:val="20"/>
          <w:color w:val="auto"/>
        </w:rPr>
      </w:pPr>
    </w:p>
    <w:p>
      <w:pPr>
        <w:spacing w:after="0" w:line="23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1203" w:right="319" w:bottom="1440" w:gutter="0" w:footer="0" w:header="0"/>
        </w:sectPr>
      </w:pPr>
    </w:p>
    <w:bookmarkStart w:id="14" w:name="page15"/>
    <w:bookmarkEnd w:id="14"/>
    <w:p>
      <w:pPr>
        <w:ind w:right="40"/>
        <w:spacing w:after="0" w:line="261" w:lineRule="auto"/>
        <w:rPr>
          <w:sz w:val="20"/>
          <w:szCs w:val="20"/>
          <w:color w:val="auto"/>
        </w:rPr>
      </w:pPr>
      <w:r>
        <w:rPr>
          <w:rFonts w:ascii="Arial" w:cs="Arial" w:eastAsia="Arial" w:hAnsi="Arial"/>
          <w:sz w:val="15"/>
          <w:szCs w:val="15"/>
          <w:color w:val="auto"/>
        </w:rPr>
        <w:t>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of Loans Held for Sale using SPEs</w:t>
      </w:r>
    </w:p>
    <w:p>
      <w:pPr>
        <w:spacing w:after="0" w:line="104" w:lineRule="exact"/>
        <w:rPr>
          <w:sz w:val="20"/>
          <w:szCs w:val="20"/>
          <w:color w:val="auto"/>
        </w:rPr>
      </w:pPr>
    </w:p>
    <w:p>
      <w:pPr>
        <w:ind w:right="100" w:firstLine="272"/>
        <w:spacing w:after="0" w:line="292" w:lineRule="auto"/>
        <w:rPr>
          <w:sz w:val="20"/>
          <w:szCs w:val="20"/>
          <w:color w:val="auto"/>
        </w:rPr>
      </w:pPr>
      <w:r>
        <w:rPr>
          <w:rFonts w:ascii="Arial" w:cs="Arial" w:eastAsia="Arial" w:hAnsi="Arial"/>
          <w:sz w:val="14"/>
          <w:szCs w:val="14"/>
          <w:color w:val="auto"/>
        </w:rPr>
        <w:t>We entered into a warehouse mortgage loan financing facility with a third-party lender involving an SPE (trust). This facility is structured as a gestation repurchase facility whereby Agency mortgage loans are transferred by PMC to the trust for collateralization purposes. We have designed the trust to facilitate the third party financing facility and have determined that the trust is a VIE for which we are the primary beneficiary. Therefore, we have included the trust in our consolidated financial statements.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80" w:type="dxa"/>
            <w:vAlign w:val="bottom"/>
          </w:tcPr>
          <w:p>
            <w:pPr>
              <w:ind w:left="260"/>
              <w:spacing w:after="0"/>
              <w:rPr>
                <w:sz w:val="20"/>
                <w:szCs w:val="20"/>
                <w:color w:val="auto"/>
              </w:rPr>
            </w:pPr>
            <w:r>
              <w:rPr>
                <w:rFonts w:ascii="Arial" w:cs="Arial" w:eastAsia="Arial" w:hAnsi="Arial"/>
                <w:sz w:val="15"/>
                <w:szCs w:val="15"/>
                <w:color w:val="auto"/>
              </w:rPr>
              <w:t>The table below presents the carrying value and classification of the assets and liabilities of the loans held for sale financing facility:</w:t>
            </w: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07"/>
        </w:trPr>
        <w:tc>
          <w:tcPr>
            <w:tcW w:w="9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June 30, 2021</w:t>
            </w:r>
          </w:p>
        </w:tc>
      </w:tr>
      <w:tr>
        <w:trPr>
          <w:trHeight w:val="185"/>
        </w:trPr>
        <w:tc>
          <w:tcPr>
            <w:tcW w:w="9280" w:type="dxa"/>
            <w:vAlign w:val="bottom"/>
            <w:shd w:val="clear" w:color="auto" w:fill="CCEEFF"/>
          </w:tcPr>
          <w:p>
            <w:pPr>
              <w:spacing w:after="0"/>
              <w:rPr>
                <w:sz w:val="20"/>
                <w:szCs w:val="20"/>
                <w:color w:val="auto"/>
              </w:rPr>
            </w:pPr>
            <w:r>
              <w:rPr>
                <w:rFonts w:ascii="Arial" w:cs="Arial" w:eastAsia="Arial" w:hAnsi="Arial"/>
                <w:sz w:val="15"/>
                <w:szCs w:val="15"/>
                <w:color w:val="auto"/>
              </w:rPr>
              <w:t>Mortgage loans (Loans held for sale, at fair value)</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154,687</w:t>
            </w:r>
          </w:p>
        </w:tc>
      </w:tr>
      <w:tr>
        <w:trPr>
          <w:trHeight w:val="191"/>
        </w:trPr>
        <w:tc>
          <w:tcPr>
            <w:tcW w:w="9280" w:type="dxa"/>
            <w:vAlign w:val="bottom"/>
          </w:tcPr>
          <w:p>
            <w:pPr>
              <w:spacing w:after="0"/>
              <w:rPr>
                <w:sz w:val="20"/>
                <w:szCs w:val="20"/>
                <w:color w:val="auto"/>
              </w:rPr>
            </w:pPr>
            <w:r>
              <w:rPr>
                <w:rFonts w:ascii="Arial" w:cs="Arial" w:eastAsia="Arial" w:hAnsi="Arial"/>
                <w:sz w:val="15"/>
                <w:szCs w:val="15"/>
                <w:color w:val="auto"/>
              </w:rPr>
              <w:t>Outstanding borrowings (Mortgage loan warehouse facilities)</w:t>
            </w:r>
          </w:p>
        </w:tc>
        <w:tc>
          <w:tcPr>
            <w:tcW w:w="3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154,296</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Financings of Advances using SPEs</w:t>
      </w:r>
    </w:p>
    <w:p>
      <w:pPr>
        <w:spacing w:after="0" w:line="104" w:lineRule="exact"/>
        <w:rPr>
          <w:sz w:val="20"/>
          <w:szCs w:val="20"/>
          <w:color w:val="auto"/>
        </w:rPr>
      </w:pPr>
    </w:p>
    <w:p>
      <w:pPr>
        <w:ind w:right="80" w:firstLine="272"/>
        <w:spacing w:after="0" w:line="324" w:lineRule="auto"/>
        <w:rPr>
          <w:sz w:val="20"/>
          <w:szCs w:val="20"/>
          <w:color w:val="auto"/>
        </w:rPr>
      </w:pPr>
      <w:r>
        <w:rPr>
          <w:rFonts w:ascii="Arial" w:cs="Arial" w:eastAsia="Arial" w:hAnsi="Arial"/>
          <w:sz w:val="13"/>
          <w:szCs w:val="13"/>
          <w:color w:val="auto"/>
        </w:rPr>
        <w:t>Match funded advances, i.e., advances that are pledged as collateral to our advance facilities, result from our transfers of residential loan servicing advances to SPEs in exchange for cash. We consolidate these SPEs because we have determined that Ocwen is the primary beneficiary of the SPEs. These SPEs issue debt supported by collections on the transferred advances, and we refer to this debt as Advance match funded liabilities. Holders of the debt issued by the SPEs have recourse only to the assets of the SPE for satisfaction of the debt.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Pr>
          <w:p>
            <w:pPr>
              <w:ind w:left="260"/>
              <w:spacing w:after="0"/>
              <w:rPr>
                <w:sz w:val="20"/>
                <w:szCs w:val="20"/>
                <w:color w:val="auto"/>
              </w:rPr>
            </w:pPr>
            <w:r>
              <w:rPr>
                <w:rFonts w:ascii="Arial" w:cs="Arial" w:eastAsia="Arial" w:hAnsi="Arial"/>
                <w:sz w:val="15"/>
                <w:szCs w:val="15"/>
                <w:color w:val="auto"/>
                <w:w w:val="95"/>
              </w:rPr>
              <w:t>The table below presents the carrying value and classification of the assets and liabilities of the advance financing facilities: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7"/>
        </w:trPr>
        <w:tc>
          <w:tcPr>
            <w:tcW w:w="8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24"/>
                <w:szCs w:val="24"/>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b w:val="1"/>
                <w:bCs w:val="1"/>
                <w:color w:val="auto"/>
                <w:w w:val="91"/>
              </w:rPr>
              <w:t>December 31, 2020</w:t>
            </w:r>
          </w:p>
        </w:tc>
      </w:tr>
      <w:tr>
        <w:trPr>
          <w:trHeight w:val="185"/>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Match funded advances (Advances, net)</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610,964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651,576</w:t>
            </w:r>
          </w:p>
        </w:tc>
      </w:tr>
      <w:tr>
        <w:trPr>
          <w:trHeight w:val="192"/>
        </w:trPr>
        <w:tc>
          <w:tcPr>
            <w:tcW w:w="8100" w:type="dxa"/>
            <w:vAlign w:val="bottom"/>
          </w:tcPr>
          <w:p>
            <w:pPr>
              <w:spacing w:after="0"/>
              <w:rPr>
                <w:sz w:val="20"/>
                <w:szCs w:val="20"/>
                <w:color w:val="auto"/>
              </w:rPr>
            </w:pPr>
            <w:r>
              <w:rPr>
                <w:rFonts w:ascii="Arial" w:cs="Arial" w:eastAsia="Arial" w:hAnsi="Arial"/>
                <w:sz w:val="15"/>
                <w:szCs w:val="15"/>
                <w:color w:val="auto"/>
              </w:rPr>
              <w:t>Debt service accounts (Restricted cash)</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10,165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14,195</w:t>
            </w:r>
          </w:p>
        </w:tc>
      </w:tr>
      <w:tr>
        <w:trPr>
          <w:trHeight w:val="194"/>
        </w:trPr>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Unamortized deferred lender fees (Other assets)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4,253</w:t>
            </w:r>
          </w:p>
        </w:tc>
      </w:tr>
      <w:tr>
        <w:trPr>
          <w:trHeight w:val="192"/>
        </w:trPr>
        <w:tc>
          <w:tcPr>
            <w:tcW w:w="8100" w:type="dxa"/>
            <w:vAlign w:val="bottom"/>
          </w:tcPr>
          <w:p>
            <w:pPr>
              <w:spacing w:after="0"/>
              <w:rPr>
                <w:sz w:val="20"/>
                <w:szCs w:val="20"/>
                <w:color w:val="auto"/>
              </w:rPr>
            </w:pPr>
            <w:r>
              <w:rPr>
                <w:rFonts w:ascii="Arial" w:cs="Arial" w:eastAsia="Arial" w:hAnsi="Arial"/>
                <w:sz w:val="15"/>
                <w:szCs w:val="15"/>
                <w:color w:val="auto"/>
              </w:rPr>
              <w:t>Prepaid interest (Other assets)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291</w:t>
            </w:r>
          </w:p>
        </w:tc>
      </w:tr>
      <w:tr>
        <w:trPr>
          <w:trHeight w:val="194"/>
        </w:trPr>
        <w:tc>
          <w:tcPr>
            <w:tcW w:w="8100" w:type="dxa"/>
            <w:vAlign w:val="bottom"/>
            <w:shd w:val="clear" w:color="auto" w:fill="CCEEFF"/>
          </w:tcPr>
          <w:p>
            <w:pPr>
              <w:spacing w:after="0"/>
              <w:rPr>
                <w:sz w:val="20"/>
                <w:szCs w:val="20"/>
                <w:color w:val="auto"/>
              </w:rPr>
            </w:pPr>
            <w:r>
              <w:rPr>
                <w:rFonts w:ascii="Arial" w:cs="Arial" w:eastAsia="Arial" w:hAnsi="Arial"/>
                <w:sz w:val="15"/>
                <w:szCs w:val="15"/>
                <w:color w:val="auto"/>
              </w:rPr>
              <w:t>Advance match funded liabilities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530,182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581,288</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 Financings using SPEs</w:t>
      </w:r>
    </w:p>
    <w:p>
      <w:pPr>
        <w:spacing w:after="0" w:line="104" w:lineRule="exact"/>
        <w:rPr>
          <w:sz w:val="20"/>
          <w:szCs w:val="20"/>
          <w:color w:val="auto"/>
        </w:rPr>
      </w:pPr>
    </w:p>
    <w:p>
      <w:pPr>
        <w:ind w:right="480" w:firstLine="272"/>
        <w:spacing w:after="0" w:line="278" w:lineRule="auto"/>
        <w:rPr>
          <w:sz w:val="20"/>
          <w:szCs w:val="20"/>
          <w:color w:val="auto"/>
        </w:rPr>
      </w:pPr>
      <w:r>
        <w:rPr>
          <w:rFonts w:ascii="Arial" w:cs="Arial" w:eastAsia="Arial" w:hAnsi="Arial"/>
          <w:sz w:val="15"/>
          <w:szCs w:val="15"/>
          <w:color w:val="auto"/>
        </w:rPr>
        <w:t>In 2019, we entered into a financing facility with a third-party secured by certain Fannie Mae and Freddie Mac MSRs (Agency MSRs). Two SPEs (trusts) were established in connection with this facility.</w:t>
      </w:r>
    </w:p>
    <w:p>
      <w:pPr>
        <w:spacing w:after="0" w:line="54" w:lineRule="exact"/>
        <w:rPr>
          <w:sz w:val="20"/>
          <w:szCs w:val="20"/>
          <w:color w:val="auto"/>
        </w:rPr>
      </w:pPr>
    </w:p>
    <w:p>
      <w:pPr>
        <w:ind w:right="80" w:firstLine="272"/>
        <w:spacing w:after="0" w:line="261" w:lineRule="auto"/>
        <w:rPr>
          <w:sz w:val="20"/>
          <w:szCs w:val="20"/>
          <w:color w:val="auto"/>
        </w:rPr>
      </w:pPr>
      <w:r>
        <w:rPr>
          <w:rFonts w:ascii="Arial" w:cs="Arial" w:eastAsia="Arial" w:hAnsi="Arial"/>
          <w:sz w:val="15"/>
          <w:szCs w:val="15"/>
          <w:color w:val="auto"/>
        </w:rPr>
        <w:t>We determined that the trusts are VIEs for which we are the primary beneficiary. Therefore, we have included the trusts in our consolidated financial statements.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table below presents the carrying value and classification of the assets and liabilities of the Agency MSR financing facility: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December 31, 2020</w:t>
            </w:r>
          </w:p>
        </w:tc>
      </w:tr>
      <w:tr>
        <w:trPr>
          <w:trHeight w:val="185"/>
        </w:trPr>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MSRs pledged (MSRs, at fair value)</w:t>
            </w:r>
          </w:p>
        </w:tc>
        <w:tc>
          <w:tcPr>
            <w:tcW w:w="3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719,455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476,371</w:t>
            </w:r>
          </w:p>
        </w:tc>
      </w:tr>
      <w:tr>
        <w:trPr>
          <w:trHeight w:val="192"/>
        </w:trPr>
        <w:tc>
          <w:tcPr>
            <w:tcW w:w="4460" w:type="dxa"/>
            <w:vAlign w:val="bottom"/>
          </w:tcPr>
          <w:p>
            <w:pPr>
              <w:spacing w:after="0"/>
              <w:rPr>
                <w:sz w:val="20"/>
                <w:szCs w:val="20"/>
                <w:color w:val="auto"/>
              </w:rPr>
            </w:pPr>
            <w:r>
              <w:rPr>
                <w:rFonts w:ascii="Arial" w:cs="Arial" w:eastAsia="Arial" w:hAnsi="Arial"/>
                <w:sz w:val="15"/>
                <w:szCs w:val="15"/>
                <w:color w:val="auto"/>
              </w:rPr>
              <w:t>Unamortized deferred lender fees (Other assets)</w:t>
            </w:r>
          </w:p>
        </w:tc>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2,963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1,183</w:t>
            </w:r>
          </w:p>
        </w:tc>
      </w:tr>
      <w:tr>
        <w:trPr>
          <w:trHeight w:val="194"/>
        </w:trPr>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Debt service account (Restricted cash)</w:t>
            </w:r>
          </w:p>
        </w:tc>
        <w:tc>
          <w:tcPr>
            <w:tcW w:w="3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r>
      <w:tr>
        <w:trPr>
          <w:trHeight w:val="191"/>
        </w:trPr>
        <w:tc>
          <w:tcPr>
            <w:tcW w:w="4460" w:type="dxa"/>
            <w:vAlign w:val="bottom"/>
          </w:tcPr>
          <w:p>
            <w:pPr>
              <w:spacing w:after="0"/>
              <w:rPr>
                <w:sz w:val="20"/>
                <w:szCs w:val="20"/>
                <w:color w:val="auto"/>
              </w:rPr>
            </w:pPr>
            <w:r>
              <w:rPr>
                <w:rFonts w:ascii="Arial" w:cs="Arial" w:eastAsia="Arial" w:hAnsi="Arial"/>
                <w:sz w:val="15"/>
                <w:szCs w:val="15"/>
                <w:color w:val="auto"/>
              </w:rPr>
              <w:t>Outstanding borrowings (MSR financing facilities, net)</w:t>
            </w:r>
          </w:p>
        </w:tc>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382,667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210,755</w:t>
            </w:r>
          </w:p>
        </w:tc>
      </w:tr>
      <w:tr>
        <w:trPr>
          <w:trHeight w:val="817"/>
        </w:trPr>
        <w:tc>
          <w:tcPr>
            <w:tcW w:w="4460" w:type="dxa"/>
            <w:vAlign w:val="bottom"/>
          </w:tcPr>
          <w:p>
            <w:pPr>
              <w:spacing w:after="0"/>
              <w:rPr>
                <w:sz w:val="24"/>
                <w:szCs w:val="24"/>
                <w:color w:val="auto"/>
              </w:rPr>
            </w:pPr>
          </w:p>
        </w:tc>
        <w:tc>
          <w:tcPr>
            <w:tcW w:w="3640" w:type="dxa"/>
            <w:vAlign w:val="bottom"/>
          </w:tcPr>
          <w:p>
            <w:pPr>
              <w:jc w:val="right"/>
              <w:ind w:right="2324"/>
              <w:spacing w:after="0"/>
              <w:rPr>
                <w:sz w:val="20"/>
                <w:szCs w:val="20"/>
                <w:color w:val="auto"/>
              </w:rPr>
            </w:pPr>
            <w:r>
              <w:rPr>
                <w:rFonts w:ascii="Arial" w:cs="Arial" w:eastAsia="Arial" w:hAnsi="Arial"/>
                <w:sz w:val="15"/>
                <w:szCs w:val="15"/>
                <w:color w:val="auto"/>
              </w:rPr>
              <w:t>13</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95"/>
        </w:trPr>
        <w:tc>
          <w:tcPr>
            <w:tcW w:w="446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15" w:name="page16"/>
    <w:bookmarkEnd w:id="15"/>
    <w:p>
      <w:pPr>
        <w:ind w:right="260" w:firstLine="272"/>
        <w:spacing w:after="0" w:line="357" w:lineRule="auto"/>
        <w:rPr>
          <w:sz w:val="20"/>
          <w:szCs w:val="20"/>
          <w:color w:val="auto"/>
        </w:rPr>
      </w:pPr>
      <w:r>
        <w:rPr>
          <w:rFonts w:ascii="Arial" w:cs="Arial" w:eastAsia="Arial" w:hAnsi="Arial"/>
          <w:sz w:val="13"/>
          <w:szCs w:val="13"/>
          <w:color w:val="auto"/>
        </w:rPr>
        <w:t>In 2019, we issued Ocwen Excess Spread-Collateralized Notes, Series 2019-PLS1 Class A (PLS Notes) secured by certain of PMC’s private label MSRs (PLS MSRs). An SPE, PMC PLS ESR Issuer LLC (PLS Issuer), was established in this connection as a wholly owned subsidiary of PMC. Ocwen guarantees the obligations of PLS Issuer under the facility.</w:t>
      </w:r>
    </w:p>
    <w:p>
      <w:pPr>
        <w:spacing w:after="0" w:line="9" w:lineRule="exact"/>
        <w:rPr>
          <w:sz w:val="20"/>
          <w:szCs w:val="20"/>
          <w:color w:val="auto"/>
        </w:rPr>
      </w:pPr>
    </w:p>
    <w:p>
      <w:pPr>
        <w:ind w:right="20" w:firstLine="272"/>
        <w:spacing w:after="0" w:line="258" w:lineRule="auto"/>
        <w:rPr>
          <w:sz w:val="20"/>
          <w:szCs w:val="20"/>
          <w:color w:val="auto"/>
        </w:rPr>
      </w:pPr>
      <w:r>
        <w:rPr>
          <w:rFonts w:ascii="Arial" w:cs="Arial" w:eastAsia="Arial" w:hAnsi="Arial"/>
          <w:sz w:val="15"/>
          <w:szCs w:val="15"/>
          <w:color w:val="auto"/>
        </w:rPr>
        <w:t>We determined that PLS Issuer is a VIE for which we are the primary beneficiary. Therefore, we have included PLS Issuer in our consolidated financial statements.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table below presents the carrying value and classification of the assets and liabilities of the PLS Notes facility:</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6"/>
                <w:szCs w:val="16"/>
                <w:color w:val="auto"/>
              </w:rPr>
            </w:pPr>
          </w:p>
        </w:tc>
        <w:tc>
          <w:tcPr>
            <w:tcW w:w="140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December 31, 2020</w:t>
            </w:r>
          </w:p>
        </w:tc>
      </w:tr>
      <w:tr>
        <w:trPr>
          <w:trHeight w:val="185"/>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MSRs pledged (MSRs, at fair value)</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113,547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129,204</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Debt service account (Restricted cash)</w:t>
            </w:r>
          </w:p>
        </w:tc>
        <w:tc>
          <w:tcPr>
            <w:tcW w:w="20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2,135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2,385</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Outstanding borrowings (MSR financing facilities, net)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55,116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68,313</w:t>
            </w:r>
          </w:p>
        </w:tc>
      </w:tr>
      <w:tr>
        <w:trPr>
          <w:trHeight w:val="191"/>
        </w:trPr>
        <w:tc>
          <w:tcPr>
            <w:tcW w:w="8060" w:type="dxa"/>
            <w:vAlign w:val="bottom"/>
          </w:tcPr>
          <w:p>
            <w:pPr>
              <w:spacing w:after="0"/>
              <w:rPr>
                <w:sz w:val="20"/>
                <w:szCs w:val="20"/>
                <w:color w:val="auto"/>
              </w:rPr>
            </w:pPr>
            <w:r>
              <w:rPr>
                <w:rFonts w:ascii="Arial" w:cs="Arial" w:eastAsia="Arial" w:hAnsi="Arial"/>
                <w:sz w:val="15"/>
                <w:szCs w:val="15"/>
                <w:color w:val="auto"/>
              </w:rPr>
              <w:t>Unamortized debt issuance costs (Other secured borrowings, net)</w:t>
            </w:r>
          </w:p>
        </w:tc>
        <w:tc>
          <w:tcPr>
            <w:tcW w:w="20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635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894</w:t>
            </w: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65" w:lineRule="exact"/>
        <w:rPr>
          <w:sz w:val="20"/>
          <w:szCs w:val="20"/>
          <w:color w:val="auto"/>
        </w:rPr>
      </w:pPr>
    </w:p>
    <w:p>
      <w:pPr>
        <w:ind w:right="140" w:firstLine="272"/>
        <w:spacing w:after="0" w:line="258" w:lineRule="auto"/>
        <w:rPr>
          <w:sz w:val="20"/>
          <w:szCs w:val="20"/>
          <w:color w:val="auto"/>
        </w:rPr>
      </w:pPr>
      <w:r>
        <w:rPr>
          <w:rFonts w:ascii="Arial" w:cs="Arial" w:eastAsia="Arial" w:hAnsi="Arial"/>
          <w:sz w:val="15"/>
          <w:szCs w:val="15"/>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1" w:lineRule="exact"/>
        <w:rPr>
          <w:sz w:val="20"/>
          <w:szCs w:val="20"/>
          <w:color w:val="auto"/>
        </w:rPr>
      </w:pPr>
    </w:p>
    <w:p>
      <w:pPr>
        <w:ind w:right="100" w:firstLine="272"/>
        <w:spacing w:after="0" w:line="278" w:lineRule="auto"/>
        <w:rPr>
          <w:sz w:val="20"/>
          <w:szCs w:val="20"/>
          <w:color w:val="auto"/>
        </w:rPr>
      </w:pPr>
      <w:r>
        <w:rPr>
          <w:rFonts w:ascii="Arial" w:cs="Arial" w:eastAsia="Arial" w:hAnsi="Arial"/>
          <w:sz w:val="15"/>
          <w:szCs w:val="15"/>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900"/>
              <w:spacing w:after="0"/>
              <w:rPr>
                <w:sz w:val="20"/>
                <w:szCs w:val="20"/>
                <w:color w:val="auto"/>
              </w:rPr>
            </w:pPr>
            <w:r>
              <w:rPr>
                <w:rFonts w:ascii="Arial" w:cs="Arial" w:eastAsia="Arial" w:hAnsi="Arial"/>
                <w:sz w:val="15"/>
                <w:szCs w:val="15"/>
                <w:b w:val="1"/>
                <w:bCs w:val="1"/>
                <w:color w:val="auto"/>
              </w:rPr>
              <w:t>June 30, 2021</w:t>
            </w:r>
          </w:p>
        </w:tc>
        <w:tc>
          <w:tcPr>
            <w:tcW w:w="140" w:type="dxa"/>
            <w:vAlign w:val="bottom"/>
          </w:tcPr>
          <w:p>
            <w:pPr>
              <w:spacing w:after="0"/>
              <w:rPr>
                <w:sz w:val="16"/>
                <w:szCs w:val="16"/>
                <w:color w:val="auto"/>
              </w:rPr>
            </w:pPr>
          </w:p>
        </w:tc>
        <w:tc>
          <w:tcPr>
            <w:tcW w:w="2840" w:type="dxa"/>
            <w:vAlign w:val="bottom"/>
            <w:gridSpan w:val="5"/>
          </w:tcPr>
          <w:p>
            <w:pPr>
              <w:ind w:left="72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86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Fair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Financial assets</w:t>
            </w: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Pr>
          <w:p>
            <w:pPr>
              <w:ind w:left="100"/>
              <w:spacing w:after="0"/>
              <w:rPr>
                <w:sz w:val="20"/>
                <w:szCs w:val="20"/>
                <w:color w:val="auto"/>
              </w:rPr>
            </w:pPr>
            <w:r>
              <w:rPr>
                <w:rFonts w:ascii="Arial" w:cs="Arial" w:eastAsia="Arial" w:hAnsi="Arial"/>
                <w:sz w:val="15"/>
                <w:szCs w:val="15"/>
                <w:color w:val="auto"/>
              </w:rPr>
              <w:t>Loans held for sale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Loans held for sale, at fair value (a) (e)</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3, 2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680,866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680,866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Loans held for sale, at lower of cost or fair value (b)</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21,472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Loans held for sale</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696,020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696,020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387,836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Loans held for investment</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Pr>
          <w:p>
            <w:pPr>
              <w:ind w:left="180"/>
              <w:spacing w:after="0"/>
              <w:rPr>
                <w:sz w:val="20"/>
                <w:szCs w:val="20"/>
                <w:color w:val="auto"/>
              </w:rPr>
            </w:pPr>
            <w:r>
              <w:rPr>
                <w:rFonts w:ascii="Arial" w:cs="Arial" w:eastAsia="Arial" w:hAnsi="Arial"/>
                <w:sz w:val="15"/>
                <w:szCs w:val="15"/>
                <w:color w:val="auto"/>
              </w:rPr>
              <w:t>Loans held for investment - Reverse mortgages (a)</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7,112,273</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7,112,273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6,997,127</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6,997,127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ind w:left="180"/>
              <w:spacing w:after="0" w:line="149" w:lineRule="exact"/>
              <w:rPr>
                <w:sz w:val="20"/>
                <w:szCs w:val="20"/>
                <w:color w:val="auto"/>
              </w:rPr>
            </w:pPr>
            <w:r>
              <w:rPr>
                <w:rFonts w:ascii="Arial" w:cs="Arial" w:eastAsia="Arial" w:hAnsi="Arial"/>
                <w:sz w:val="15"/>
                <w:szCs w:val="15"/>
                <w:color w:val="auto"/>
                <w:w w:val="96"/>
              </w:rPr>
              <w:t>Loans held for investment - Restricted for securitization investors</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w:t>
            </w: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40" w:type="dxa"/>
            <w:vAlign w:val="bottom"/>
          </w:tcPr>
          <w:p>
            <w:pPr>
              <w:ind w:left="280"/>
              <w:spacing w:after="0"/>
              <w:rPr>
                <w:sz w:val="20"/>
                <w:szCs w:val="20"/>
                <w:color w:val="auto"/>
              </w:rPr>
            </w:pPr>
            <w:r>
              <w:rPr>
                <w:rFonts w:ascii="Arial" w:cs="Arial" w:eastAsia="Arial" w:hAnsi="Arial"/>
                <w:sz w:val="15"/>
                <w:szCs w:val="15"/>
                <w:color w:val="auto"/>
              </w:rPr>
              <w:t>Total loans held for investment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7,120,953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7,120,953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7,006,897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7,006,897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3"/>
        </w:trPr>
        <w:tc>
          <w:tcPr>
            <w:tcW w:w="4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864"/>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16" w:name="page17"/>
    <w:bookmarkEnd w:id="16"/>
    <w:tbl>
      <w:tblPr>
        <w:tblLayout w:type="fixed"/>
        <w:tblInd w:w="9"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900"/>
              <w:spacing w:after="0"/>
              <w:rPr>
                <w:sz w:val="20"/>
                <w:szCs w:val="20"/>
                <w:color w:val="auto"/>
              </w:rPr>
            </w:pPr>
            <w:r>
              <w:rPr>
                <w:rFonts w:ascii="Arial" w:cs="Arial" w:eastAsia="Arial" w:hAnsi="Arial"/>
                <w:sz w:val="15"/>
                <w:szCs w:val="15"/>
                <w:b w:val="1"/>
                <w:bCs w:val="1"/>
                <w:color w:val="auto"/>
              </w:rPr>
              <w:t>June 30, 2021</w:t>
            </w:r>
          </w:p>
        </w:tc>
        <w:tc>
          <w:tcPr>
            <w:tcW w:w="140" w:type="dxa"/>
            <w:vAlign w:val="bottom"/>
          </w:tcPr>
          <w:p>
            <w:pPr>
              <w:spacing w:after="0"/>
              <w:rPr>
                <w:sz w:val="16"/>
                <w:szCs w:val="16"/>
                <w:color w:val="auto"/>
              </w:rPr>
            </w:pPr>
          </w:p>
        </w:tc>
        <w:tc>
          <w:tcPr>
            <w:tcW w:w="2820" w:type="dxa"/>
            <w:vAlign w:val="bottom"/>
            <w:gridSpan w:val="4"/>
          </w:tcPr>
          <w:p>
            <w:pPr>
              <w:jc w:val="right"/>
              <w:ind w:right="804"/>
              <w:spacing w:after="0"/>
              <w:rPr>
                <w:sz w:val="20"/>
                <w:szCs w:val="20"/>
                <w:color w:val="auto"/>
              </w:rPr>
            </w:pPr>
            <w:r>
              <w:rPr>
                <w:rFonts w:ascii="Arial" w:cs="Arial" w:eastAsia="Arial" w:hAnsi="Arial"/>
                <w:sz w:val="15"/>
                <w:szCs w:val="15"/>
                <w:b w:val="1"/>
                <w:bCs w:val="1"/>
                <w:color w:val="auto"/>
              </w:rPr>
              <w:t>December 31, 2020</w:t>
            </w:r>
          </w:p>
        </w:tc>
      </w:tr>
      <w:tr>
        <w:trPr>
          <w:trHeight w:val="186"/>
        </w:trPr>
        <w:tc>
          <w:tcPr>
            <w:tcW w:w="434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Level</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Fair Value</w:t>
            </w:r>
          </w:p>
        </w:tc>
      </w:tr>
      <w:tr>
        <w:trPr>
          <w:trHeight w:val="184"/>
        </w:trPr>
        <w:tc>
          <w:tcPr>
            <w:tcW w:w="4340" w:type="dxa"/>
            <w:vAlign w:val="bottom"/>
          </w:tcPr>
          <w:p>
            <w:pPr>
              <w:ind w:left="100"/>
              <w:spacing w:after="0"/>
              <w:rPr>
                <w:sz w:val="20"/>
                <w:szCs w:val="20"/>
                <w:color w:val="auto"/>
              </w:rPr>
            </w:pPr>
            <w:r>
              <w:rPr>
                <w:rFonts w:ascii="Arial" w:cs="Arial" w:eastAsia="Arial" w:hAnsi="Arial"/>
                <w:sz w:val="15"/>
                <w:szCs w:val="15"/>
                <w:color w:val="auto"/>
              </w:rPr>
              <w:t>Advances, net (c)</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761,973</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761,973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828,239</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828,239</w:t>
            </w:r>
          </w:p>
        </w:tc>
      </w:tr>
      <w:tr>
        <w:trPr>
          <w:trHeight w:val="194"/>
        </w:trPr>
        <w:tc>
          <w:tcPr>
            <w:tcW w:w="4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Receivables, net (c)</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165,185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165,185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187,665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187,665</w:t>
            </w:r>
          </w:p>
        </w:tc>
      </w:tr>
      <w:tr>
        <w:trPr>
          <w:trHeight w:val="192"/>
        </w:trPr>
        <w:tc>
          <w:tcPr>
            <w:tcW w:w="4340" w:type="dxa"/>
            <w:vAlign w:val="bottom"/>
          </w:tcPr>
          <w:p>
            <w:pPr>
              <w:ind w:left="100"/>
              <w:spacing w:after="0"/>
              <w:rPr>
                <w:sz w:val="20"/>
                <w:szCs w:val="20"/>
                <w:color w:val="auto"/>
              </w:rPr>
            </w:pPr>
            <w:r>
              <w:rPr>
                <w:rFonts w:ascii="Arial" w:cs="Arial" w:eastAsia="Arial" w:hAnsi="Arial"/>
                <w:sz w:val="15"/>
                <w:szCs w:val="15"/>
                <w:color w:val="auto"/>
              </w:rPr>
              <w:t>Mortgage-backed securities (a)</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2,019</w:t>
            </w:r>
          </w:p>
        </w:tc>
      </w:tr>
      <w:tr>
        <w:trPr>
          <w:trHeight w:val="194"/>
        </w:trPr>
        <w:tc>
          <w:tcPr>
            <w:tcW w:w="4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 bonds (a)</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r>
      <w:tr>
        <w:trPr>
          <w:trHeight w:val="192"/>
        </w:trPr>
        <w:tc>
          <w:tcPr>
            <w:tcW w:w="4340" w:type="dxa"/>
            <w:vAlign w:val="bottom"/>
          </w:tcPr>
          <w:p>
            <w:pPr>
              <w:ind w:left="100"/>
              <w:spacing w:after="0"/>
              <w:rPr>
                <w:sz w:val="20"/>
                <w:szCs w:val="20"/>
                <w:color w:val="auto"/>
              </w:rPr>
            </w:pPr>
            <w:r>
              <w:rPr>
                <w:rFonts w:ascii="Arial" w:cs="Arial" w:eastAsia="Arial" w:hAnsi="Arial"/>
                <w:sz w:val="15"/>
                <w:szCs w:val="15"/>
                <w:color w:val="auto"/>
              </w:rPr>
              <w:t>Investment in equity method investee (c)</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11,878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11,878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37"/>
        </w:trPr>
        <w:tc>
          <w:tcPr>
            <w:tcW w:w="4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92"/>
        </w:trPr>
        <w:tc>
          <w:tcPr>
            <w:tcW w:w="4340" w:type="dxa"/>
            <w:vAlign w:val="bottom"/>
          </w:tcPr>
          <w:p>
            <w:pPr>
              <w:spacing w:after="0"/>
              <w:rPr>
                <w:sz w:val="20"/>
                <w:szCs w:val="20"/>
                <w:color w:val="auto"/>
              </w:rPr>
            </w:pPr>
            <w:r>
              <w:rPr>
                <w:rFonts w:ascii="Arial" w:cs="Arial" w:eastAsia="Arial" w:hAnsi="Arial"/>
                <w:sz w:val="15"/>
                <w:szCs w:val="15"/>
                <w:color w:val="auto"/>
              </w:rPr>
              <w:t>Financial liabilities: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4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Advance match funded liabilities (c)</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530,182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530,765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581,288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581,997</w:t>
            </w:r>
          </w:p>
        </w:tc>
      </w:tr>
      <w:tr>
        <w:trPr>
          <w:trHeight w:val="192"/>
        </w:trPr>
        <w:tc>
          <w:tcPr>
            <w:tcW w:w="4340" w:type="dxa"/>
            <w:vAlign w:val="bottom"/>
          </w:tcPr>
          <w:p>
            <w:pPr>
              <w:ind w:left="100"/>
              <w:spacing w:after="0"/>
              <w:rPr>
                <w:sz w:val="20"/>
                <w:szCs w:val="20"/>
                <w:color w:val="auto"/>
              </w:rPr>
            </w:pPr>
            <w:r>
              <w:rPr>
                <w:rFonts w:ascii="Arial" w:cs="Arial" w:eastAsia="Arial" w:hAnsi="Arial"/>
                <w:sz w:val="15"/>
                <w:szCs w:val="15"/>
                <w:color w:val="auto"/>
              </w:rPr>
              <w:t>Financing liabilities: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4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HMBS-related borrowings (a)</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6,823,911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6,823,911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6,772,711</w:t>
            </w:r>
          </w:p>
        </w:tc>
      </w:tr>
      <w:tr>
        <w:trPr>
          <w:trHeight w:val="192"/>
        </w:trPr>
        <w:tc>
          <w:tcPr>
            <w:tcW w:w="4340" w:type="dxa"/>
            <w:vAlign w:val="bottom"/>
          </w:tcPr>
          <w:p>
            <w:pPr>
              <w:ind w:left="180"/>
              <w:spacing w:after="0"/>
              <w:rPr>
                <w:sz w:val="20"/>
                <w:szCs w:val="20"/>
                <w:color w:val="auto"/>
              </w:rPr>
            </w:pPr>
            <w:r>
              <w:rPr>
                <w:rFonts w:ascii="Arial" w:cs="Arial" w:eastAsia="Arial" w:hAnsi="Arial"/>
                <w:sz w:val="15"/>
                <w:szCs w:val="15"/>
                <w:color w:val="auto"/>
              </w:rPr>
              <w:t>Financing liability - MSRs pledged (Rights to MSRs) (a)</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535,571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535,571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566,952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566,952</w:t>
            </w:r>
          </w:p>
        </w:tc>
      </w:tr>
      <w:tr>
        <w:trPr>
          <w:trHeight w:val="193"/>
        </w:trPr>
        <w:tc>
          <w:tcPr>
            <w:tcW w:w="4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Financing liability - Owed to securitization investors (a)</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9,770</w:t>
            </w:r>
          </w:p>
        </w:tc>
      </w:tr>
      <w:tr>
        <w:trPr>
          <w:trHeight w:val="185"/>
        </w:trPr>
        <w:tc>
          <w:tcPr>
            <w:tcW w:w="4340" w:type="dxa"/>
            <w:vAlign w:val="bottom"/>
          </w:tcPr>
          <w:p>
            <w:pPr>
              <w:ind w:left="280"/>
              <w:spacing w:after="0"/>
              <w:rPr>
                <w:sz w:val="20"/>
                <w:szCs w:val="20"/>
                <w:color w:val="auto"/>
              </w:rPr>
            </w:pPr>
            <w:r>
              <w:rPr>
                <w:rFonts w:ascii="Arial" w:cs="Arial" w:eastAsia="Arial" w:hAnsi="Arial"/>
                <w:sz w:val="15"/>
                <w:szCs w:val="15"/>
                <w:color w:val="auto"/>
              </w:rPr>
              <w:t>Total Financing liabilities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7,368,162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7,368,162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7,349,433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7,349,433</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6"/>
        </w:trPr>
        <w:tc>
          <w:tcPr>
            <w:tcW w:w="4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92"/>
        </w:trPr>
        <w:tc>
          <w:tcPr>
            <w:tcW w:w="4340" w:type="dxa"/>
            <w:vAlign w:val="bottom"/>
          </w:tcPr>
          <w:p>
            <w:pPr>
              <w:ind w:left="180"/>
              <w:spacing w:after="0"/>
              <w:rPr>
                <w:sz w:val="20"/>
                <w:szCs w:val="20"/>
                <w:color w:val="auto"/>
              </w:rPr>
            </w:pPr>
            <w:r>
              <w:rPr>
                <w:rFonts w:ascii="Arial" w:cs="Arial" w:eastAsia="Arial" w:hAnsi="Arial"/>
                <w:sz w:val="15"/>
                <w:szCs w:val="15"/>
                <w:color w:val="auto"/>
              </w:rPr>
              <w:t>Senior secured term loan (c) (d)</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179,776</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184,639</w:t>
            </w:r>
          </w:p>
        </w:tc>
      </w:tr>
      <w:tr>
        <w:trPr>
          <w:trHeight w:val="194"/>
        </w:trPr>
        <w:tc>
          <w:tcPr>
            <w:tcW w:w="4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Mortgage loan warehouse facilities (c)</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773,352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773,352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451,713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451,713</w:t>
            </w:r>
          </w:p>
        </w:tc>
      </w:tr>
      <w:tr>
        <w:trPr>
          <w:trHeight w:val="192"/>
        </w:trPr>
        <w:tc>
          <w:tcPr>
            <w:tcW w:w="4340" w:type="dxa"/>
            <w:vAlign w:val="bottom"/>
          </w:tcPr>
          <w:p>
            <w:pPr>
              <w:ind w:left="180"/>
              <w:spacing w:after="0"/>
              <w:rPr>
                <w:sz w:val="20"/>
                <w:szCs w:val="20"/>
                <w:color w:val="auto"/>
              </w:rPr>
            </w:pPr>
            <w:r>
              <w:rPr>
                <w:rFonts w:ascii="Arial" w:cs="Arial" w:eastAsia="Arial" w:hAnsi="Arial"/>
                <w:sz w:val="15"/>
                <w:szCs w:val="15"/>
                <w:color w:val="auto"/>
              </w:rPr>
              <w:t>MSR financing facilities(c) (d)</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1,012,478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982,795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437,672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406,860</w:t>
            </w:r>
          </w:p>
        </w:tc>
      </w:tr>
      <w:tr>
        <w:trPr>
          <w:trHeight w:val="194"/>
        </w:trPr>
        <w:tc>
          <w:tcPr>
            <w:tcW w:w="4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Senior notes:</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2"/>
        </w:trPr>
        <w:tc>
          <w:tcPr>
            <w:tcW w:w="4340" w:type="dxa"/>
            <w:vAlign w:val="bottom"/>
          </w:tcPr>
          <w:p>
            <w:pPr>
              <w:ind w:left="260"/>
              <w:spacing w:after="0"/>
              <w:rPr>
                <w:sz w:val="20"/>
                <w:szCs w:val="20"/>
                <w:color w:val="auto"/>
              </w:rPr>
            </w:pPr>
            <w:r>
              <w:rPr>
                <w:rFonts w:ascii="Arial" w:cs="Arial" w:eastAsia="Arial" w:hAnsi="Arial"/>
                <w:sz w:val="15"/>
                <w:szCs w:val="15"/>
                <w:color w:val="auto"/>
              </w:rPr>
              <w:t>Senior notes (c) (d) (f)</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391,750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406,144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311,898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320,879</w:t>
            </w:r>
          </w:p>
        </w:tc>
      </w:tr>
      <w:tr>
        <w:trPr>
          <w:trHeight w:val="193"/>
        </w:trPr>
        <w:tc>
          <w:tcPr>
            <w:tcW w:w="43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OFC Senior notes due 2027 (c) (d) (f)</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218,850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259,874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4340" w:type="dxa"/>
            <w:vAlign w:val="bottom"/>
          </w:tcPr>
          <w:p>
            <w:pPr>
              <w:ind w:left="360"/>
              <w:spacing w:after="0"/>
              <w:rPr>
                <w:sz w:val="20"/>
                <w:szCs w:val="20"/>
                <w:color w:val="auto"/>
              </w:rPr>
            </w:pPr>
            <w:r>
              <w:rPr>
                <w:rFonts w:ascii="Arial" w:cs="Arial" w:eastAsia="Arial" w:hAnsi="Arial"/>
                <w:sz w:val="15"/>
                <w:szCs w:val="15"/>
                <w:color w:val="auto"/>
              </w:rPr>
              <w:t>Total Senior notes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610,600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666,018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311,898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320,879</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9"/>
        </w:trPr>
        <w:tc>
          <w:tcPr>
            <w:tcW w:w="4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r>
      <w:tr>
        <w:trPr>
          <w:trHeight w:val="192"/>
        </w:trPr>
        <w:tc>
          <w:tcPr>
            <w:tcW w:w="4340" w:type="dxa"/>
            <w:vAlign w:val="bottom"/>
          </w:tcPr>
          <w:p>
            <w:pPr>
              <w:spacing w:after="0"/>
              <w:rPr>
                <w:sz w:val="20"/>
                <w:szCs w:val="20"/>
                <w:color w:val="auto"/>
              </w:rPr>
            </w:pPr>
            <w:r>
              <w:rPr>
                <w:rFonts w:ascii="Arial" w:cs="Arial" w:eastAsia="Arial" w:hAnsi="Arial"/>
                <w:sz w:val="15"/>
                <w:szCs w:val="15"/>
                <w:color w:val="auto"/>
              </w:rPr>
              <w:t>Derivative financial instrument assets (liabilities)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4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Interest rate lock commitments (a)</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22,706</w:t>
            </w:r>
          </w:p>
        </w:tc>
      </w:tr>
      <w:tr>
        <w:trPr>
          <w:trHeight w:val="192"/>
        </w:trPr>
        <w:tc>
          <w:tcPr>
            <w:tcW w:w="4340" w:type="dxa"/>
            <w:vAlign w:val="bottom"/>
          </w:tcPr>
          <w:p>
            <w:pPr>
              <w:ind w:left="100"/>
              <w:spacing w:after="0"/>
              <w:rPr>
                <w:sz w:val="20"/>
                <w:szCs w:val="20"/>
                <w:color w:val="auto"/>
              </w:rPr>
            </w:pPr>
            <w:r>
              <w:rPr>
                <w:rFonts w:ascii="Arial" w:cs="Arial" w:eastAsia="Arial" w:hAnsi="Arial"/>
                <w:sz w:val="15"/>
                <w:szCs w:val="15"/>
                <w:color w:val="auto"/>
              </w:rPr>
              <w:t>Forward trades - Loans held for sale (a)</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94"/>
        </w:trPr>
        <w:tc>
          <w:tcPr>
            <w:tcW w:w="4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TBA / Forward mortgage-backed securities (MBS) trades (a)</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(4,554)</w:t>
            </w:r>
          </w:p>
        </w:tc>
      </w:tr>
      <w:tr>
        <w:trPr>
          <w:trHeight w:val="192"/>
        </w:trPr>
        <w:tc>
          <w:tcPr>
            <w:tcW w:w="4340" w:type="dxa"/>
            <w:vAlign w:val="bottom"/>
          </w:tcPr>
          <w:p>
            <w:pPr>
              <w:ind w:left="100"/>
              <w:spacing w:after="0"/>
              <w:rPr>
                <w:sz w:val="20"/>
                <w:szCs w:val="20"/>
                <w:color w:val="auto"/>
              </w:rPr>
            </w:pPr>
            <w:r>
              <w:rPr>
                <w:rFonts w:ascii="Arial" w:cs="Arial" w:eastAsia="Arial" w:hAnsi="Arial"/>
                <w:sz w:val="15"/>
                <w:szCs w:val="15"/>
                <w:color w:val="auto"/>
              </w:rPr>
              <w:t>Interest rate swap futures (a)</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504</w:t>
            </w:r>
          </w:p>
        </w:tc>
      </w:tr>
      <w:tr>
        <w:trPr>
          <w:trHeight w:val="194"/>
        </w:trPr>
        <w:tc>
          <w:tcPr>
            <w:tcW w:w="4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TBA forward Pipeline trades (a)</w:t>
            </w:r>
          </w:p>
        </w:tc>
        <w:tc>
          <w:tcPr>
            <w:tcW w:w="7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4340" w:type="dxa"/>
            <w:vAlign w:val="bottom"/>
          </w:tcPr>
          <w:p>
            <w:pPr>
              <w:ind w:left="100"/>
              <w:spacing w:after="0"/>
              <w:rPr>
                <w:sz w:val="20"/>
                <w:szCs w:val="20"/>
                <w:color w:val="auto"/>
              </w:rPr>
            </w:pPr>
            <w:r>
              <w:rPr>
                <w:rFonts w:ascii="Arial" w:cs="Arial" w:eastAsia="Arial" w:hAnsi="Arial"/>
                <w:sz w:val="15"/>
                <w:szCs w:val="15"/>
                <w:color w:val="auto"/>
              </w:rPr>
              <w:t>Other</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37"/>
        </w:trPr>
        <w:tc>
          <w:tcPr>
            <w:tcW w:w="4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91"/>
        </w:trPr>
        <w:tc>
          <w:tcPr>
            <w:tcW w:w="4340" w:type="dxa"/>
            <w:vAlign w:val="bottom"/>
          </w:tcPr>
          <w:p>
            <w:pPr>
              <w:spacing w:after="0"/>
              <w:rPr>
                <w:sz w:val="20"/>
                <w:szCs w:val="20"/>
                <w:color w:val="auto"/>
              </w:rPr>
            </w:pPr>
            <w:r>
              <w:rPr>
                <w:rFonts w:ascii="Arial" w:cs="Arial" w:eastAsia="Arial" w:hAnsi="Arial"/>
                <w:sz w:val="15"/>
                <w:szCs w:val="15"/>
                <w:color w:val="auto"/>
              </w:rPr>
              <w:t>MSRs (a)</w:t>
            </w:r>
          </w:p>
        </w:tc>
        <w:tc>
          <w:tcPr>
            <w:tcW w:w="7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2,072,518</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2,072,518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1,294,817</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1,294,817</w:t>
            </w:r>
          </w:p>
        </w:tc>
      </w:tr>
    </w:tbl>
    <w:p>
      <w:pPr>
        <w:spacing w:after="0" w:line="106" w:lineRule="exact"/>
        <w:rPr>
          <w:sz w:val="20"/>
          <w:szCs w:val="20"/>
          <w:color w:val="auto"/>
        </w:rPr>
      </w:pPr>
    </w:p>
    <w:p>
      <w:pPr>
        <w:ind w:left="269" w:hanging="269"/>
        <w:spacing w:after="0"/>
        <w:tabs>
          <w:tab w:leader="none" w:pos="269" w:val="left"/>
        </w:tabs>
        <w:numPr>
          <w:ilvl w:val="0"/>
          <w:numId w:val="7"/>
        </w:numPr>
        <w:rPr>
          <w:rFonts w:ascii="Arial" w:cs="Arial" w:eastAsia="Arial" w:hAnsi="Arial"/>
          <w:sz w:val="14"/>
          <w:szCs w:val="14"/>
          <w:color w:val="auto"/>
        </w:rPr>
      </w:pPr>
      <w:r>
        <w:rPr>
          <w:rFonts w:ascii="Arial" w:cs="Arial" w:eastAsia="Arial" w:hAnsi="Arial"/>
          <w:sz w:val="14"/>
          <w:szCs w:val="14"/>
          <w:color w:val="auto"/>
        </w:rPr>
        <w:t>Measured at fair value on a recurring basis.</w:t>
      </w:r>
    </w:p>
    <w:p>
      <w:pPr>
        <w:spacing w:after="0" w:line="9" w:lineRule="exact"/>
        <w:rPr>
          <w:rFonts w:ascii="Arial" w:cs="Arial" w:eastAsia="Arial" w:hAnsi="Arial"/>
          <w:sz w:val="14"/>
          <w:szCs w:val="14"/>
          <w:color w:val="auto"/>
        </w:rPr>
      </w:pPr>
    </w:p>
    <w:p>
      <w:pPr>
        <w:ind w:left="269" w:hanging="269"/>
        <w:spacing w:after="0" w:line="236" w:lineRule="auto"/>
        <w:tabs>
          <w:tab w:leader="none" w:pos="269" w:val="left"/>
        </w:tabs>
        <w:numPr>
          <w:ilvl w:val="0"/>
          <w:numId w:val="7"/>
        </w:numPr>
        <w:rPr>
          <w:rFonts w:ascii="Arial" w:cs="Arial" w:eastAsia="Arial" w:hAnsi="Arial"/>
          <w:sz w:val="14"/>
          <w:szCs w:val="14"/>
          <w:color w:val="auto"/>
        </w:rPr>
      </w:pPr>
      <w:r>
        <w:rPr>
          <w:rFonts w:ascii="Arial" w:cs="Arial" w:eastAsia="Arial" w:hAnsi="Arial"/>
          <w:sz w:val="14"/>
          <w:szCs w:val="14"/>
          <w:color w:val="auto"/>
        </w:rPr>
        <w:t>Measured at fair value on a non-recurring basis.</w:t>
      </w:r>
    </w:p>
    <w:p>
      <w:pPr>
        <w:ind w:left="269" w:hanging="269"/>
        <w:spacing w:after="0" w:line="236" w:lineRule="auto"/>
        <w:tabs>
          <w:tab w:leader="none" w:pos="269" w:val="left"/>
        </w:tabs>
        <w:numPr>
          <w:ilvl w:val="0"/>
          <w:numId w:val="7"/>
        </w:numPr>
        <w:rPr>
          <w:rFonts w:ascii="Arial" w:cs="Arial" w:eastAsia="Arial" w:hAnsi="Arial"/>
          <w:sz w:val="14"/>
          <w:szCs w:val="14"/>
          <w:color w:val="auto"/>
        </w:rPr>
      </w:pPr>
      <w:r>
        <w:rPr>
          <w:rFonts w:ascii="Arial" w:cs="Arial" w:eastAsia="Arial" w:hAnsi="Arial"/>
          <w:sz w:val="14"/>
          <w:szCs w:val="14"/>
          <w:color w:val="auto"/>
        </w:rPr>
        <w:t>Disclosed, but not measured, at fair value.</w:t>
      </w:r>
    </w:p>
    <w:p>
      <w:pPr>
        <w:ind w:left="269" w:hanging="269"/>
        <w:spacing w:after="0" w:line="236" w:lineRule="auto"/>
        <w:tabs>
          <w:tab w:leader="none" w:pos="269"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carrying values are net of unamortized debt issuance costs and discount. See Note 12 – Borrowings for additional information</w:t>
      </w:r>
      <w:r>
        <w:rPr>
          <w:rFonts w:ascii="Arial" w:cs="Arial" w:eastAsia="Arial" w:hAnsi="Arial"/>
          <w:sz w:val="14"/>
          <w:szCs w:val="14"/>
          <w:b w:val="1"/>
          <w:bCs w:val="1"/>
          <w:color w:val="auto"/>
        </w:rPr>
        <w:t>.</w:t>
      </w:r>
    </w:p>
    <w:p>
      <w:pPr>
        <w:ind w:left="269" w:right="40" w:hanging="269"/>
        <w:spacing w:after="0" w:line="236" w:lineRule="auto"/>
        <w:tabs>
          <w:tab w:leader="none" w:pos="261" w:val="left"/>
        </w:tabs>
        <w:numPr>
          <w:ilvl w:val="0"/>
          <w:numId w:val="7"/>
        </w:numPr>
        <w:rPr>
          <w:rFonts w:ascii="Arial" w:cs="Arial" w:eastAsia="Arial" w:hAnsi="Arial"/>
          <w:sz w:val="14"/>
          <w:szCs w:val="14"/>
          <w:color w:val="auto"/>
        </w:rPr>
      </w:pPr>
      <w:r>
        <w:rPr>
          <w:rFonts w:ascii="Arial" w:cs="Arial" w:eastAsia="Arial" w:hAnsi="Arial"/>
          <w:sz w:val="14"/>
          <w:szCs w:val="14"/>
          <w:color w:val="auto"/>
        </w:rPr>
        <w:t>Loans repurchased from Ginnie Mae securitizations with a fair value of $139.0 million and $51.1 million at June 30, 2021 and December 31, 2020, respectively, are classified as Level 3. The remaining balance of loans held for sale at fair value is classified as Level 2.</w:t>
      </w:r>
    </w:p>
    <w:p>
      <w:pPr>
        <w:spacing w:after="0" w:line="1" w:lineRule="exact"/>
        <w:rPr>
          <w:rFonts w:ascii="Arial" w:cs="Arial" w:eastAsia="Arial" w:hAnsi="Arial"/>
          <w:sz w:val="14"/>
          <w:szCs w:val="14"/>
          <w:color w:val="auto"/>
        </w:rPr>
      </w:pPr>
    </w:p>
    <w:p>
      <w:pPr>
        <w:ind w:left="269" w:right="160" w:hanging="269"/>
        <w:spacing w:after="0" w:line="296" w:lineRule="auto"/>
        <w:tabs>
          <w:tab w:leader="none" w:pos="269"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March 4, 2021, PMC completed the issuance and sale of $400.0 million aggregate principal amount of senior secured notes. Fair value is based on valuation data obtained from a pricing service. Therefore, these notes are classified as Level 2. Additionally on March 4, 2021 and May 3, 2021, Ocwen completed the private placement of $199.5 million and $85.5 million, respectively, aggregate principal amount of senior secured second lien notes. These notes are classified as Level 3. See Note 12 – Borrowings for additional information.</w:t>
      </w:r>
    </w:p>
    <w:p>
      <w:pPr>
        <w:spacing w:after="0" w:line="200" w:lineRule="exact"/>
        <w:rPr>
          <w:sz w:val="20"/>
          <w:szCs w:val="20"/>
          <w:color w:val="auto"/>
        </w:rPr>
      </w:pPr>
    </w:p>
    <w:p>
      <w:pPr>
        <w:spacing w:after="0" w:line="21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9"/>
          </w:cols>
          <w:pgMar w:left="311" w:top="885" w:right="339" w:bottom="1440" w:gutter="0" w:footer="0" w:header="0"/>
        </w:sectPr>
      </w:pPr>
    </w:p>
    <w:bookmarkStart w:id="17" w:name="page18"/>
    <w:bookmarkEnd w:id="17"/>
    <w:p>
      <w:pPr>
        <w:ind w:left="680"/>
        <w:spacing w:after="0"/>
        <w:rPr>
          <w:sz w:val="20"/>
          <w:szCs w:val="20"/>
          <w:color w:val="auto"/>
        </w:rPr>
      </w:pPr>
      <w:r>
        <w:rPr>
          <w:rFonts w:ascii="Arial" w:cs="Arial" w:eastAsia="Arial" w:hAnsi="Arial"/>
          <w:sz w:val="15"/>
          <w:szCs w:val="15"/>
          <w:color w:val="auto"/>
        </w:rPr>
        <w:t>The following tables present a reconciliation of the changes in fair value of Level 3 assets and liabilities that we measure at fair value on a recurring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Loans Held for</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Financing Liability -</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2"/>
              </w:rPr>
              <w:t>Investment -</w:t>
            </w:r>
          </w:p>
        </w:tc>
        <w:tc>
          <w:tcPr>
            <w:tcW w:w="1540" w:type="dxa"/>
            <w:vAlign w:val="bottom"/>
            <w:gridSpan w:val="3"/>
            <w:vMerge w:val="continue"/>
          </w:tcPr>
          <w:p>
            <w:pPr>
              <w:spacing w:after="0"/>
              <w:rPr>
                <w:sz w:val="12"/>
                <w:szCs w:val="12"/>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1"/>
              </w:rPr>
              <w:t>Loans Held for</w:t>
            </w:r>
          </w:p>
        </w:tc>
        <w:tc>
          <w:tcPr>
            <w:tcW w:w="14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3"/>
              </w:rPr>
              <w:t>Mortgage-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2"/>
              </w:rPr>
              <w:t>Restricted for</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1"/>
              </w:rPr>
              <w:t>Owed to</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1"/>
              </w:rPr>
              <w:t>Securitization</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1"/>
              </w:rPr>
              <w:t>Securitization</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94"/>
              </w:rPr>
              <w:t>Sale - Fair</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89"/>
              </w:rPr>
              <w:t>Backed</w:t>
            </w:r>
          </w:p>
        </w:tc>
        <w:tc>
          <w:tcPr>
            <w:tcW w:w="200" w:type="dxa"/>
            <w:vAlign w:val="bottom"/>
          </w:tcPr>
          <w:p>
            <w:pPr>
              <w:spacing w:after="0"/>
              <w:rPr>
                <w:sz w:val="12"/>
                <w:szCs w:val="12"/>
                <w:color w:val="auto"/>
              </w:rPr>
            </w:pPr>
          </w:p>
        </w:tc>
        <w:tc>
          <w:tcPr>
            <w:tcW w:w="90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93"/>
        </w:trPr>
        <w:tc>
          <w:tcPr>
            <w:tcW w:w="45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Three months ended June 30, 2021</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Investors</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Investors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Value</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Securities</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2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14,589</w:t>
            </w:r>
          </w:p>
        </w:tc>
        <w:tc>
          <w:tcPr>
            <w:tcW w:w="0" w:type="dxa"/>
            <w:vAlign w:val="bottom"/>
          </w:tcPr>
          <w:p>
            <w:pPr>
              <w:spacing w:after="0"/>
              <w:rPr>
                <w:sz w:val="1"/>
                <w:szCs w:val="1"/>
                <w:color w:val="auto"/>
              </w:rPr>
            </w:pPr>
          </w:p>
        </w:tc>
      </w:tr>
      <w:tr>
        <w:trPr>
          <w:trHeight w:val="192"/>
        </w:trPr>
        <w:tc>
          <w:tcPr>
            <w:tcW w:w="4580" w:type="dxa"/>
            <w:vAlign w:val="bottom"/>
            <w:gridSpan w:val="2"/>
          </w:tcPr>
          <w:p>
            <w:pPr>
              <w:ind w:left="100"/>
              <w:spacing w:after="0"/>
              <w:rPr>
                <w:sz w:val="20"/>
                <w:szCs w:val="20"/>
                <w:color w:val="auto"/>
              </w:rPr>
            </w:pPr>
            <w:r>
              <w:rPr>
                <w:rFonts w:ascii="Arial" w:cs="Arial" w:eastAsia="Arial" w:hAnsi="Arial"/>
                <w:sz w:val="15"/>
                <w:szCs w:val="15"/>
                <w:color w:val="auto"/>
              </w:rPr>
              <w:t>Purchases, issuances, sales and settlements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Purchases</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580" w:type="dxa"/>
            <w:vAlign w:val="bottom"/>
            <w:gridSpan w:val="2"/>
          </w:tcPr>
          <w:p>
            <w:pPr>
              <w:ind w:left="200"/>
              <w:spacing w:after="0"/>
              <w:rPr>
                <w:sz w:val="20"/>
                <w:szCs w:val="20"/>
                <w:color w:val="auto"/>
              </w:rPr>
            </w:pPr>
            <w:r>
              <w:rPr>
                <w:rFonts w:ascii="Arial" w:cs="Arial" w:eastAsia="Arial" w:hAnsi="Arial"/>
                <w:sz w:val="15"/>
                <w:szCs w:val="15"/>
                <w:color w:val="auto"/>
              </w:rPr>
              <w:t>Issuances</w:t>
            </w:r>
          </w:p>
        </w:tc>
        <w:tc>
          <w:tcPr>
            <w:tcW w:w="20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127,386</w:t>
            </w: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Sales</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580" w:type="dxa"/>
            <w:vAlign w:val="bottom"/>
            <w:gridSpan w:val="2"/>
          </w:tcPr>
          <w:p>
            <w:pPr>
              <w:ind w:left="200"/>
              <w:spacing w:after="0"/>
              <w:rPr>
                <w:sz w:val="20"/>
                <w:szCs w:val="20"/>
                <w:color w:val="auto"/>
              </w:rPr>
            </w:pPr>
            <w:r>
              <w:rPr>
                <w:rFonts w:ascii="Arial" w:cs="Arial" w:eastAsia="Arial" w:hAnsi="Arial"/>
                <w:sz w:val="15"/>
                <w:szCs w:val="15"/>
                <w:color w:val="auto"/>
              </w:rPr>
              <w:t>Settlements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Transfers (to) from:</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80" w:type="dxa"/>
            <w:vAlign w:val="bottom"/>
            <w:gridSpan w:val="2"/>
          </w:tcPr>
          <w:p>
            <w:pPr>
              <w:ind w:left="180"/>
              <w:spacing w:after="0"/>
              <w:rPr>
                <w:sz w:val="20"/>
                <w:szCs w:val="20"/>
                <w:color w:val="auto"/>
              </w:rPr>
            </w:pPr>
            <w:r>
              <w:rPr>
                <w:rFonts w:ascii="Arial" w:cs="Arial" w:eastAsia="Arial" w:hAnsi="Arial"/>
                <w:sz w:val="15"/>
                <w:szCs w:val="15"/>
                <w:color w:val="auto"/>
              </w:rPr>
              <w:t>Loans held for sale, at fair value</w:t>
            </w:r>
          </w:p>
        </w:tc>
        <w:tc>
          <w:tcPr>
            <w:tcW w:w="20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(113,822)</w:t>
            </w: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assets</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Receivables, net</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2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13,564</w:t>
            </w:r>
          </w:p>
        </w:tc>
        <w:tc>
          <w:tcPr>
            <w:tcW w:w="0" w:type="dxa"/>
            <w:vAlign w:val="bottom"/>
          </w:tcPr>
          <w:p>
            <w:pPr>
              <w:spacing w:after="0"/>
              <w:rPr>
                <w:sz w:val="1"/>
                <w:szCs w:val="1"/>
                <w:color w:val="auto"/>
              </w:rPr>
            </w:pPr>
          </w:p>
        </w:tc>
      </w:tr>
      <w:tr>
        <w:trPr>
          <w:trHeight w:val="192"/>
        </w:trPr>
        <w:tc>
          <w:tcPr>
            <w:tcW w:w="4580" w:type="dxa"/>
            <w:vAlign w:val="bottom"/>
            <w:gridSpan w:val="2"/>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20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(10,716)</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w:t>
            </w: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138,842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17,437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Loans Held for</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Financing Liability -</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w w:val="90"/>
              </w:rPr>
              <w:t>Investment -</w:t>
            </w:r>
          </w:p>
        </w:tc>
        <w:tc>
          <w:tcPr>
            <w:tcW w:w="1540" w:type="dxa"/>
            <w:vAlign w:val="bottom"/>
            <w:gridSpan w:val="3"/>
            <w:vMerge w:val="continue"/>
          </w:tcPr>
          <w:p>
            <w:pPr>
              <w:spacing w:after="0"/>
              <w:rPr>
                <w:sz w:val="12"/>
                <w:szCs w:val="12"/>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3"/>
              </w:rPr>
              <w:t>Loans Held for</w:t>
            </w:r>
          </w:p>
        </w:tc>
        <w:tc>
          <w:tcPr>
            <w:tcW w:w="14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3"/>
              </w:rPr>
              <w:t>Mortgage-</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w w:val="90"/>
              </w:rPr>
              <w:t>Restricted for</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91"/>
              </w:rPr>
              <w:t>Owed to</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1"/>
              </w:rPr>
              <w:t>Securitization</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91"/>
              </w:rPr>
              <w:t>Securitization</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8" w:lineRule="exact"/>
              <w:rPr>
                <w:sz w:val="20"/>
                <w:szCs w:val="20"/>
                <w:color w:val="auto"/>
              </w:rPr>
            </w:pPr>
            <w:r>
              <w:rPr>
                <w:rFonts w:ascii="Arial" w:cs="Arial" w:eastAsia="Arial" w:hAnsi="Arial"/>
                <w:sz w:val="15"/>
                <w:szCs w:val="15"/>
                <w:b w:val="1"/>
                <w:bCs w:val="1"/>
                <w:color w:val="auto"/>
                <w:w w:val="91"/>
              </w:rPr>
              <w:t>Sale - Fair</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89"/>
              </w:rPr>
              <w:t>Backed</w:t>
            </w:r>
          </w:p>
        </w:tc>
        <w:tc>
          <w:tcPr>
            <w:tcW w:w="240" w:type="dxa"/>
            <w:vAlign w:val="bottom"/>
          </w:tcPr>
          <w:p>
            <w:pPr>
              <w:spacing w:after="0"/>
              <w:rPr>
                <w:sz w:val="12"/>
                <w:szCs w:val="12"/>
                <w:color w:val="auto"/>
              </w:rPr>
            </w:pPr>
          </w:p>
        </w:tc>
        <w:tc>
          <w:tcPr>
            <w:tcW w:w="100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93"/>
        </w:trPr>
        <w:tc>
          <w:tcPr>
            <w:tcW w:w="44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Three months ended June 30, 2020</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Investors</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Investors</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Value</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Securities</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2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10,478</w:t>
            </w:r>
          </w:p>
        </w:tc>
        <w:tc>
          <w:tcPr>
            <w:tcW w:w="0" w:type="dxa"/>
            <w:vAlign w:val="bottom"/>
          </w:tcPr>
          <w:p>
            <w:pPr>
              <w:spacing w:after="0"/>
              <w:rPr>
                <w:sz w:val="1"/>
                <w:szCs w:val="1"/>
                <w:color w:val="auto"/>
              </w:rPr>
            </w:pPr>
          </w:p>
        </w:tc>
      </w:tr>
      <w:tr>
        <w:trPr>
          <w:trHeight w:val="192"/>
        </w:trPr>
        <w:tc>
          <w:tcPr>
            <w:tcW w:w="4480" w:type="dxa"/>
            <w:vAlign w:val="bottom"/>
            <w:gridSpan w:val="2"/>
          </w:tcPr>
          <w:p>
            <w:pPr>
              <w:ind w:left="100"/>
              <w:spacing w:after="0"/>
              <w:rPr>
                <w:sz w:val="20"/>
                <w:szCs w:val="20"/>
                <w:color w:val="auto"/>
              </w:rPr>
            </w:pPr>
            <w:r>
              <w:rPr>
                <w:rFonts w:ascii="Arial" w:cs="Arial" w:eastAsia="Arial" w:hAnsi="Arial"/>
                <w:sz w:val="15"/>
                <w:szCs w:val="15"/>
                <w:color w:val="auto"/>
              </w:rPr>
              <w:t>Purchases, issuances, sales and settlements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Purchases</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480" w:type="dxa"/>
            <w:vAlign w:val="bottom"/>
            <w:gridSpan w:val="2"/>
          </w:tcPr>
          <w:p>
            <w:pPr>
              <w:ind w:left="200"/>
              <w:spacing w:after="0"/>
              <w:rPr>
                <w:sz w:val="20"/>
                <w:szCs w:val="20"/>
                <w:color w:val="auto"/>
              </w:rPr>
            </w:pPr>
            <w:r>
              <w:rPr>
                <w:rFonts w:ascii="Arial" w:cs="Arial" w:eastAsia="Arial" w:hAnsi="Arial"/>
                <w:sz w:val="15"/>
                <w:szCs w:val="15"/>
                <w:color w:val="auto"/>
              </w:rPr>
              <w:t>Issuances</w:t>
            </w: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69,504</w:t>
            </w:r>
          </w:p>
        </w:tc>
        <w:tc>
          <w:tcPr>
            <w:tcW w:w="0" w:type="dxa"/>
            <w:vAlign w:val="bottom"/>
          </w:tcPr>
          <w:p>
            <w:pPr>
              <w:spacing w:after="0"/>
              <w:rPr>
                <w:sz w:val="1"/>
                <w:szCs w:val="1"/>
                <w:color w:val="auto"/>
              </w:rPr>
            </w:pPr>
          </w:p>
        </w:tc>
      </w:tr>
      <w:tr>
        <w:trPr>
          <w:trHeight w:val="194"/>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Deconsolidation of mortgage-backed securitization trusts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480" w:type="dxa"/>
            <w:vAlign w:val="bottom"/>
            <w:gridSpan w:val="2"/>
          </w:tcPr>
          <w:p>
            <w:pPr>
              <w:ind w:left="200"/>
              <w:spacing w:after="0"/>
              <w:rPr>
                <w:sz w:val="20"/>
                <w:szCs w:val="20"/>
                <w:color w:val="auto"/>
              </w:rPr>
            </w:pPr>
            <w:r>
              <w:rPr>
                <w:rFonts w:ascii="Arial" w:cs="Arial" w:eastAsia="Arial" w:hAnsi="Arial"/>
                <w:sz w:val="15"/>
                <w:szCs w:val="15"/>
                <w:color w:val="auto"/>
              </w:rPr>
              <w:t>Sales</w:t>
            </w: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(58,550)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Settlements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(62,323)</w:t>
            </w:r>
          </w:p>
        </w:tc>
        <w:tc>
          <w:tcPr>
            <w:tcW w:w="0" w:type="dxa"/>
            <w:vAlign w:val="bottom"/>
          </w:tcPr>
          <w:p>
            <w:pPr>
              <w:spacing w:after="0"/>
              <w:rPr>
                <w:sz w:val="1"/>
                <w:szCs w:val="1"/>
                <w:color w:val="auto"/>
              </w:rPr>
            </w:pPr>
          </w:p>
        </w:tc>
      </w:tr>
      <w:tr>
        <w:trPr>
          <w:trHeight w:val="192"/>
        </w:trPr>
        <w:tc>
          <w:tcPr>
            <w:tcW w:w="4480" w:type="dxa"/>
            <w:vAlign w:val="bottom"/>
            <w:gridSpan w:val="2"/>
          </w:tcPr>
          <w:p>
            <w:pPr>
              <w:ind w:left="100"/>
              <w:spacing w:after="0"/>
              <w:rPr>
                <w:sz w:val="20"/>
                <w:szCs w:val="20"/>
                <w:color w:val="auto"/>
              </w:rPr>
            </w:pPr>
            <w:r>
              <w:rPr>
                <w:rFonts w:ascii="Arial" w:cs="Arial" w:eastAsia="Arial" w:hAnsi="Arial"/>
                <w:sz w:val="15"/>
                <w:szCs w:val="15"/>
                <w:color w:val="auto"/>
              </w:rPr>
              <w:t>Transfers (to) from:</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(10,897)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9,845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7,181</w:t>
            </w:r>
          </w:p>
        </w:tc>
        <w:tc>
          <w:tcPr>
            <w:tcW w:w="0" w:type="dxa"/>
            <w:vAlign w:val="bottom"/>
          </w:tcPr>
          <w:p>
            <w:pPr>
              <w:spacing w:after="0"/>
              <w:rPr>
                <w:sz w:val="1"/>
                <w:szCs w:val="1"/>
                <w:color w:val="auto"/>
              </w:rPr>
            </w:pPr>
          </w:p>
        </w:tc>
      </w:tr>
      <w:tr>
        <w:trPr>
          <w:trHeight w:val="193"/>
        </w:trPr>
        <w:tc>
          <w:tcPr>
            <w:tcW w:w="44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85"/>
        </w:trPr>
        <w:tc>
          <w:tcPr>
            <w:tcW w:w="4480" w:type="dxa"/>
            <w:vAlign w:val="bottom"/>
            <w:gridSpan w:val="2"/>
          </w:tcPr>
          <w:p>
            <w:pPr>
              <w:spacing w:after="0"/>
              <w:rPr>
                <w:sz w:val="20"/>
                <w:szCs w:val="20"/>
                <w:color w:val="auto"/>
              </w:rPr>
            </w:pPr>
            <w:r>
              <w:rPr>
                <w:rFonts w:ascii="Arial" w:cs="Arial" w:eastAsia="Arial" w:hAnsi="Arial"/>
                <w:sz w:val="15"/>
                <w:szCs w:val="15"/>
                <w:b w:val="1"/>
                <w:bCs w:val="1"/>
                <w:color w:val="auto"/>
              </w:rPr>
              <w:t>Ending balance</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11,664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(11,664)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25,950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1,726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17,818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Loans Held for</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Financing Liability -</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w w:val="90"/>
              </w:rPr>
              <w:t>Investment -</w:t>
            </w:r>
          </w:p>
        </w:tc>
        <w:tc>
          <w:tcPr>
            <w:tcW w:w="1540" w:type="dxa"/>
            <w:vAlign w:val="bottom"/>
            <w:gridSpan w:val="3"/>
            <w:vMerge w:val="continue"/>
          </w:tcPr>
          <w:p>
            <w:pPr>
              <w:spacing w:after="0"/>
              <w:rPr>
                <w:sz w:val="12"/>
                <w:szCs w:val="12"/>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Loans Held for</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3"/>
              </w:rPr>
              <w:t>Mortgage-</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8" w:lineRule="exact"/>
              <w:rPr>
                <w:sz w:val="20"/>
                <w:szCs w:val="20"/>
                <w:color w:val="auto"/>
              </w:rPr>
            </w:pPr>
            <w:r>
              <w:rPr>
                <w:rFonts w:ascii="Arial" w:cs="Arial" w:eastAsia="Arial" w:hAnsi="Arial"/>
                <w:sz w:val="15"/>
                <w:szCs w:val="15"/>
                <w:b w:val="1"/>
                <w:bCs w:val="1"/>
                <w:color w:val="auto"/>
                <w:w w:val="90"/>
              </w:rPr>
              <w:t>Restricted for</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91"/>
              </w:rPr>
              <w:t>Owed to</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1"/>
              </w:rPr>
              <w:t>Securitization</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91"/>
              </w:rPr>
              <w:t>Securitization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91"/>
              </w:rPr>
              <w:t>Sale - Fair</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8" w:lineRule="exact"/>
              <w:rPr>
                <w:sz w:val="20"/>
                <w:szCs w:val="20"/>
                <w:color w:val="auto"/>
              </w:rPr>
            </w:pPr>
            <w:r>
              <w:rPr>
                <w:rFonts w:ascii="Arial" w:cs="Arial" w:eastAsia="Arial" w:hAnsi="Arial"/>
                <w:sz w:val="15"/>
                <w:szCs w:val="15"/>
                <w:b w:val="1"/>
                <w:bCs w:val="1"/>
                <w:color w:val="auto"/>
                <w:w w:val="88"/>
              </w:rPr>
              <w:t>backed</w:t>
            </w:r>
          </w:p>
        </w:tc>
        <w:tc>
          <w:tcPr>
            <w:tcW w:w="260" w:type="dxa"/>
            <w:vAlign w:val="bottom"/>
          </w:tcPr>
          <w:p>
            <w:pPr>
              <w:spacing w:after="0"/>
              <w:rPr>
                <w:sz w:val="12"/>
                <w:szCs w:val="12"/>
                <w:color w:val="auto"/>
              </w:rPr>
            </w:pPr>
          </w:p>
        </w:tc>
        <w:tc>
          <w:tcPr>
            <w:tcW w:w="1040" w:type="dxa"/>
            <w:vAlign w:val="bottom"/>
            <w:vMerge w:val="restart"/>
          </w:tcPr>
          <w:p>
            <w:pPr>
              <w:jc w:val="right"/>
              <w:ind w:right="364"/>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93"/>
        </w:trPr>
        <w:tc>
          <w:tcPr>
            <w:tcW w:w="2120" w:type="dxa"/>
            <w:vAlign w:val="bottom"/>
            <w:vMerge w:val="restart"/>
          </w:tcPr>
          <w:p>
            <w:pPr>
              <w:spacing w:after="0"/>
              <w:rPr>
                <w:sz w:val="20"/>
                <w:szCs w:val="20"/>
                <w:color w:val="auto"/>
              </w:rPr>
            </w:pPr>
            <w:r>
              <w:rPr>
                <w:rFonts w:ascii="Arial" w:cs="Arial" w:eastAsia="Arial" w:hAnsi="Arial"/>
                <w:sz w:val="15"/>
                <w:szCs w:val="15"/>
                <w:b w:val="1"/>
                <w:bCs w:val="1"/>
                <w:color w:val="auto"/>
                <w:w w:val="90"/>
              </w:rPr>
              <w:t>Six Months Ended June 30, 2021</w:t>
            </w:r>
          </w:p>
        </w:tc>
        <w:tc>
          <w:tcPr>
            <w:tcW w:w="22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Investors</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Investors</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Value</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12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4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22,706</w:t>
            </w:r>
          </w:p>
        </w:tc>
        <w:tc>
          <w:tcPr>
            <w:tcW w:w="0" w:type="dxa"/>
            <w:vAlign w:val="bottom"/>
          </w:tcPr>
          <w:p>
            <w:pPr>
              <w:spacing w:after="0"/>
              <w:rPr>
                <w:sz w:val="1"/>
                <w:szCs w:val="1"/>
                <w:color w:val="auto"/>
              </w:rPr>
            </w:pPr>
          </w:p>
        </w:tc>
      </w:tr>
      <w:tr>
        <w:trPr>
          <w:trHeight w:val="192"/>
        </w:trPr>
        <w:tc>
          <w:tcPr>
            <w:tcW w:w="4400" w:type="dxa"/>
            <w:vAlign w:val="bottom"/>
            <w:gridSpan w:val="2"/>
          </w:tcPr>
          <w:p>
            <w:pPr>
              <w:ind w:left="100"/>
              <w:spacing w:after="0"/>
              <w:rPr>
                <w:sz w:val="20"/>
                <w:szCs w:val="20"/>
                <w:color w:val="auto"/>
              </w:rPr>
            </w:pPr>
            <w:r>
              <w:rPr>
                <w:rFonts w:ascii="Arial" w:cs="Arial" w:eastAsia="Arial" w:hAnsi="Arial"/>
                <w:sz w:val="15"/>
                <w:szCs w:val="15"/>
                <w:color w:val="auto"/>
              </w:rPr>
              <w:t>Purchases, issuances, sales and settlements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Purchases</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400" w:type="dxa"/>
            <w:vAlign w:val="bottom"/>
            <w:gridSpan w:val="2"/>
          </w:tcPr>
          <w:p>
            <w:pPr>
              <w:ind w:left="180"/>
              <w:spacing w:after="0"/>
              <w:rPr>
                <w:sz w:val="20"/>
                <w:szCs w:val="20"/>
                <w:color w:val="auto"/>
              </w:rPr>
            </w:pPr>
            <w:r>
              <w:rPr>
                <w:rFonts w:ascii="Arial" w:cs="Arial" w:eastAsia="Arial" w:hAnsi="Arial"/>
                <w:sz w:val="15"/>
                <w:szCs w:val="15"/>
                <w:color w:val="auto"/>
              </w:rPr>
              <w:t>Issuances</w:t>
            </w: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261,756</w:t>
            </w:r>
          </w:p>
        </w:tc>
        <w:tc>
          <w:tcPr>
            <w:tcW w:w="0" w:type="dxa"/>
            <w:vAlign w:val="bottom"/>
          </w:tcPr>
          <w:p>
            <w:pPr>
              <w:spacing w:after="0"/>
              <w:rPr>
                <w:sz w:val="1"/>
                <w:szCs w:val="1"/>
                <w:color w:val="auto"/>
              </w:rPr>
            </w:pPr>
          </w:p>
        </w:tc>
      </w:tr>
      <w:tr>
        <w:trPr>
          <w:trHeight w:val="194"/>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Sales</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400" w:type="dxa"/>
            <w:vAlign w:val="bottom"/>
            <w:gridSpan w:val="2"/>
          </w:tcPr>
          <w:p>
            <w:pPr>
              <w:ind w:left="180"/>
              <w:spacing w:after="0"/>
              <w:rPr>
                <w:sz w:val="20"/>
                <w:szCs w:val="20"/>
                <w:color w:val="auto"/>
              </w:rPr>
            </w:pPr>
            <w:r>
              <w:rPr>
                <w:rFonts w:ascii="Arial" w:cs="Arial" w:eastAsia="Arial" w:hAnsi="Arial"/>
                <w:sz w:val="15"/>
                <w:szCs w:val="15"/>
                <w:color w:val="auto"/>
              </w:rPr>
              <w:t>Settlements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Transfers (to) from:</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gridSpan w:val="2"/>
          </w:tcPr>
          <w:p>
            <w:pPr>
              <w:ind w:left="180"/>
              <w:spacing w:after="0"/>
              <w:rPr>
                <w:sz w:val="20"/>
                <w:szCs w:val="20"/>
                <w:color w:val="auto"/>
              </w:rPr>
            </w:pPr>
            <w:r>
              <w:rPr>
                <w:rFonts w:ascii="Arial" w:cs="Arial" w:eastAsia="Arial" w:hAnsi="Arial"/>
                <w:sz w:val="15"/>
                <w:szCs w:val="15"/>
                <w:color w:val="auto"/>
              </w:rPr>
              <w:t>Loans held for sale, at fair value</w:t>
            </w: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(242,386)</w:t>
            </w:r>
          </w:p>
        </w:tc>
        <w:tc>
          <w:tcPr>
            <w:tcW w:w="0" w:type="dxa"/>
            <w:vAlign w:val="bottom"/>
          </w:tcPr>
          <w:p>
            <w:pPr>
              <w:spacing w:after="0"/>
              <w:rPr>
                <w:sz w:val="1"/>
                <w:szCs w:val="1"/>
                <w:color w:val="auto"/>
              </w:rPr>
            </w:pPr>
          </w:p>
        </w:tc>
      </w:tr>
      <w:tr>
        <w:trPr>
          <w:trHeight w:val="194"/>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assets</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Receivables, net</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19,370</w:t>
            </w:r>
          </w:p>
        </w:tc>
        <w:tc>
          <w:tcPr>
            <w:tcW w:w="0" w:type="dxa"/>
            <w:vAlign w:val="bottom"/>
          </w:tcPr>
          <w:p>
            <w:pPr>
              <w:spacing w:after="0"/>
              <w:rPr>
                <w:sz w:val="1"/>
                <w:szCs w:val="1"/>
                <w:color w:val="auto"/>
              </w:rPr>
            </w:pPr>
          </w:p>
        </w:tc>
      </w:tr>
      <w:tr>
        <w:trPr>
          <w:trHeight w:val="192"/>
        </w:trPr>
        <w:tc>
          <w:tcPr>
            <w:tcW w:w="4400" w:type="dxa"/>
            <w:vAlign w:val="bottom"/>
            <w:gridSpan w:val="2"/>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(6,363)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(24,639)</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138,842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17,437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Loans Held for</w:t>
            </w: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Financing Liability -</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8" w:lineRule="exact"/>
              <w:rPr>
                <w:sz w:val="20"/>
                <w:szCs w:val="20"/>
                <w:color w:val="auto"/>
              </w:rPr>
            </w:pPr>
            <w:r>
              <w:rPr>
                <w:rFonts w:ascii="Arial" w:cs="Arial" w:eastAsia="Arial" w:hAnsi="Arial"/>
                <w:sz w:val="15"/>
                <w:szCs w:val="15"/>
                <w:b w:val="1"/>
                <w:bCs w:val="1"/>
                <w:color w:val="auto"/>
                <w:w w:val="92"/>
              </w:rPr>
              <w:t>Investment -</w:t>
            </w:r>
          </w:p>
        </w:tc>
        <w:tc>
          <w:tcPr>
            <w:tcW w:w="15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8" w:lineRule="exact"/>
              <w:rPr>
                <w:sz w:val="20"/>
                <w:szCs w:val="20"/>
                <w:color w:val="auto"/>
              </w:rPr>
            </w:pPr>
            <w:r>
              <w:rPr>
                <w:rFonts w:ascii="Arial" w:cs="Arial" w:eastAsia="Arial" w:hAnsi="Arial"/>
                <w:sz w:val="15"/>
                <w:szCs w:val="15"/>
                <w:b w:val="1"/>
                <w:bCs w:val="1"/>
                <w:color w:val="auto"/>
                <w:w w:val="92"/>
              </w:rPr>
              <w:t>Restricted for</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1"/>
              </w:rPr>
              <w:t>Owed to</w:t>
            </w: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1"/>
              </w:rPr>
              <w:t>Loans Held for Sale</w:t>
            </w:r>
          </w:p>
        </w:tc>
        <w:tc>
          <w:tcPr>
            <w:tcW w:w="100" w:type="dxa"/>
            <w:vAlign w:val="bottom"/>
          </w:tcPr>
          <w:p>
            <w:pPr>
              <w:spacing w:after="0"/>
              <w:rPr>
                <w:sz w:val="12"/>
                <w:szCs w:val="12"/>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1"/>
              </w:rPr>
              <w:t>Mortgage-backed</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8" w:lineRule="exact"/>
              <w:rPr>
                <w:sz w:val="20"/>
                <w:szCs w:val="20"/>
                <w:color w:val="auto"/>
              </w:rPr>
            </w:pPr>
            <w:r>
              <w:rPr>
                <w:rFonts w:ascii="Arial" w:cs="Arial" w:eastAsia="Arial" w:hAnsi="Arial"/>
                <w:sz w:val="15"/>
                <w:szCs w:val="15"/>
                <w:b w:val="1"/>
                <w:bCs w:val="1"/>
                <w:color w:val="auto"/>
                <w:w w:val="91"/>
              </w:rPr>
              <w:t>Securitization</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8" w:lineRule="exact"/>
              <w:rPr>
                <w:sz w:val="20"/>
                <w:szCs w:val="20"/>
                <w:color w:val="auto"/>
              </w:rPr>
            </w:pPr>
            <w:r>
              <w:rPr>
                <w:rFonts w:ascii="Arial" w:cs="Arial" w:eastAsia="Arial" w:hAnsi="Arial"/>
                <w:sz w:val="15"/>
                <w:szCs w:val="15"/>
                <w:b w:val="1"/>
                <w:bCs w:val="1"/>
                <w:color w:val="auto"/>
                <w:w w:val="91"/>
              </w:rPr>
              <w:t>Securitization</w:t>
            </w: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auto"/>
              </w:rPr>
              <w:t>IRLCs</w:t>
            </w:r>
          </w:p>
        </w:tc>
        <w:tc>
          <w:tcPr>
            <w:tcW w:w="0" w:type="dxa"/>
            <w:vAlign w:val="bottom"/>
          </w:tcPr>
          <w:p>
            <w:pPr>
              <w:spacing w:after="0"/>
              <w:rPr>
                <w:sz w:val="1"/>
                <w:szCs w:val="1"/>
                <w:color w:val="auto"/>
              </w:rPr>
            </w:pPr>
          </w:p>
        </w:tc>
      </w:tr>
      <w:tr>
        <w:trPr>
          <w:trHeight w:val="193"/>
        </w:trPr>
        <w:tc>
          <w:tcPr>
            <w:tcW w:w="2120" w:type="dxa"/>
            <w:vAlign w:val="bottom"/>
            <w:vMerge w:val="restart"/>
          </w:tcPr>
          <w:p>
            <w:pPr>
              <w:spacing w:after="0"/>
              <w:rPr>
                <w:sz w:val="20"/>
                <w:szCs w:val="20"/>
                <w:color w:val="auto"/>
              </w:rPr>
            </w:pPr>
            <w:r>
              <w:rPr>
                <w:rFonts w:ascii="Arial" w:cs="Arial" w:eastAsia="Arial" w:hAnsi="Arial"/>
                <w:sz w:val="15"/>
                <w:szCs w:val="15"/>
                <w:b w:val="1"/>
                <w:bCs w:val="1"/>
                <w:color w:val="auto"/>
                <w:w w:val="90"/>
              </w:rPr>
              <w:t>Six Months Ended June 30, 2020</w:t>
            </w:r>
          </w:p>
        </w:tc>
        <w:tc>
          <w:tcPr>
            <w:tcW w:w="18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Investors</w:t>
            </w: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Investors</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 Fair Value</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Securities</w:t>
            </w: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120" w:type="dxa"/>
            <w:vAlign w:val="bottom"/>
            <w:tcBorders>
              <w:bottom w:val="single" w:sz="8" w:color="auto"/>
            </w:tcBorders>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9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940" w:type="dxa"/>
            <w:vAlign w:val="bottom"/>
            <w:gridSpan w:val="2"/>
          </w:tcPr>
          <w:p>
            <w:pPr>
              <w:ind w:left="100"/>
              <w:spacing w:after="0"/>
              <w:rPr>
                <w:sz w:val="20"/>
                <w:szCs w:val="20"/>
                <w:color w:val="auto"/>
              </w:rPr>
            </w:pPr>
            <w:r>
              <w:rPr>
                <w:rFonts w:ascii="Arial" w:cs="Arial" w:eastAsia="Arial" w:hAnsi="Arial"/>
                <w:sz w:val="15"/>
                <w:szCs w:val="15"/>
                <w:color w:val="auto"/>
              </w:rPr>
              <w:t>Purchases, issuances, sales and settlements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Purchases</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5"/>
                <w:szCs w:val="15"/>
                <w:color w:val="auto"/>
              </w:rPr>
              <w:t>Issuances</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69,504</w:t>
            </w:r>
          </w:p>
        </w:tc>
        <w:tc>
          <w:tcPr>
            <w:tcW w:w="0" w:type="dxa"/>
            <w:vAlign w:val="bottom"/>
          </w:tcPr>
          <w:p>
            <w:pPr>
              <w:spacing w:after="0"/>
              <w:rPr>
                <w:sz w:val="1"/>
                <w:szCs w:val="1"/>
                <w:color w:val="auto"/>
              </w:rPr>
            </w:pPr>
          </w:p>
        </w:tc>
      </w:tr>
      <w:tr>
        <w:trPr>
          <w:trHeight w:val="194"/>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9"/>
              </w:rPr>
              <w:t>Deconsolidation of mortgage-backed securitization trusts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5"/>
                <w:szCs w:val="15"/>
                <w:color w:val="auto"/>
              </w:rPr>
              <w:t>Sales</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(58,550)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Settlements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(62,323)</w:t>
            </w:r>
          </w:p>
        </w:tc>
        <w:tc>
          <w:tcPr>
            <w:tcW w:w="0" w:type="dxa"/>
            <w:vAlign w:val="bottom"/>
          </w:tcPr>
          <w:p>
            <w:pPr>
              <w:spacing w:after="0"/>
              <w:rPr>
                <w:sz w:val="1"/>
                <w:szCs w:val="1"/>
                <w:color w:val="auto"/>
              </w:rPr>
            </w:pPr>
          </w:p>
        </w:tc>
      </w:tr>
      <w:tr>
        <w:trPr>
          <w:trHeight w:val="192"/>
        </w:trPr>
        <w:tc>
          <w:tcPr>
            <w:tcW w:w="3940" w:type="dxa"/>
            <w:vAlign w:val="bottom"/>
            <w:gridSpan w:val="2"/>
          </w:tcPr>
          <w:p>
            <w:pPr>
              <w:ind w:left="100"/>
              <w:spacing w:after="0"/>
              <w:rPr>
                <w:sz w:val="20"/>
                <w:szCs w:val="20"/>
                <w:color w:val="auto"/>
              </w:rPr>
            </w:pPr>
            <w:r>
              <w:rPr>
                <w:rFonts w:ascii="Arial" w:cs="Arial" w:eastAsia="Arial" w:hAnsi="Arial"/>
                <w:sz w:val="15"/>
                <w:szCs w:val="15"/>
                <w:color w:val="auto"/>
              </w:rPr>
              <w:t>Transfers (to) from:</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Receivables, net</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(11,678)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10,482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7,181</w:t>
            </w:r>
          </w:p>
        </w:tc>
        <w:tc>
          <w:tcPr>
            <w:tcW w:w="0" w:type="dxa"/>
            <w:vAlign w:val="bottom"/>
          </w:tcPr>
          <w:p>
            <w:pPr>
              <w:spacing w:after="0"/>
              <w:rPr>
                <w:sz w:val="1"/>
                <w:szCs w:val="1"/>
                <w:color w:val="auto"/>
              </w:rPr>
            </w:pPr>
          </w:p>
        </w:tc>
      </w:tr>
      <w:tr>
        <w:trPr>
          <w:trHeight w:val="194"/>
        </w:trPr>
        <w:tc>
          <w:tcPr>
            <w:tcW w:w="39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92"/>
        </w:trPr>
        <w:tc>
          <w:tcPr>
            <w:tcW w:w="3940" w:type="dxa"/>
            <w:vAlign w:val="bottom"/>
            <w:gridSpan w:val="2"/>
          </w:tcPr>
          <w:p>
            <w:pPr>
              <w:ind w:left="100"/>
              <w:spacing w:after="0"/>
              <w:rPr>
                <w:sz w:val="20"/>
                <w:szCs w:val="20"/>
                <w:color w:val="auto"/>
              </w:rPr>
            </w:pPr>
            <w:r>
              <w:rPr>
                <w:rFonts w:ascii="Arial" w:cs="Arial" w:eastAsia="Arial" w:hAnsi="Arial"/>
                <w:sz w:val="15"/>
                <w:szCs w:val="15"/>
                <w:color w:val="auto"/>
              </w:rPr>
              <w:t>Transfers in and / or out of Level 3</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25,582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10,478</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17,818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00" w:firstLine="272"/>
        <w:spacing w:after="0" w:line="314" w:lineRule="auto"/>
        <w:rPr>
          <w:sz w:val="20"/>
          <w:szCs w:val="20"/>
          <w:color w:val="auto"/>
        </w:rPr>
      </w:pPr>
      <w:r>
        <w:rPr>
          <w:rFonts w:ascii="Arial" w:cs="Arial" w:eastAsia="Arial" w:hAnsi="Arial"/>
          <w:sz w:val="13"/>
          <w:szCs w:val="13"/>
          <w:color w:val="auto"/>
        </w:rPr>
        <w:t xml:space="preserve">A </w:t>
      </w:r>
      <w:r>
        <w:rPr>
          <w:rFonts w:ascii="Arial" w:cs="Arial" w:eastAsia="Arial" w:hAnsi="Arial"/>
          <w:sz w:val="14"/>
          <w:szCs w:val="14"/>
          <w:color w:val="auto"/>
        </w:rPr>
        <w:t>rollforward of the beginning and ending balances of Loans Held for Investment and HMBS-related borrowings, MSRs and Financing liability - MSRs pledged that we measure at</w:t>
      </w:r>
      <w:r>
        <w:rPr>
          <w:rFonts w:ascii="Arial" w:cs="Arial" w:eastAsia="Arial" w:hAnsi="Arial"/>
          <w:sz w:val="13"/>
          <w:szCs w:val="13"/>
          <w:color w:val="auto"/>
        </w:rPr>
        <w:t xml:space="preserve"> </w:t>
      </w:r>
      <w:r>
        <w:rPr>
          <w:rFonts w:ascii="Arial" w:cs="Arial" w:eastAsia="Arial" w:hAnsi="Arial"/>
          <w:sz w:val="14"/>
          <w:szCs w:val="14"/>
          <w:color w:val="auto"/>
        </w:rPr>
        <w:t>fair value on a recurring and non-recurring basis is provided in Note 5 – Reverse Mortgages, Note 7 – Mortgage Servicing and Note 8 — Rights to MSRs, respectively.</w:t>
      </w:r>
    </w:p>
    <w:p>
      <w:pPr>
        <w:sectPr>
          <w:pgSz w:w="11900" w:h="16838" w:orient="portrait"/>
          <w:cols w:equalWidth="0" w:num="1">
            <w:col w:w="11260"/>
          </w:cols>
          <w:pgMar w:left="320" w:top="866" w:right="319" w:bottom="0" w:gutter="0" w:footer="0" w:header="0"/>
        </w:sectPr>
      </w:pPr>
    </w:p>
    <w:bookmarkStart w:id="18" w:name="page19"/>
    <w:bookmarkEnd w:id="18"/>
    <w:p>
      <w:pPr>
        <w:ind w:firstLine="272"/>
        <w:spacing w:after="0" w:line="265" w:lineRule="auto"/>
        <w:rPr>
          <w:sz w:val="20"/>
          <w:szCs w:val="20"/>
          <w:color w:val="auto"/>
        </w:rPr>
      </w:pPr>
      <w:r>
        <w:rPr>
          <w:rFonts w:ascii="Arial" w:cs="Arial" w:eastAsia="Arial" w:hAnsi="Arial"/>
          <w:sz w:val="15"/>
          <w:szCs w:val="15"/>
          <w:color w:val="auto"/>
        </w:rPr>
        <w:t>During the six months ended June 30, 2021, there have been no changes to the methodologies that we use in estimating fair values or classifications under the valuation hierarchy as disclosed in our Annual Report on Form 10-K for the year ended December 31, 2020. The significant unobservable assumptions that we make to estimate the fair value of significant assets and liabilities classified as Level 3 and measured at fair value on a recurring or non-recurring basis are provided below.</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Loans Held for Sale</w:t>
      </w:r>
    </w:p>
    <w:p>
      <w:pPr>
        <w:spacing w:after="0" w:line="138" w:lineRule="exact"/>
        <w:rPr>
          <w:sz w:val="20"/>
          <w:szCs w:val="20"/>
          <w:color w:val="auto"/>
        </w:rPr>
      </w:pPr>
    </w:p>
    <w:p>
      <w:pPr>
        <w:ind w:right="20" w:firstLine="272"/>
        <w:spacing w:after="0" w:line="265" w:lineRule="auto"/>
        <w:rPr>
          <w:sz w:val="20"/>
          <w:szCs w:val="20"/>
          <w:color w:val="auto"/>
        </w:rPr>
      </w:pPr>
      <w:r>
        <w:rPr>
          <w:rFonts w:ascii="Arial" w:cs="Arial" w:eastAsia="Arial" w:hAnsi="Arial"/>
          <w:sz w:val="15"/>
          <w:szCs w:val="15"/>
          <w:color w:val="auto"/>
        </w:rPr>
        <w:t>The fair value of loans we purchased from Ginnie Mae guaranteed securitizations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Investment - Reverse Mortgages</w:t>
      </w:r>
    </w:p>
    <w:p>
      <w:pPr>
        <w:spacing w:after="0" w:line="104" w:lineRule="exact"/>
        <w:rPr>
          <w:sz w:val="20"/>
          <w:szCs w:val="20"/>
          <w:color w:val="auto"/>
        </w:rPr>
      </w:pPr>
    </w:p>
    <w:p>
      <w:pPr>
        <w:ind w:firstLine="272"/>
        <w:spacing w:after="0" w:line="261" w:lineRule="auto"/>
        <w:rPr>
          <w:sz w:val="20"/>
          <w:szCs w:val="20"/>
          <w:color w:val="auto"/>
        </w:rPr>
      </w:pPr>
      <w:r>
        <w:rPr>
          <w:rFonts w:ascii="Arial" w:cs="Arial" w:eastAsia="Arial" w:hAnsi="Arial"/>
          <w:sz w:val="15"/>
          <w:szCs w:val="15"/>
          <w:color w:val="auto"/>
        </w:rPr>
        <w:t>Reverse mortgage loans held for investment are carried at fair value and classified as Level 3 within the valuation hierarchy. Significant unobservable assumptions include voluntary prepayment speeds, defaults and discount rate. The conditional prepayment speed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840" w:type="dxa"/>
            <w:vAlign w:val="bottom"/>
            <w:vMerge w:val="restart"/>
          </w:tcPr>
          <w:p>
            <w:pPr>
              <w:spacing w:after="0"/>
              <w:rPr>
                <w:sz w:val="20"/>
                <w:szCs w:val="20"/>
                <w:color w:val="auto"/>
              </w:rPr>
            </w:pPr>
            <w:r>
              <w:rPr>
                <w:rFonts w:ascii="Arial" w:cs="Arial" w:eastAsia="Arial" w:hAnsi="Arial"/>
                <w:sz w:val="15"/>
                <w:szCs w:val="15"/>
                <w:b w:val="1"/>
                <w:bCs w:val="1"/>
                <w:color w:val="auto"/>
              </w:rPr>
              <w:t>Significant unobservable assumptions</w:t>
            </w:r>
          </w:p>
        </w:tc>
        <w:tc>
          <w:tcPr>
            <w:tcW w:w="1740" w:type="dxa"/>
            <w:vAlign w:val="bottom"/>
            <w:gridSpan w:val="2"/>
          </w:tcPr>
          <w:p>
            <w:pPr>
              <w:ind w:left="540"/>
              <w:spacing w:after="0"/>
              <w:rPr>
                <w:sz w:val="20"/>
                <w:szCs w:val="20"/>
                <w:color w:val="auto"/>
              </w:rPr>
            </w:pPr>
            <w:r>
              <w:rPr>
                <w:rFonts w:ascii="Arial" w:cs="Arial" w:eastAsia="Arial" w:hAnsi="Arial"/>
                <w:sz w:val="15"/>
                <w:szCs w:val="15"/>
                <w:b w:val="1"/>
                <w:bCs w:val="1"/>
                <w:color w:val="auto"/>
              </w:rPr>
              <w:t>June 30,</w:t>
            </w:r>
          </w:p>
        </w:tc>
        <w:tc>
          <w:tcPr>
            <w:tcW w:w="1640" w:type="dxa"/>
            <w:vAlign w:val="bottom"/>
          </w:tcPr>
          <w:p>
            <w:pPr>
              <w:jc w:val="right"/>
              <w:ind w:right="30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3"/>
        </w:trPr>
        <w:tc>
          <w:tcPr>
            <w:tcW w:w="784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73"/>
        </w:trPr>
        <w:tc>
          <w:tcPr>
            <w:tcW w:w="7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Life in years</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840" w:type="dxa"/>
            <w:vAlign w:val="bottom"/>
          </w:tcPr>
          <w:p>
            <w:pPr>
              <w:ind w:left="180"/>
              <w:spacing w:after="0"/>
              <w:rPr>
                <w:sz w:val="20"/>
                <w:szCs w:val="20"/>
                <w:color w:val="auto"/>
              </w:rPr>
            </w:pPr>
            <w:r>
              <w:rPr>
                <w:rFonts w:ascii="Arial" w:cs="Arial" w:eastAsia="Arial" w:hAnsi="Arial"/>
                <w:sz w:val="15"/>
                <w:szCs w:val="15"/>
                <w:color w:val="auto"/>
              </w:rPr>
              <w:t>Range</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1.2 to 8.4</w:t>
            </w:r>
          </w:p>
        </w:tc>
        <w:tc>
          <w:tcPr>
            <w:tcW w:w="1640" w:type="dxa"/>
            <w:vAlign w:val="bottom"/>
          </w:tcPr>
          <w:p>
            <w:pPr>
              <w:jc w:val="right"/>
              <w:spacing w:after="0"/>
              <w:rPr>
                <w:sz w:val="20"/>
                <w:szCs w:val="20"/>
                <w:color w:val="auto"/>
              </w:rPr>
            </w:pPr>
            <w:r>
              <w:rPr>
                <w:rFonts w:ascii="Arial" w:cs="Arial" w:eastAsia="Arial" w:hAnsi="Arial"/>
                <w:sz w:val="15"/>
                <w:szCs w:val="15"/>
                <w:color w:val="auto"/>
              </w:rPr>
              <w:t>0.9 to 8.0</w:t>
            </w:r>
          </w:p>
        </w:tc>
        <w:tc>
          <w:tcPr>
            <w:tcW w:w="0" w:type="dxa"/>
            <w:vAlign w:val="bottom"/>
          </w:tcPr>
          <w:p>
            <w:pPr>
              <w:spacing w:after="0"/>
              <w:rPr>
                <w:sz w:val="1"/>
                <w:szCs w:val="1"/>
                <w:color w:val="auto"/>
              </w:rPr>
            </w:pPr>
          </w:p>
        </w:tc>
      </w:tr>
      <w:tr>
        <w:trPr>
          <w:trHeight w:val="194"/>
        </w:trPr>
        <w:tc>
          <w:tcPr>
            <w:tcW w:w="78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Weighted average</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92"/>
        </w:trPr>
        <w:tc>
          <w:tcPr>
            <w:tcW w:w="7840" w:type="dxa"/>
            <w:vAlign w:val="bottom"/>
          </w:tcPr>
          <w:p>
            <w:pPr>
              <w:ind w:left="100"/>
              <w:spacing w:after="0"/>
              <w:rPr>
                <w:sz w:val="20"/>
                <w:szCs w:val="20"/>
                <w:color w:val="auto"/>
              </w:rPr>
            </w:pPr>
            <w:r>
              <w:rPr>
                <w:rFonts w:ascii="Arial" w:cs="Arial" w:eastAsia="Arial" w:hAnsi="Arial"/>
                <w:sz w:val="15"/>
                <w:szCs w:val="15"/>
                <w:color w:val="auto"/>
              </w:rPr>
              <w:t>Conditional prepayment rate, including voluntary and involuntary prepayments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10.8% to 32.9%</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to 28.8%</w:t>
            </w:r>
          </w:p>
        </w:tc>
        <w:tc>
          <w:tcPr>
            <w:tcW w:w="0" w:type="dxa"/>
            <w:vAlign w:val="bottom"/>
          </w:tcPr>
          <w:p>
            <w:pPr>
              <w:spacing w:after="0"/>
              <w:rPr>
                <w:sz w:val="1"/>
                <w:szCs w:val="1"/>
                <w:color w:val="auto"/>
              </w:rPr>
            </w:pPr>
          </w:p>
        </w:tc>
      </w:tr>
      <w:tr>
        <w:trPr>
          <w:trHeight w:val="192"/>
        </w:trPr>
        <w:tc>
          <w:tcPr>
            <w:tcW w:w="7840" w:type="dxa"/>
            <w:vAlign w:val="bottom"/>
          </w:tcPr>
          <w:p>
            <w:pPr>
              <w:ind w:left="180"/>
              <w:spacing w:after="0"/>
              <w:rPr>
                <w:sz w:val="20"/>
                <w:szCs w:val="20"/>
                <w:color w:val="auto"/>
              </w:rPr>
            </w:pPr>
            <w:r>
              <w:rPr>
                <w:rFonts w:ascii="Arial" w:cs="Arial" w:eastAsia="Arial" w:hAnsi="Arial"/>
                <w:sz w:val="15"/>
                <w:szCs w:val="15"/>
                <w:color w:val="auto"/>
              </w:rPr>
              <w:t>Weighted average</w:t>
            </w:r>
          </w:p>
        </w:tc>
        <w:tc>
          <w:tcPr>
            <w:tcW w:w="1640" w:type="dxa"/>
            <w:vAlign w:val="bottom"/>
          </w:tcPr>
          <w:p>
            <w:pPr>
              <w:jc w:val="right"/>
              <w:spacing w:after="0"/>
              <w:rPr>
                <w:sz w:val="20"/>
                <w:szCs w:val="20"/>
                <w:color w:val="auto"/>
              </w:rPr>
            </w:pPr>
            <w:r>
              <w:rPr>
                <w:rFonts w:ascii="Arial" w:cs="Arial" w:eastAsia="Arial" w:hAnsi="Arial"/>
                <w:sz w:val="15"/>
                <w:szCs w:val="15"/>
                <w:color w:val="auto"/>
              </w:rPr>
              <w:t>16.0 %</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15.4 %</w:t>
            </w:r>
          </w:p>
        </w:tc>
        <w:tc>
          <w:tcPr>
            <w:tcW w:w="0" w:type="dxa"/>
            <w:vAlign w:val="bottom"/>
          </w:tcPr>
          <w:p>
            <w:pPr>
              <w:spacing w:after="0"/>
              <w:rPr>
                <w:sz w:val="1"/>
                <w:szCs w:val="1"/>
                <w:color w:val="auto"/>
              </w:rPr>
            </w:pPr>
          </w:p>
        </w:tc>
      </w:tr>
      <w:tr>
        <w:trPr>
          <w:trHeight w:val="194"/>
        </w:trPr>
        <w:tc>
          <w:tcPr>
            <w:tcW w:w="7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0" w:firstLine="272"/>
        <w:spacing w:after="0" w:line="265" w:lineRule="auto"/>
        <w:rPr>
          <w:sz w:val="20"/>
          <w:szCs w:val="20"/>
          <w:color w:val="auto"/>
        </w:rPr>
      </w:pPr>
      <w:r>
        <w:rPr>
          <w:rFonts w:ascii="Arial" w:cs="Arial" w:eastAsia="Arial" w:hAnsi="Arial"/>
          <w:sz w:val="15"/>
          <w:szCs w:val="15"/>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MSRs</w:t>
      </w:r>
    </w:p>
    <w:p>
      <w:pPr>
        <w:spacing w:after="0" w:line="104" w:lineRule="exact"/>
        <w:rPr>
          <w:sz w:val="20"/>
          <w:szCs w:val="20"/>
          <w:color w:val="auto"/>
        </w:rPr>
      </w:pPr>
    </w:p>
    <w:p>
      <w:pPr>
        <w:ind w:right="40" w:firstLine="272"/>
        <w:spacing w:after="0" w:line="265" w:lineRule="auto"/>
        <w:rPr>
          <w:sz w:val="20"/>
          <w:szCs w:val="20"/>
          <w:color w:val="auto"/>
        </w:rPr>
      </w:pPr>
      <w:r>
        <w:rPr>
          <w:rFonts w:ascii="Arial" w:cs="Arial" w:eastAsia="Arial" w:hAnsi="Arial"/>
          <w:sz w:val="15"/>
          <w:szCs w:val="15"/>
          <w:color w:val="auto"/>
        </w:rPr>
        <w:t>MSRs are carried at fair value and classified within Level 3 of the valuation hierarchy. The fair value is determined using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4" w:lineRule="exact"/>
        <w:rPr>
          <w:sz w:val="20"/>
          <w:szCs w:val="20"/>
          <w:color w:val="auto"/>
        </w:rPr>
      </w:pPr>
    </w:p>
    <w:p>
      <w:pPr>
        <w:ind w:right="80" w:firstLine="272"/>
        <w:spacing w:after="0" w:line="292" w:lineRule="auto"/>
        <w:rPr>
          <w:sz w:val="20"/>
          <w:szCs w:val="20"/>
          <w:color w:val="auto"/>
        </w:rPr>
      </w:pPr>
      <w:r>
        <w:rPr>
          <w:rFonts w:ascii="Arial" w:cs="Arial" w:eastAsia="Arial" w:hAnsi="Arial"/>
          <w:sz w:val="14"/>
          <w:szCs w:val="14"/>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 unobservable assumptions used in the valuation of these MSRs include prepayment speeds, delinquency rates, cost to service and discount rates.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December 31, 2020</w:t>
            </w:r>
          </w:p>
        </w:tc>
      </w:tr>
      <w:tr>
        <w:trPr>
          <w:trHeight w:val="207"/>
        </w:trPr>
        <w:tc>
          <w:tcPr>
            <w:tcW w:w="4540" w:type="dxa"/>
            <w:vAlign w:val="bottom"/>
          </w:tcPr>
          <w:p>
            <w:pPr>
              <w:ind w:left="20"/>
              <w:spacing w:after="0"/>
              <w:rPr>
                <w:sz w:val="20"/>
                <w:szCs w:val="20"/>
                <w:color w:val="auto"/>
              </w:rPr>
            </w:pPr>
            <w:r>
              <w:rPr>
                <w:rFonts w:ascii="Arial" w:cs="Arial" w:eastAsia="Arial" w:hAnsi="Arial"/>
                <w:sz w:val="15"/>
                <w:szCs w:val="15"/>
                <w:b w:val="1"/>
                <w:bCs w:val="1"/>
                <w:color w:val="auto"/>
              </w:rPr>
              <w:t>Significant unobservable assumptions</w:t>
            </w:r>
          </w:p>
        </w:tc>
        <w:tc>
          <w:tcPr>
            <w:tcW w:w="32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Arial" w:cs="Arial" w:eastAsia="Arial" w:hAnsi="Arial"/>
                <w:sz w:val="15"/>
                <w:szCs w:val="15"/>
                <w:b w:val="1"/>
                <w:bCs w:val="1"/>
                <w:color w:val="auto"/>
              </w:rPr>
              <w:t>Agency</w:t>
            </w:r>
          </w:p>
        </w:tc>
        <w:tc>
          <w:tcPr>
            <w:tcW w:w="3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5"/>
                <w:szCs w:val="15"/>
                <w:b w:val="1"/>
                <w:bCs w:val="1"/>
                <w:color w:val="auto"/>
              </w:rPr>
              <w:t>Non-Agency</w:t>
            </w:r>
          </w:p>
        </w:tc>
        <w:tc>
          <w:tcPr>
            <w:tcW w:w="32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Arial" w:cs="Arial" w:eastAsia="Arial" w:hAnsi="Arial"/>
                <w:sz w:val="15"/>
                <w:szCs w:val="15"/>
                <w:b w:val="1"/>
                <w:bCs w:val="1"/>
                <w:color w:val="auto"/>
              </w:rPr>
              <w:t>Agency</w:t>
            </w:r>
          </w:p>
        </w:tc>
        <w:tc>
          <w:tcPr>
            <w:tcW w:w="240" w:type="dxa"/>
            <w:vAlign w:val="bottom"/>
          </w:tcPr>
          <w:p>
            <w:pPr>
              <w:spacing w:after="0"/>
              <w:rPr>
                <w:sz w:val="17"/>
                <w:szCs w:val="17"/>
                <w:color w:val="auto"/>
              </w:rPr>
            </w:pPr>
          </w:p>
        </w:tc>
        <w:tc>
          <w:tcPr>
            <w:tcW w:w="1340" w:type="dxa"/>
            <w:vAlign w:val="bottom"/>
          </w:tcPr>
          <w:p>
            <w:pPr>
              <w:jc w:val="right"/>
              <w:ind w:right="324"/>
              <w:spacing w:after="0"/>
              <w:rPr>
                <w:sz w:val="20"/>
                <w:szCs w:val="20"/>
                <w:color w:val="auto"/>
              </w:rPr>
            </w:pPr>
            <w:r>
              <w:rPr>
                <w:rFonts w:ascii="Arial" w:cs="Arial" w:eastAsia="Arial" w:hAnsi="Arial"/>
                <w:sz w:val="15"/>
                <w:szCs w:val="15"/>
                <w:b w:val="1"/>
                <w:bCs w:val="1"/>
                <w:color w:val="auto"/>
              </w:rPr>
              <w:t>Non-Agency</w:t>
            </w:r>
          </w:p>
        </w:tc>
      </w:tr>
      <w:tr>
        <w:trPr>
          <w:trHeight w:val="185"/>
        </w:trPr>
        <w:tc>
          <w:tcPr>
            <w:tcW w:w="4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Weighted average prepayment speed</w:t>
            </w:r>
          </w:p>
        </w:tc>
        <w:tc>
          <w:tcPr>
            <w:tcW w:w="3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12.1 %</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11.8 %</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11.5 %</w:t>
            </w:r>
          </w:p>
        </w:tc>
      </w:tr>
      <w:tr>
        <w:trPr>
          <w:trHeight w:val="192"/>
        </w:trPr>
        <w:tc>
          <w:tcPr>
            <w:tcW w:w="4540" w:type="dxa"/>
            <w:vAlign w:val="bottom"/>
          </w:tcPr>
          <w:p>
            <w:pPr>
              <w:ind w:left="120"/>
              <w:spacing w:after="0"/>
              <w:rPr>
                <w:sz w:val="20"/>
                <w:szCs w:val="20"/>
                <w:color w:val="auto"/>
              </w:rPr>
            </w:pPr>
            <w:r>
              <w:rPr>
                <w:rFonts w:ascii="Arial" w:cs="Arial" w:eastAsia="Arial" w:hAnsi="Arial"/>
                <w:sz w:val="15"/>
                <w:szCs w:val="15"/>
                <w:color w:val="auto"/>
              </w:rPr>
              <w:t>Weighted average lifetime delinquency rate</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28.0 %</w:t>
            </w:r>
          </w:p>
        </w:tc>
      </w:tr>
      <w:tr>
        <w:trPr>
          <w:trHeight w:val="194"/>
        </w:trPr>
        <w:tc>
          <w:tcPr>
            <w:tcW w:w="45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discount rate</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8.6 %</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191"/>
        </w:trPr>
        <w:tc>
          <w:tcPr>
            <w:tcW w:w="4540" w:type="dxa"/>
            <w:vAlign w:val="bottom"/>
          </w:tcPr>
          <w:p>
            <w:pPr>
              <w:ind w:left="120"/>
              <w:spacing w:after="0"/>
              <w:rPr>
                <w:sz w:val="20"/>
                <w:szCs w:val="20"/>
                <w:color w:val="auto"/>
              </w:rPr>
            </w:pPr>
            <w:r>
              <w:rPr>
                <w:rFonts w:ascii="Arial" w:cs="Arial" w:eastAsia="Arial" w:hAnsi="Arial"/>
                <w:sz w:val="15"/>
                <w:szCs w:val="15"/>
                <w:color w:val="auto"/>
              </w:rPr>
              <w:t>Weighted average cost to service (in dollars)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24"/>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6"/>
                <w:szCs w:val="16"/>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272</w:t>
            </w:r>
          </w:p>
        </w:tc>
        <w:tc>
          <w:tcPr>
            <w:tcW w:w="10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24"/>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270</w:t>
            </w:r>
          </w:p>
        </w:tc>
      </w:tr>
    </w:tbl>
    <w:p>
      <w:pPr>
        <w:spacing w:after="0" w:line="161" w:lineRule="exact"/>
        <w:rPr>
          <w:sz w:val="20"/>
          <w:szCs w:val="20"/>
          <w:color w:val="auto"/>
        </w:rPr>
      </w:pPr>
    </w:p>
    <w:p>
      <w:pPr>
        <w:ind w:right="120" w:firstLine="272"/>
        <w:spacing w:after="0" w:line="357" w:lineRule="auto"/>
        <w:rPr>
          <w:sz w:val="20"/>
          <w:szCs w:val="20"/>
          <w:color w:val="auto"/>
        </w:rPr>
      </w:pPr>
      <w:r>
        <w:rPr>
          <w:rFonts w:ascii="Arial" w:cs="Arial" w:eastAsia="Arial" w:hAnsi="Arial"/>
          <w:sz w:val="13"/>
          <w:szCs w:val="13"/>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2" w:right="319" w:bottom="1440" w:gutter="0" w:footer="0" w:header="0"/>
        </w:sectPr>
      </w:pPr>
    </w:p>
    <w:bookmarkStart w:id="20" w:name="page21"/>
    <w:bookmarkEnd w:id="20"/>
    <w:p>
      <w:pPr>
        <w:ind w:right="440"/>
        <w:spacing w:after="0" w:line="278" w:lineRule="auto"/>
        <w:rPr>
          <w:sz w:val="20"/>
          <w:szCs w:val="20"/>
          <w:color w:val="auto"/>
        </w:rPr>
      </w:pPr>
      <w:r>
        <w:rPr>
          <w:rFonts w:ascii="Arial" w:cs="Arial" w:eastAsia="Arial" w:hAnsi="Arial"/>
          <w:sz w:val="15"/>
          <w:szCs w:val="15"/>
          <w:color w:val="auto"/>
        </w:rPr>
        <w:t>availability (as prepayments decrease). The following table summarizes the estimated change in the value of the MSRs as of June 30, 2021 given hypothetical increases in lifetime prepayments and yield assumptions: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Adverse change in fair value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10%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w:t>
            </w:r>
          </w:p>
        </w:tc>
      </w:tr>
      <w:tr>
        <w:trPr>
          <w:trHeight w:val="185"/>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prepayment speeds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(131,504)</w:t>
            </w:r>
          </w:p>
        </w:tc>
      </w:tr>
      <w:tr>
        <w:trPr>
          <w:trHeight w:val="191"/>
        </w:trPr>
        <w:tc>
          <w:tcPr>
            <w:tcW w:w="8000" w:type="dxa"/>
            <w:vAlign w:val="bottom"/>
          </w:tcPr>
          <w:p>
            <w:pPr>
              <w:ind w:left="20"/>
              <w:spacing w:after="0"/>
              <w:rPr>
                <w:sz w:val="20"/>
                <w:szCs w:val="20"/>
                <w:color w:val="auto"/>
              </w:rPr>
            </w:pPr>
            <w:r>
              <w:rPr>
                <w:rFonts w:ascii="Arial" w:cs="Arial" w:eastAsia="Arial" w:hAnsi="Arial"/>
                <w:sz w:val="15"/>
                <w:szCs w:val="15"/>
                <w:color w:val="auto"/>
              </w:rPr>
              <w:t>Weighted average discount rate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(55,639)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(107,581)</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 Equity Method Investee</w:t>
      </w:r>
    </w:p>
    <w:p>
      <w:pPr>
        <w:spacing w:after="0" w:line="104" w:lineRule="exact"/>
        <w:rPr>
          <w:sz w:val="20"/>
          <w:szCs w:val="20"/>
          <w:color w:val="auto"/>
        </w:rPr>
      </w:pPr>
    </w:p>
    <w:p>
      <w:pPr>
        <w:jc w:val="both"/>
        <w:ind w:right="100" w:firstLine="272"/>
        <w:spacing w:after="0" w:line="292" w:lineRule="auto"/>
        <w:rPr>
          <w:sz w:val="20"/>
          <w:szCs w:val="20"/>
          <w:color w:val="auto"/>
        </w:rPr>
      </w:pPr>
      <w:r>
        <w:rPr>
          <w:rFonts w:ascii="Arial" w:cs="Arial" w:eastAsia="Arial" w:hAnsi="Arial"/>
          <w:sz w:val="14"/>
          <w:szCs w:val="14"/>
          <w:color w:val="auto"/>
        </w:rPr>
        <w:t>Our investment in equity method investee is accounted for using the equity method and classified as Level 3 within the valuation hierarchy. The assets and liabilities of the investee are carried at fair value or a value that approximates fair value. Accordingly, the investee’s net asset value approximates its fair value, and its earnings or losses reflect the change in its net asset value, resulting in our recorded investment approximating fair value. See Note 10 - Investment in Equity Method Investee for further details.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Financing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HMBS-Related Borrowings</w:t>
      </w:r>
    </w:p>
    <w:p>
      <w:pPr>
        <w:spacing w:after="0" w:line="100" w:lineRule="exact"/>
        <w:rPr>
          <w:sz w:val="20"/>
          <w:szCs w:val="20"/>
          <w:color w:val="auto"/>
        </w:rPr>
      </w:pPr>
    </w:p>
    <w:p>
      <w:pPr>
        <w:ind w:right="180" w:firstLine="272"/>
        <w:spacing w:after="0" w:line="278" w:lineRule="auto"/>
        <w:rPr>
          <w:sz w:val="20"/>
          <w:szCs w:val="20"/>
          <w:color w:val="auto"/>
        </w:rPr>
      </w:pPr>
      <w:r>
        <w:rPr>
          <w:rFonts w:ascii="Arial" w:cs="Arial" w:eastAsia="Arial" w:hAnsi="Arial"/>
          <w:sz w:val="15"/>
          <w:szCs w:val="15"/>
          <w:color w:val="auto"/>
        </w:rPr>
        <w:t>HMBS-related borrowings are carried at fair value and classified as Level 3 within the valuation hierarchy. These borrowings are not actively traded, and therefore, quoted market prices are not available.</w:t>
      </w:r>
    </w:p>
    <w:p>
      <w:pPr>
        <w:spacing w:after="0" w:line="54" w:lineRule="exact"/>
        <w:rPr>
          <w:sz w:val="20"/>
          <w:szCs w:val="20"/>
          <w:color w:val="auto"/>
        </w:rPr>
      </w:pPr>
    </w:p>
    <w:p>
      <w:pPr>
        <w:ind w:right="20" w:firstLine="272"/>
        <w:spacing w:after="0" w:line="278" w:lineRule="auto"/>
        <w:rPr>
          <w:sz w:val="20"/>
          <w:szCs w:val="20"/>
          <w:color w:val="auto"/>
        </w:rPr>
      </w:pPr>
      <w:r>
        <w:rPr>
          <w:rFonts w:ascii="Arial" w:cs="Arial" w:eastAsia="Arial" w:hAnsi="Arial"/>
          <w:sz w:val="15"/>
          <w:szCs w:val="15"/>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840" w:type="dxa"/>
            <w:vAlign w:val="bottom"/>
            <w:vMerge w:val="restart"/>
          </w:tcPr>
          <w:p>
            <w:pPr>
              <w:spacing w:after="0"/>
              <w:rPr>
                <w:sz w:val="20"/>
                <w:szCs w:val="20"/>
                <w:color w:val="auto"/>
              </w:rPr>
            </w:pPr>
            <w:r>
              <w:rPr>
                <w:rFonts w:ascii="Arial" w:cs="Arial" w:eastAsia="Arial" w:hAnsi="Arial"/>
                <w:sz w:val="15"/>
                <w:szCs w:val="15"/>
                <w:b w:val="1"/>
                <w:bCs w:val="1"/>
                <w:color w:val="auto"/>
              </w:rPr>
              <w:t>Significant unobservable assumptions</w:t>
            </w:r>
          </w:p>
        </w:tc>
        <w:tc>
          <w:tcPr>
            <w:tcW w:w="1740" w:type="dxa"/>
            <w:vAlign w:val="bottom"/>
            <w:gridSpan w:val="2"/>
          </w:tcPr>
          <w:p>
            <w:pPr>
              <w:ind w:left="540"/>
              <w:spacing w:after="0"/>
              <w:rPr>
                <w:sz w:val="20"/>
                <w:szCs w:val="20"/>
                <w:color w:val="auto"/>
              </w:rPr>
            </w:pPr>
            <w:r>
              <w:rPr>
                <w:rFonts w:ascii="Arial" w:cs="Arial" w:eastAsia="Arial" w:hAnsi="Arial"/>
                <w:sz w:val="15"/>
                <w:szCs w:val="15"/>
                <w:b w:val="1"/>
                <w:bCs w:val="1"/>
                <w:color w:val="auto"/>
              </w:rPr>
              <w:t>June 30,</w:t>
            </w:r>
          </w:p>
        </w:tc>
        <w:tc>
          <w:tcPr>
            <w:tcW w:w="1640" w:type="dxa"/>
            <w:vAlign w:val="bottom"/>
          </w:tcPr>
          <w:p>
            <w:pPr>
              <w:jc w:val="right"/>
              <w:ind w:right="30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3"/>
        </w:trPr>
        <w:tc>
          <w:tcPr>
            <w:tcW w:w="784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73"/>
        </w:trPr>
        <w:tc>
          <w:tcPr>
            <w:tcW w:w="7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Life in years</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840" w:type="dxa"/>
            <w:vAlign w:val="bottom"/>
          </w:tcPr>
          <w:p>
            <w:pPr>
              <w:ind w:left="180"/>
              <w:spacing w:after="0"/>
              <w:rPr>
                <w:sz w:val="20"/>
                <w:szCs w:val="20"/>
                <w:color w:val="auto"/>
              </w:rPr>
            </w:pPr>
            <w:r>
              <w:rPr>
                <w:rFonts w:ascii="Arial" w:cs="Arial" w:eastAsia="Arial" w:hAnsi="Arial"/>
                <w:sz w:val="15"/>
                <w:szCs w:val="15"/>
                <w:color w:val="auto"/>
              </w:rPr>
              <w:t>Range</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1.2 to 8.4</w:t>
            </w:r>
          </w:p>
        </w:tc>
        <w:tc>
          <w:tcPr>
            <w:tcW w:w="1640" w:type="dxa"/>
            <w:vAlign w:val="bottom"/>
          </w:tcPr>
          <w:p>
            <w:pPr>
              <w:jc w:val="right"/>
              <w:spacing w:after="0"/>
              <w:rPr>
                <w:sz w:val="20"/>
                <w:szCs w:val="20"/>
                <w:color w:val="auto"/>
              </w:rPr>
            </w:pPr>
            <w:r>
              <w:rPr>
                <w:rFonts w:ascii="Arial" w:cs="Arial" w:eastAsia="Arial" w:hAnsi="Arial"/>
                <w:sz w:val="15"/>
                <w:szCs w:val="15"/>
                <w:color w:val="auto"/>
              </w:rPr>
              <w:t>0.9 to 8.0</w:t>
            </w:r>
          </w:p>
        </w:tc>
        <w:tc>
          <w:tcPr>
            <w:tcW w:w="0" w:type="dxa"/>
            <w:vAlign w:val="bottom"/>
          </w:tcPr>
          <w:p>
            <w:pPr>
              <w:spacing w:after="0"/>
              <w:rPr>
                <w:sz w:val="1"/>
                <w:szCs w:val="1"/>
                <w:color w:val="auto"/>
              </w:rPr>
            </w:pPr>
          </w:p>
        </w:tc>
      </w:tr>
      <w:tr>
        <w:trPr>
          <w:trHeight w:val="194"/>
        </w:trPr>
        <w:tc>
          <w:tcPr>
            <w:tcW w:w="78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Weighted average</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92"/>
        </w:trPr>
        <w:tc>
          <w:tcPr>
            <w:tcW w:w="7840" w:type="dxa"/>
            <w:vAlign w:val="bottom"/>
          </w:tcPr>
          <w:p>
            <w:pPr>
              <w:ind w:left="100"/>
              <w:spacing w:after="0"/>
              <w:rPr>
                <w:sz w:val="20"/>
                <w:szCs w:val="20"/>
                <w:color w:val="auto"/>
              </w:rPr>
            </w:pPr>
            <w:r>
              <w:rPr>
                <w:rFonts w:ascii="Arial" w:cs="Arial" w:eastAsia="Arial" w:hAnsi="Arial"/>
                <w:sz w:val="15"/>
                <w:szCs w:val="15"/>
                <w:color w:val="auto"/>
              </w:rPr>
              <w:t>Conditional prepayment rate</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10.8% to 32.9%</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to 28.8%</w:t>
            </w:r>
          </w:p>
        </w:tc>
        <w:tc>
          <w:tcPr>
            <w:tcW w:w="0" w:type="dxa"/>
            <w:vAlign w:val="bottom"/>
          </w:tcPr>
          <w:p>
            <w:pPr>
              <w:spacing w:after="0"/>
              <w:rPr>
                <w:sz w:val="1"/>
                <w:szCs w:val="1"/>
                <w:color w:val="auto"/>
              </w:rPr>
            </w:pPr>
          </w:p>
        </w:tc>
      </w:tr>
      <w:tr>
        <w:trPr>
          <w:trHeight w:val="192"/>
        </w:trPr>
        <w:tc>
          <w:tcPr>
            <w:tcW w:w="7840" w:type="dxa"/>
            <w:vAlign w:val="bottom"/>
          </w:tcPr>
          <w:p>
            <w:pPr>
              <w:ind w:left="180"/>
              <w:spacing w:after="0"/>
              <w:rPr>
                <w:sz w:val="20"/>
                <w:szCs w:val="20"/>
                <w:color w:val="auto"/>
              </w:rPr>
            </w:pPr>
            <w:r>
              <w:rPr>
                <w:rFonts w:ascii="Arial" w:cs="Arial" w:eastAsia="Arial" w:hAnsi="Arial"/>
                <w:sz w:val="15"/>
                <w:szCs w:val="15"/>
                <w:color w:val="auto"/>
              </w:rPr>
              <w:t>Weighted average</w:t>
            </w:r>
          </w:p>
        </w:tc>
        <w:tc>
          <w:tcPr>
            <w:tcW w:w="1640" w:type="dxa"/>
            <w:vAlign w:val="bottom"/>
          </w:tcPr>
          <w:p>
            <w:pPr>
              <w:jc w:val="right"/>
              <w:spacing w:after="0"/>
              <w:rPr>
                <w:sz w:val="20"/>
                <w:szCs w:val="20"/>
                <w:color w:val="auto"/>
              </w:rPr>
            </w:pPr>
            <w:r>
              <w:rPr>
                <w:rFonts w:ascii="Arial" w:cs="Arial" w:eastAsia="Arial" w:hAnsi="Arial"/>
                <w:sz w:val="15"/>
                <w:szCs w:val="15"/>
                <w:color w:val="auto"/>
              </w:rPr>
              <w:t>16.0 %</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15.4 %</w:t>
            </w:r>
          </w:p>
        </w:tc>
        <w:tc>
          <w:tcPr>
            <w:tcW w:w="0" w:type="dxa"/>
            <w:vAlign w:val="bottom"/>
          </w:tcPr>
          <w:p>
            <w:pPr>
              <w:spacing w:after="0"/>
              <w:rPr>
                <w:sz w:val="1"/>
                <w:szCs w:val="1"/>
                <w:color w:val="auto"/>
              </w:rPr>
            </w:pPr>
          </w:p>
        </w:tc>
      </w:tr>
      <w:tr>
        <w:trPr>
          <w:trHeight w:val="194"/>
        </w:trPr>
        <w:tc>
          <w:tcPr>
            <w:tcW w:w="7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00" w:firstLine="272"/>
        <w:spacing w:after="0" w:line="265" w:lineRule="auto"/>
        <w:rPr>
          <w:sz w:val="20"/>
          <w:szCs w:val="20"/>
          <w:color w:val="auto"/>
        </w:rPr>
      </w:pPr>
      <w:r>
        <w:rPr>
          <w:rFonts w:ascii="Arial" w:cs="Arial" w:eastAsia="Arial" w:hAnsi="Arial"/>
          <w:sz w:val="15"/>
          <w:szCs w:val="15"/>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MSRs Pledged (Rights to MSRs)</w:t>
      </w:r>
    </w:p>
    <w:p>
      <w:pPr>
        <w:spacing w:after="0" w:line="100" w:lineRule="exact"/>
        <w:rPr>
          <w:sz w:val="20"/>
          <w:szCs w:val="20"/>
          <w:color w:val="auto"/>
        </w:rPr>
      </w:pPr>
    </w:p>
    <w:p>
      <w:pPr>
        <w:ind w:right="80" w:firstLine="272"/>
        <w:spacing w:after="0" w:line="278" w:lineRule="auto"/>
        <w:rPr>
          <w:sz w:val="20"/>
          <w:szCs w:val="20"/>
          <w:color w:val="auto"/>
        </w:rPr>
      </w:pPr>
      <w:r>
        <w:rPr>
          <w:rFonts w:ascii="Arial" w:cs="Arial" w:eastAsia="Arial" w:hAnsi="Arial"/>
          <w:sz w:val="15"/>
          <w:szCs w:val="15"/>
          <w:color w:val="auto"/>
        </w:rPr>
        <w:t>These MSR pledged liabilities carried at fair value and classified as Level 3 within the valuation hierarchy. We determine the fair value of the pledged MSR liability consistent with the mid-point of the range of prices provided by third-party valuation experts for the related MSR.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vMerge w:val="restart"/>
          </w:tcPr>
          <w:p>
            <w:pPr>
              <w:spacing w:after="0"/>
              <w:rPr>
                <w:sz w:val="20"/>
                <w:szCs w:val="20"/>
                <w:color w:val="auto"/>
              </w:rPr>
            </w:pPr>
            <w:r>
              <w:rPr>
                <w:rFonts w:ascii="Arial" w:cs="Arial" w:eastAsia="Arial" w:hAnsi="Arial"/>
                <w:sz w:val="15"/>
                <w:szCs w:val="15"/>
                <w:b w:val="1"/>
                <w:bCs w:val="1"/>
                <w:color w:val="auto"/>
              </w:rPr>
              <w:t>Significant unobservable assumptions</w:t>
            </w:r>
          </w:p>
        </w:tc>
        <w:tc>
          <w:tcPr>
            <w:tcW w:w="1140" w:type="dxa"/>
            <w:vAlign w:val="bottom"/>
          </w:tcPr>
          <w:p>
            <w:pPr>
              <w:jc w:val="center"/>
              <w:ind w:left="424"/>
              <w:spacing w:after="0"/>
              <w:rPr>
                <w:sz w:val="20"/>
                <w:szCs w:val="20"/>
                <w:color w:val="auto"/>
              </w:rPr>
            </w:pPr>
            <w:r>
              <w:rPr>
                <w:rFonts w:ascii="Arial" w:cs="Arial" w:eastAsia="Arial" w:hAnsi="Arial"/>
                <w:sz w:val="15"/>
                <w:szCs w:val="15"/>
                <w:b w:val="1"/>
                <w:bCs w:val="1"/>
                <w:color w:val="auto"/>
                <w:w w:val="86"/>
              </w:rPr>
              <w:t>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30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3"/>
        </w:trPr>
        <w:tc>
          <w:tcPr>
            <w:tcW w:w="784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4"/>
        </w:trPr>
        <w:tc>
          <w:tcPr>
            <w:tcW w:w="7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Weighted average prepayment speed</w:t>
            </w:r>
          </w:p>
        </w:tc>
        <w:tc>
          <w:tcPr>
            <w:tcW w:w="1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11.7 %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11.5 %</w:t>
            </w:r>
          </w:p>
        </w:tc>
        <w:tc>
          <w:tcPr>
            <w:tcW w:w="0" w:type="dxa"/>
            <w:vAlign w:val="bottom"/>
          </w:tcPr>
          <w:p>
            <w:pPr>
              <w:spacing w:after="0"/>
              <w:rPr>
                <w:sz w:val="1"/>
                <w:szCs w:val="1"/>
                <w:color w:val="auto"/>
              </w:rPr>
            </w:pPr>
          </w:p>
        </w:tc>
      </w:tr>
      <w:tr>
        <w:trPr>
          <w:trHeight w:val="192"/>
        </w:trPr>
        <w:tc>
          <w:tcPr>
            <w:tcW w:w="7840" w:type="dxa"/>
            <w:vAlign w:val="bottom"/>
          </w:tcPr>
          <w:p>
            <w:pPr>
              <w:ind w:left="100"/>
              <w:spacing w:after="0"/>
              <w:rPr>
                <w:sz w:val="20"/>
                <w:szCs w:val="20"/>
                <w:color w:val="auto"/>
              </w:rPr>
            </w:pPr>
            <w:r>
              <w:rPr>
                <w:rFonts w:ascii="Arial" w:cs="Arial" w:eastAsia="Arial" w:hAnsi="Arial"/>
                <w:sz w:val="15"/>
                <w:szCs w:val="15"/>
                <w:color w:val="auto"/>
              </w:rPr>
              <w:t>Weighted average delinquency rate</w:t>
            </w: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8"/>
              </w:rPr>
              <w:t>29.4 %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29.8 %</w:t>
            </w:r>
          </w:p>
        </w:tc>
        <w:tc>
          <w:tcPr>
            <w:tcW w:w="0" w:type="dxa"/>
            <w:vAlign w:val="bottom"/>
          </w:tcPr>
          <w:p>
            <w:pPr>
              <w:spacing w:after="0"/>
              <w:rPr>
                <w:sz w:val="1"/>
                <w:szCs w:val="1"/>
                <w:color w:val="auto"/>
              </w:rPr>
            </w:pPr>
          </w:p>
        </w:tc>
      </w:tr>
      <w:tr>
        <w:trPr>
          <w:trHeight w:val="194"/>
        </w:trPr>
        <w:tc>
          <w:tcPr>
            <w:tcW w:w="7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Weighted average discount rate</w:t>
            </w:r>
          </w:p>
        </w:tc>
        <w:tc>
          <w:tcPr>
            <w:tcW w:w="1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11.0 %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0" w:type="dxa"/>
            <w:vAlign w:val="bottom"/>
          </w:tcPr>
          <w:p>
            <w:pPr>
              <w:spacing w:after="0"/>
              <w:rPr>
                <w:sz w:val="1"/>
                <w:szCs w:val="1"/>
                <w:color w:val="auto"/>
              </w:rPr>
            </w:pPr>
          </w:p>
        </w:tc>
      </w:tr>
      <w:tr>
        <w:trPr>
          <w:trHeight w:val="191"/>
        </w:trPr>
        <w:tc>
          <w:tcPr>
            <w:tcW w:w="7840" w:type="dxa"/>
            <w:vAlign w:val="bottom"/>
          </w:tcPr>
          <w:p>
            <w:pPr>
              <w:ind w:left="100"/>
              <w:spacing w:after="0"/>
              <w:rPr>
                <w:sz w:val="20"/>
                <w:szCs w:val="20"/>
                <w:color w:val="auto"/>
              </w:rPr>
            </w:pPr>
            <w:r>
              <w:rPr>
                <w:rFonts w:ascii="Arial" w:cs="Arial" w:eastAsia="Arial" w:hAnsi="Arial"/>
                <w:sz w:val="15"/>
                <w:szCs w:val="15"/>
                <w:color w:val="auto"/>
              </w:rPr>
              <w:t>Weighted average cost to service (in dollars)</w:t>
            </w:r>
          </w:p>
        </w:tc>
        <w:tc>
          <w:tcPr>
            <w:tcW w:w="1140" w:type="dxa"/>
            <w:vAlign w:val="bottom"/>
          </w:tcPr>
          <w:p>
            <w:pPr>
              <w:jc w:val="right"/>
              <w:ind w:right="964"/>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285</w:t>
            </w:r>
          </w:p>
        </w:tc>
        <w:tc>
          <w:tcPr>
            <w:tcW w:w="1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Significant increases or decreases in these assumptions in isolation would result in a significantly higher or lower fair value.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1" w:name="page22"/>
    <w:bookmarkEnd w:id="21"/>
    <w:p>
      <w:pPr>
        <w:ind w:left="260"/>
        <w:spacing w:after="0"/>
        <w:rPr>
          <w:sz w:val="20"/>
          <w:szCs w:val="20"/>
          <w:color w:val="auto"/>
        </w:rPr>
      </w:pPr>
      <w:r>
        <w:rPr>
          <w:rFonts w:ascii="Arial" w:cs="Arial" w:eastAsia="Arial" w:hAnsi="Arial"/>
          <w:sz w:val="15"/>
          <w:szCs w:val="15"/>
          <w:b w:val="1"/>
          <w:bCs w:val="1"/>
          <w:color w:val="auto"/>
        </w:rPr>
        <w:t>Derivative Financial Instruments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Interest rate lock commitments (IRLCs) are classified as Level 3 assets as fallout rates were determined to be significant unobservable assumptions.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Pr>
          <w:p>
            <w:pPr>
              <w:spacing w:after="0"/>
              <w:rPr>
                <w:sz w:val="16"/>
                <w:szCs w:val="16"/>
                <w:color w:val="auto"/>
              </w:rPr>
            </w:pPr>
          </w:p>
        </w:tc>
        <w:tc>
          <w:tcPr>
            <w:tcW w:w="28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48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Loans Held for Sale - Fair Value</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85"/>
        </w:trPr>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500,814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203,592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366,364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208,752</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Originations and purchases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3,286,826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1,117,548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6,620,727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1,949,022</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Proceeds from sales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(3,094,639)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(1,067,574)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(6,263,654)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(1,872,776)</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Principal collections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(11,285)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(8,925)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(16,703)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(15,758)</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Transfers from (to):</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2"/>
        </w:trPr>
        <w:tc>
          <w:tcPr>
            <w:tcW w:w="4820" w:type="dxa"/>
            <w:vAlign w:val="bottom"/>
          </w:tcPr>
          <w:p>
            <w:pPr>
              <w:ind w:left="180"/>
              <w:spacing w:after="0"/>
              <w:rPr>
                <w:sz w:val="20"/>
                <w:szCs w:val="20"/>
                <w:color w:val="auto"/>
              </w:rPr>
            </w:pPr>
            <w:r>
              <w:rPr>
                <w:rFonts w:ascii="Arial" w:cs="Arial" w:eastAsia="Arial" w:hAnsi="Arial"/>
                <w:sz w:val="15"/>
                <w:szCs w:val="15"/>
                <w:color w:val="auto"/>
              </w:rPr>
              <w:t>Loans held for investment, at fair value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1,119</w:t>
            </w:r>
          </w:p>
        </w:tc>
      </w:tr>
      <w:tr>
        <w:trPr>
          <w:trHeight w:val="194"/>
        </w:trPr>
        <w:tc>
          <w:tcPr>
            <w:tcW w:w="48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Receivables, net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(48,226)</w:t>
            </w:r>
          </w:p>
        </w:tc>
      </w:tr>
      <w:tr>
        <w:trPr>
          <w:trHeight w:val="192"/>
        </w:trPr>
        <w:tc>
          <w:tcPr>
            <w:tcW w:w="4820" w:type="dxa"/>
            <w:vAlign w:val="bottom"/>
          </w:tcPr>
          <w:p>
            <w:pPr>
              <w:ind w:left="180"/>
              <w:spacing w:after="0"/>
              <w:rPr>
                <w:sz w:val="20"/>
                <w:szCs w:val="20"/>
                <w:color w:val="auto"/>
              </w:rPr>
            </w:pPr>
            <w:r>
              <w:rPr>
                <w:rFonts w:ascii="Arial" w:cs="Arial" w:eastAsia="Arial" w:hAnsi="Arial"/>
                <w:sz w:val="15"/>
                <w:szCs w:val="15"/>
                <w:color w:val="auto"/>
              </w:rPr>
              <w:t>REO (Other assets)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(841)</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(loss) on sale of loans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21,835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28,253</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Increase (decrease) in fair value of loans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(2,295)</w:t>
            </w: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9,013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5,787</w:t>
            </w:r>
          </w:p>
        </w:tc>
      </w:tr>
      <w:tr>
        <w:trPr>
          <w:trHeight w:val="185"/>
        </w:trPr>
        <w:tc>
          <w:tcPr>
            <w:tcW w:w="4820" w:type="dxa"/>
            <w:vAlign w:val="bottom"/>
          </w:tcPr>
          <w:p>
            <w:pPr>
              <w:spacing w:after="0"/>
              <w:rPr>
                <w:sz w:val="20"/>
                <w:szCs w:val="20"/>
                <w:color w:val="auto"/>
              </w:rPr>
            </w:pPr>
            <w:r>
              <w:rPr>
                <w:rFonts w:ascii="Arial" w:cs="Arial" w:eastAsia="Arial" w:hAnsi="Arial"/>
                <w:sz w:val="15"/>
                <w:szCs w:val="15"/>
                <w:b w:val="1"/>
                <w:bCs w:val="1"/>
                <w:color w:val="auto"/>
              </w:rPr>
              <w:t xml:space="preserve">Ending balance </w:t>
            </w:r>
            <w:r>
              <w:rPr>
                <w:rFonts w:ascii="Arial" w:cs="Arial" w:eastAsia="Arial" w:hAnsi="Arial"/>
                <w:sz w:val="15"/>
                <w:szCs w:val="15"/>
                <w:color w:val="auto"/>
              </w:rPr>
              <w:t>(1)</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680,866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253,037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680,866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253,037</w:t>
            </w: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At June 30, 2021 and 2020, the balances include $(7.4) million and $(7.5) million, respectively, of fair value adjustments.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Pr>
          <w:p>
            <w:pPr>
              <w:spacing w:after="0"/>
              <w:rPr>
                <w:sz w:val="16"/>
                <w:szCs w:val="16"/>
                <w:color w:val="auto"/>
              </w:rPr>
            </w:pPr>
          </w:p>
        </w:tc>
        <w:tc>
          <w:tcPr>
            <w:tcW w:w="28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484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Loans Held for Sale - Lower of Cost or Fair Value</w:t>
            </w: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 - before Valuation Allowance</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22,471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49,204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73,160</w:t>
            </w:r>
          </w:p>
        </w:tc>
      </w:tr>
      <w:tr>
        <w:trPr>
          <w:trHeight w:val="192"/>
        </w:trPr>
        <w:tc>
          <w:tcPr>
            <w:tcW w:w="4840" w:type="dxa"/>
            <w:vAlign w:val="bottom"/>
          </w:tcPr>
          <w:p>
            <w:pPr>
              <w:ind w:left="100"/>
              <w:spacing w:after="0"/>
              <w:rPr>
                <w:sz w:val="20"/>
                <w:szCs w:val="20"/>
                <w:color w:val="auto"/>
              </w:rPr>
            </w:pPr>
            <w:r>
              <w:rPr>
                <w:rFonts w:ascii="Arial" w:cs="Arial" w:eastAsia="Arial" w:hAnsi="Arial"/>
                <w:sz w:val="15"/>
                <w:szCs w:val="15"/>
                <w:color w:val="auto"/>
              </w:rPr>
              <w:t>Proceeds from sales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(16,373)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(6,667)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(46,865)</w:t>
            </w:r>
          </w:p>
        </w:tc>
      </w:tr>
      <w:tr>
        <w:trPr>
          <w:trHeight w:val="194"/>
        </w:trPr>
        <w:tc>
          <w:tcPr>
            <w:tcW w:w="4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Principal collections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w:t>
            </w:r>
          </w:p>
        </w:tc>
      </w:tr>
      <w:tr>
        <w:trPr>
          <w:trHeight w:val="192"/>
        </w:trPr>
        <w:tc>
          <w:tcPr>
            <w:tcW w:w="4840" w:type="dxa"/>
            <w:vAlign w:val="bottom"/>
          </w:tcPr>
          <w:p>
            <w:pPr>
              <w:ind w:left="100"/>
              <w:spacing w:after="0"/>
              <w:rPr>
                <w:sz w:val="20"/>
                <w:szCs w:val="20"/>
                <w:color w:val="auto"/>
              </w:rPr>
            </w:pPr>
            <w:r>
              <w:rPr>
                <w:rFonts w:ascii="Arial" w:cs="Arial" w:eastAsia="Arial" w:hAnsi="Arial"/>
                <w:sz w:val="15"/>
                <w:szCs w:val="15"/>
                <w:color w:val="auto"/>
              </w:rPr>
              <w:t>Transfers from (to):</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4"/>
        </w:trPr>
        <w:tc>
          <w:tcPr>
            <w:tcW w:w="48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Receivables,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192"/>
        </w:trPr>
        <w:tc>
          <w:tcPr>
            <w:tcW w:w="4840" w:type="dxa"/>
            <w:vAlign w:val="bottom"/>
          </w:tcPr>
          <w:p>
            <w:pPr>
              <w:ind w:left="100"/>
              <w:spacing w:after="0"/>
              <w:rPr>
                <w:sz w:val="20"/>
                <w:szCs w:val="20"/>
                <w:color w:val="auto"/>
              </w:rPr>
            </w:pPr>
            <w:r>
              <w:rPr>
                <w:rFonts w:ascii="Arial" w:cs="Arial" w:eastAsia="Arial" w:hAnsi="Arial"/>
                <w:sz w:val="15"/>
                <w:szCs w:val="15"/>
                <w:color w:val="auto"/>
              </w:rPr>
              <w:t>Gain (loss) on sale of loans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1,615</w:t>
            </w:r>
          </w:p>
        </w:tc>
      </w:tr>
      <w:tr>
        <w:trPr>
          <w:trHeight w:val="194"/>
        </w:trPr>
        <w:tc>
          <w:tcPr>
            <w:tcW w:w="4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4,714</w:t>
            </w:r>
          </w:p>
        </w:tc>
      </w:tr>
      <w:tr>
        <w:trPr>
          <w:trHeight w:val="184"/>
        </w:trPr>
        <w:tc>
          <w:tcPr>
            <w:tcW w:w="484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Ending balance - before Valuation Allowance</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20,278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31,880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20,278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31,880</w:t>
            </w:r>
          </w:p>
        </w:tc>
      </w:tr>
      <w:tr>
        <w:trPr>
          <w:trHeight w:val="60"/>
        </w:trPr>
        <w:tc>
          <w:tcPr>
            <w:tcW w:w="48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193"/>
        </w:trPr>
        <w:tc>
          <w:tcPr>
            <w:tcW w:w="4840" w:type="dxa"/>
            <w:vAlign w:val="bottom"/>
          </w:tcPr>
          <w:p>
            <w:pPr>
              <w:spacing w:after="0"/>
              <w:rPr>
                <w:sz w:val="20"/>
                <w:szCs w:val="20"/>
                <w:color w:val="auto"/>
              </w:rPr>
            </w:pPr>
            <w:r>
              <w:rPr>
                <w:rFonts w:ascii="Arial" w:cs="Arial" w:eastAsia="Arial" w:hAnsi="Arial"/>
                <w:sz w:val="15"/>
                <w:szCs w:val="15"/>
                <w:b w:val="1"/>
                <w:bCs w:val="1"/>
                <w:color w:val="auto"/>
              </w:rPr>
              <w:t>Beginning balance - Valuation Allowance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(5,462)</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(6,781)</w:t>
            </w:r>
          </w:p>
        </w:tc>
        <w:tc>
          <w:tcPr>
            <w:tcW w:w="12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(6,180)</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(6,643)</w:t>
            </w:r>
          </w:p>
        </w:tc>
      </w:tr>
      <w:tr>
        <w:trPr>
          <w:trHeight w:val="193"/>
        </w:trPr>
        <w:tc>
          <w:tcPr>
            <w:tcW w:w="4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(Provision for) reversal of valuation allowance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(1,129)</w:t>
            </w:r>
          </w:p>
        </w:tc>
      </w:tr>
      <w:tr>
        <w:trPr>
          <w:trHeight w:val="192"/>
        </w:trPr>
        <w:tc>
          <w:tcPr>
            <w:tcW w:w="4840" w:type="dxa"/>
            <w:vAlign w:val="bottom"/>
          </w:tcPr>
          <w:p>
            <w:pPr>
              <w:ind w:left="100"/>
              <w:spacing w:after="0"/>
              <w:rPr>
                <w:sz w:val="20"/>
                <w:szCs w:val="20"/>
                <w:color w:val="auto"/>
              </w:rPr>
            </w:pPr>
            <w:r>
              <w:rPr>
                <w:rFonts w:ascii="Arial" w:cs="Arial" w:eastAsia="Arial" w:hAnsi="Arial"/>
                <w:sz w:val="15"/>
                <w:szCs w:val="15"/>
                <w:color w:val="auto"/>
                <w:w w:val="97"/>
              </w:rPr>
              <w:t>Transfer to (from) Liability for indemnification obligations (Other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194"/>
        </w:trPr>
        <w:tc>
          <w:tcPr>
            <w:tcW w:w="4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Sales of loans</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1,447</w:t>
            </w:r>
          </w:p>
        </w:tc>
      </w:tr>
      <w:tr>
        <w:trPr>
          <w:trHeight w:val="184"/>
        </w:trPr>
        <w:tc>
          <w:tcPr>
            <w:tcW w:w="484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Ending balance - Valuation Allowance</w:t>
            </w: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(5,124)</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(6,400)</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(5,124)</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(6,400)</w:t>
            </w:r>
          </w:p>
        </w:tc>
      </w:tr>
      <w:tr>
        <w:trPr>
          <w:trHeight w:val="71"/>
        </w:trPr>
        <w:tc>
          <w:tcPr>
            <w:tcW w:w="48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r>
      <w:tr>
        <w:trPr>
          <w:trHeight w:val="184"/>
        </w:trPr>
        <w:tc>
          <w:tcPr>
            <w:tcW w:w="4840" w:type="dxa"/>
            <w:vAlign w:val="bottom"/>
          </w:tcPr>
          <w:p>
            <w:pPr>
              <w:spacing w:after="0"/>
              <w:rPr>
                <w:sz w:val="20"/>
                <w:szCs w:val="20"/>
                <w:color w:val="auto"/>
              </w:rPr>
            </w:pPr>
            <w:r>
              <w:rPr>
                <w:rFonts w:ascii="Arial" w:cs="Arial" w:eastAsia="Arial" w:hAnsi="Arial"/>
                <w:sz w:val="15"/>
                <w:szCs w:val="15"/>
                <w:b w:val="1"/>
                <w:bCs w:val="1"/>
                <w:color w:val="auto"/>
              </w:rPr>
              <w:t>Ending balance, net</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25,480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25,480</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10"/>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8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5"/>
        </w:trPr>
        <w:tc>
          <w:tcPr>
            <w:tcW w:w="48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62" w:right="319" w:bottom="1440" w:gutter="0" w:footer="0" w:header="0"/>
        </w:sectPr>
      </w:pPr>
    </w:p>
    <w:bookmarkStart w:id="22" w:name="page23"/>
    <w:bookmarkEnd w:id="22"/>
    <w:tbl>
      <w:tblPr>
        <w:tblLayout w:type="fixed"/>
        <w:tblInd w:w="9"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Pr>
          <w:p>
            <w:pPr>
              <w:spacing w:after="0"/>
              <w:rPr>
                <w:sz w:val="16"/>
                <w:szCs w:val="16"/>
                <w:color w:val="auto"/>
              </w:rPr>
            </w:pPr>
          </w:p>
        </w:tc>
        <w:tc>
          <w:tcPr>
            <w:tcW w:w="28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48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Gain on Loans Held for Sale, Net</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74"/>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Gain on sales of loans, net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MSRs retained on transfers of forward mortgage loans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35,802</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9,128</w:t>
            </w:r>
          </w:p>
        </w:tc>
        <w:tc>
          <w:tcPr>
            <w:tcW w:w="12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70,062</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15,689</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(loss) on sale of forward mortgage loans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16,886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23,304</w:t>
            </w:r>
          </w:p>
        </w:tc>
      </w:tr>
      <w:tr>
        <w:trPr>
          <w:trHeight w:val="192"/>
        </w:trPr>
        <w:tc>
          <w:tcPr>
            <w:tcW w:w="48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Gain on sale of repurchased Ginnie Mae loans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6,373</w:t>
            </w:r>
          </w:p>
        </w:tc>
      </w:tr>
      <w:tr>
        <w:trPr>
          <w:trHeight w:val="185"/>
        </w:trPr>
        <w:tc>
          <w:tcPr>
            <w:tcW w:w="4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30,545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45,366</w:t>
            </w: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Change in fair value of IRLCs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6,334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12,048</w:t>
            </w:r>
          </w:p>
        </w:tc>
      </w:tr>
      <w:tr>
        <w:trPr>
          <w:trHeight w:val="194"/>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 of loans held for sale</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Loss on economic hedge instruments (1)</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(10,320)</w:t>
            </w:r>
          </w:p>
        </w:tc>
      </w:tr>
      <w:tr>
        <w:trPr>
          <w:trHeight w:val="193"/>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(522)</w:t>
            </w:r>
          </w:p>
        </w:tc>
      </w:tr>
      <w:tr>
        <w:trPr>
          <w:trHeight w:val="184"/>
        </w:trPr>
        <w:tc>
          <w:tcPr>
            <w:tcW w:w="482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42,713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33,547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48,434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46,878</w:t>
            </w: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69" w:right="220" w:hanging="269"/>
        <w:spacing w:after="0" w:line="306" w:lineRule="auto"/>
        <w:tabs>
          <w:tab w:leader="none" w:pos="269" w:val="left"/>
        </w:tabs>
        <w:numPr>
          <w:ilvl w:val="0"/>
          <w:numId w:val="8"/>
        </w:numPr>
        <w:rPr>
          <w:rFonts w:ascii="Arial" w:cs="Arial" w:eastAsia="Arial" w:hAnsi="Arial"/>
          <w:sz w:val="12"/>
          <w:szCs w:val="12"/>
          <w:color w:val="auto"/>
        </w:rPr>
      </w:pPr>
      <w:r>
        <w:rPr>
          <w:rFonts w:ascii="Arial" w:cs="Arial" w:eastAsia="Arial" w:hAnsi="Arial"/>
          <w:sz w:val="12"/>
          <w:szCs w:val="12"/>
          <w:color w:val="auto"/>
        </w:rPr>
        <w:t>Excludes $11.3 million loss and $24.1 million gain on inter-segment economic hedge derivative presented within MSR valuation adjustments, net for the three and six months ended June 30, 2021, respectively.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Refer to Note 19 – Business Segment Reporting.</w:t>
      </w:r>
    </w:p>
    <w:p>
      <w:pPr>
        <w:spacing w:after="0" w:line="11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 5 – Reverse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107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0730" cy="6985"/>
                    </a:xfrm>
                    <a:prstGeom prst="rect">
                      <a:avLst/>
                    </a:prstGeom>
                    <a:noFill/>
                  </pic:spPr>
                </pic:pic>
              </a:graphicData>
            </a:graphic>
          </wp:anchor>
        </w:drawing>
      </w:r>
    </w:p>
    <w:p>
      <w:pPr>
        <w:spacing w:after="0" w:line="103"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5"/>
                <w:szCs w:val="15"/>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2021</w:t>
            </w: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44"/>
              <w:spacing w:after="0" w:line="139" w:lineRule="exact"/>
              <w:rPr>
                <w:sz w:val="20"/>
                <w:szCs w:val="20"/>
                <w:color w:val="auto"/>
              </w:rPr>
            </w:pPr>
            <w:r>
              <w:rPr>
                <w:rFonts w:ascii="Arial" w:cs="Arial" w:eastAsia="Arial" w:hAnsi="Arial"/>
                <w:sz w:val="15"/>
                <w:szCs w:val="15"/>
                <w:b w:val="1"/>
                <w:bCs w:val="1"/>
                <w:color w:val="auto"/>
                <w:w w:val="91"/>
              </w:rPr>
              <w:t>Loans Held for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HMBS - Related</w:t>
            </w:r>
          </w:p>
        </w:tc>
        <w:tc>
          <w:tcPr>
            <w:tcW w:w="120" w:type="dxa"/>
            <w:vAlign w:val="bottom"/>
          </w:tcPr>
          <w:p>
            <w:pPr>
              <w:spacing w:after="0"/>
              <w:rPr>
                <w:sz w:val="12"/>
                <w:szCs w:val="12"/>
                <w:color w:val="auto"/>
              </w:rPr>
            </w:pPr>
          </w:p>
        </w:tc>
        <w:tc>
          <w:tcPr>
            <w:tcW w:w="1540" w:type="dxa"/>
            <w:vAlign w:val="bottom"/>
          </w:tcPr>
          <w:p>
            <w:pPr>
              <w:jc w:val="center"/>
              <w:ind w:right="44"/>
              <w:spacing w:after="0" w:line="139" w:lineRule="exact"/>
              <w:rPr>
                <w:sz w:val="20"/>
                <w:szCs w:val="20"/>
                <w:color w:val="auto"/>
              </w:rPr>
            </w:pPr>
            <w:r>
              <w:rPr>
                <w:rFonts w:ascii="Arial" w:cs="Arial" w:eastAsia="Arial" w:hAnsi="Arial"/>
                <w:sz w:val="15"/>
                <w:szCs w:val="15"/>
                <w:b w:val="1"/>
                <w:bCs w:val="1"/>
                <w:color w:val="auto"/>
                <w:w w:val="93"/>
              </w:rPr>
              <w:t>Loans Held for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auto"/>
              </w:rPr>
              <w:t>HMBS - Related</w:t>
            </w:r>
          </w:p>
        </w:tc>
        <w:tc>
          <w:tcPr>
            <w:tcW w:w="0" w:type="dxa"/>
            <w:vAlign w:val="bottom"/>
          </w:tcPr>
          <w:p>
            <w:pPr>
              <w:spacing w:after="0"/>
              <w:rPr>
                <w:sz w:val="1"/>
                <w:szCs w:val="1"/>
                <w:color w:val="auto"/>
              </w:rPr>
            </w:pPr>
          </w:p>
        </w:tc>
      </w:tr>
      <w:tr>
        <w:trPr>
          <w:trHeight w:val="147"/>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44"/>
              <w:spacing w:after="0" w:line="148" w:lineRule="exact"/>
              <w:rPr>
                <w:sz w:val="20"/>
                <w:szCs w:val="20"/>
                <w:color w:val="auto"/>
              </w:rPr>
            </w:pPr>
            <w:r>
              <w:rPr>
                <w:rFonts w:ascii="Arial" w:cs="Arial" w:eastAsia="Arial" w:hAnsi="Arial"/>
                <w:sz w:val="15"/>
                <w:szCs w:val="15"/>
                <w:b w:val="1"/>
                <w:bCs w:val="1"/>
                <w:color w:val="auto"/>
                <w:w w:val="90"/>
              </w:rPr>
              <w:t>Investment - Reverse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4"/>
              <w:spacing w:after="0" w:line="148" w:lineRule="exact"/>
              <w:rPr>
                <w:sz w:val="20"/>
                <w:szCs w:val="20"/>
                <w:color w:val="auto"/>
              </w:rPr>
            </w:pPr>
            <w:r>
              <w:rPr>
                <w:rFonts w:ascii="Arial" w:cs="Arial" w:eastAsia="Arial" w:hAnsi="Arial"/>
                <w:sz w:val="15"/>
                <w:szCs w:val="15"/>
                <w:b w:val="1"/>
                <w:bCs w:val="1"/>
                <w:color w:val="auto"/>
                <w:w w:val="91"/>
              </w:rPr>
              <w:t>Investment - Reverse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Mortgages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Borrowings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2"/>
              </w:rPr>
              <w:t>Mortgages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Borrowings</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7,044,374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(6,778,195)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6,568,821</w:t>
            </w: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(6,323,091)</w:t>
            </w:r>
          </w:p>
        </w:tc>
        <w:tc>
          <w:tcPr>
            <w:tcW w:w="0" w:type="dxa"/>
            <w:vAlign w:val="bottom"/>
          </w:tcPr>
          <w:p>
            <w:pPr>
              <w:spacing w:after="0"/>
              <w:rPr>
                <w:sz w:val="1"/>
                <w:szCs w:val="1"/>
                <w:color w:val="auto"/>
              </w:rPr>
            </w:pPr>
          </w:p>
        </w:tc>
      </w:tr>
      <w:tr>
        <w:trPr>
          <w:trHeight w:val="192"/>
        </w:trPr>
        <w:tc>
          <w:tcPr>
            <w:tcW w:w="4440" w:type="dxa"/>
            <w:vAlign w:val="bottom"/>
          </w:tcPr>
          <w:p>
            <w:pPr>
              <w:ind w:left="100"/>
              <w:spacing w:after="0"/>
              <w:rPr>
                <w:sz w:val="20"/>
                <w:szCs w:val="20"/>
                <w:color w:val="auto"/>
              </w:rPr>
            </w:pPr>
            <w:r>
              <w:rPr>
                <w:rFonts w:ascii="Arial" w:cs="Arial" w:eastAsia="Arial" w:hAnsi="Arial"/>
                <w:sz w:val="15"/>
                <w:szCs w:val="15"/>
                <w:color w:val="auto"/>
              </w:rPr>
              <w:t>Originations</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393,707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273,142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Securitization of HECM loans accounted for as a financing</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(379,650)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(278,391)</w:t>
            </w:r>
          </w:p>
        </w:tc>
        <w:tc>
          <w:tcPr>
            <w:tcW w:w="0" w:type="dxa"/>
            <w:vAlign w:val="bottom"/>
          </w:tcPr>
          <w:p>
            <w:pPr>
              <w:spacing w:after="0"/>
              <w:rPr>
                <w:sz w:val="1"/>
                <w:szCs w:val="1"/>
                <w:color w:val="auto"/>
              </w:rPr>
            </w:pPr>
          </w:p>
        </w:tc>
      </w:tr>
      <w:tr>
        <w:trPr>
          <w:trHeight w:val="192"/>
        </w:trPr>
        <w:tc>
          <w:tcPr>
            <w:tcW w:w="4440" w:type="dxa"/>
            <w:vAlign w:val="bottom"/>
          </w:tcPr>
          <w:p>
            <w:pPr>
              <w:ind w:left="100"/>
              <w:spacing w:after="0"/>
              <w:rPr>
                <w:sz w:val="20"/>
                <w:szCs w:val="20"/>
                <w:color w:val="auto"/>
              </w:rPr>
            </w:pPr>
            <w:r>
              <w:rPr>
                <w:rFonts w:ascii="Arial" w:cs="Arial" w:eastAsia="Arial" w:hAnsi="Arial"/>
                <w:sz w:val="15"/>
                <w:szCs w:val="15"/>
                <w:color w:val="auto"/>
              </w:rPr>
              <w:t>Additional proceeds from securitization of HECM loans and tails</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(14,608)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(7,467)</w:t>
            </w: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Repayments (principal payments received)</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(406,856)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403,770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(195,019)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192,804</w:t>
            </w:r>
          </w:p>
        </w:tc>
        <w:tc>
          <w:tcPr>
            <w:tcW w:w="0" w:type="dxa"/>
            <w:vAlign w:val="bottom"/>
          </w:tcPr>
          <w:p>
            <w:pPr>
              <w:spacing w:after="0"/>
              <w:rPr>
                <w:sz w:val="1"/>
                <w:szCs w:val="1"/>
                <w:color w:val="auto"/>
              </w:rPr>
            </w:pPr>
          </w:p>
        </w:tc>
      </w:tr>
      <w:tr>
        <w:trPr>
          <w:trHeight w:val="192"/>
        </w:trPr>
        <w:tc>
          <w:tcPr>
            <w:tcW w:w="4440" w:type="dxa"/>
            <w:vAlign w:val="bottom"/>
          </w:tcPr>
          <w:p>
            <w:pPr>
              <w:ind w:left="100"/>
              <w:spacing w:after="0"/>
              <w:rPr>
                <w:sz w:val="20"/>
                <w:szCs w:val="20"/>
                <w:color w:val="auto"/>
              </w:rPr>
            </w:pPr>
            <w:r>
              <w:rPr>
                <w:rFonts w:ascii="Arial" w:cs="Arial" w:eastAsia="Arial" w:hAnsi="Arial"/>
                <w:sz w:val="15"/>
                <w:szCs w:val="15"/>
                <w:color w:val="auto"/>
              </w:rPr>
              <w:t>Transfers to:</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Loans held for sale, at fair value</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440" w:type="dxa"/>
            <w:vAlign w:val="bottom"/>
          </w:tcPr>
          <w:p>
            <w:pPr>
              <w:ind w:left="180"/>
              <w:spacing w:after="0"/>
              <w:rPr>
                <w:sz w:val="20"/>
                <w:szCs w:val="20"/>
                <w:color w:val="auto"/>
              </w:rPr>
            </w:pPr>
            <w:r>
              <w:rPr>
                <w:rFonts w:ascii="Arial" w:cs="Arial" w:eastAsia="Arial" w:hAnsi="Arial"/>
                <w:sz w:val="15"/>
                <w:szCs w:val="15"/>
                <w:color w:val="auto"/>
              </w:rPr>
              <w:t>Receivables, net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Change in fair value included in earnings</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81,878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(55,228)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72,846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(61,471)</w:t>
            </w:r>
          </w:p>
        </w:tc>
        <w:tc>
          <w:tcPr>
            <w:tcW w:w="0" w:type="dxa"/>
            <w:vAlign w:val="bottom"/>
          </w:tcPr>
          <w:p>
            <w:pPr>
              <w:spacing w:after="0"/>
              <w:rPr>
                <w:sz w:val="1"/>
                <w:szCs w:val="1"/>
                <w:color w:val="auto"/>
              </w:rPr>
            </w:pPr>
          </w:p>
        </w:tc>
      </w:tr>
      <w:tr>
        <w:trPr>
          <w:trHeight w:val="205"/>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7,112,273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(6,823,911)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6,718,992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(6,477,616)</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100"/>
              <w:spacing w:after="0"/>
              <w:rPr>
                <w:sz w:val="20"/>
                <w:szCs w:val="20"/>
                <w:color w:val="auto"/>
              </w:rPr>
            </w:pPr>
            <w:r>
              <w:rPr>
                <w:rFonts w:ascii="Arial" w:cs="Arial" w:eastAsia="Arial" w:hAnsi="Arial"/>
                <w:sz w:val="15"/>
                <w:szCs w:val="15"/>
                <w:color w:val="auto"/>
              </w:rPr>
              <w:t>Securitized loans (pledged to HMBS-Related Borrowings)</w:t>
            </w: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40" w:type="dxa"/>
            <w:vAlign w:val="bottom"/>
            <w:vMerge w:val="continue"/>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58" w:lineRule="exact"/>
              <w:rPr>
                <w:sz w:val="20"/>
                <w:szCs w:val="20"/>
                <w:color w:val="auto"/>
              </w:rPr>
            </w:pPr>
            <w:r>
              <w:rPr>
                <w:rFonts w:ascii="Arial" w:cs="Arial" w:eastAsia="Arial" w:hAnsi="Arial"/>
                <w:sz w:val="15"/>
                <w:szCs w:val="15"/>
                <w:color w:val="auto"/>
              </w:rPr>
              <w:t>6,928,459</w:t>
            </w:r>
          </w:p>
        </w:tc>
        <w:tc>
          <w:tcPr>
            <w:tcW w:w="280" w:type="dxa"/>
            <w:vAlign w:val="bottom"/>
            <w:gridSpan w:val="2"/>
          </w:tcPr>
          <w:p>
            <w:pPr>
              <w:jc w:val="right"/>
              <w:ind w:right="24"/>
              <w:spacing w:after="0" w:line="158"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58" w:lineRule="exact"/>
              <w:rPr>
                <w:sz w:val="20"/>
                <w:szCs w:val="20"/>
                <w:color w:val="auto"/>
              </w:rPr>
            </w:pPr>
            <w:r>
              <w:rPr>
                <w:rFonts w:ascii="Arial" w:cs="Arial" w:eastAsia="Arial" w:hAnsi="Arial"/>
                <w:sz w:val="15"/>
                <w:szCs w:val="15"/>
                <w:color w:val="auto"/>
              </w:rPr>
              <w:t>(6,823,911)</w:t>
            </w:r>
          </w:p>
        </w:tc>
        <w:tc>
          <w:tcPr>
            <w:tcW w:w="8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line="158" w:lineRule="exact"/>
              <w:rPr>
                <w:sz w:val="20"/>
                <w:szCs w:val="20"/>
                <w:color w:val="auto"/>
              </w:rPr>
            </w:pPr>
            <w:r>
              <w:rPr>
                <w:rFonts w:ascii="Arial" w:cs="Arial" w:eastAsia="Arial" w:hAnsi="Arial"/>
                <w:sz w:val="15"/>
                <w:szCs w:val="15"/>
                <w:color w:val="auto"/>
              </w:rPr>
              <w:t>6,587,943</w:t>
            </w:r>
          </w:p>
        </w:tc>
        <w:tc>
          <w:tcPr>
            <w:tcW w:w="280" w:type="dxa"/>
            <w:vAlign w:val="bottom"/>
            <w:gridSpan w:val="2"/>
          </w:tcPr>
          <w:p>
            <w:pPr>
              <w:jc w:val="right"/>
              <w:ind w:right="44"/>
              <w:spacing w:after="0" w:line="158"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58" w:lineRule="exact"/>
              <w:rPr>
                <w:sz w:val="20"/>
                <w:szCs w:val="20"/>
                <w:color w:val="auto"/>
              </w:rPr>
            </w:pPr>
            <w:r>
              <w:rPr>
                <w:rFonts w:ascii="Arial" w:cs="Arial" w:eastAsia="Arial" w:hAnsi="Arial"/>
                <w:sz w:val="15"/>
                <w:szCs w:val="15"/>
                <w:color w:val="auto"/>
              </w:rPr>
              <w:t>(6,477,616)</w:t>
            </w: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Unsecuritized loans</w:t>
            </w: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183,814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131,049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40" w:type="dxa"/>
            <w:vAlign w:val="bottom"/>
          </w:tcPr>
          <w:p>
            <w:pPr>
              <w:ind w:left="18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7,112,273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6,718,992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304"/>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874" w:right="319" w:bottom="1440" w:gutter="0" w:footer="0" w:header="0"/>
        </w:sectPr>
      </w:pPr>
    </w:p>
    <w:bookmarkStart w:id="23" w:name="page24"/>
    <w:bookmarkEnd w:id="23"/>
    <w:tbl>
      <w:tblPr>
        <w:tblLayout w:type="fixed"/>
        <w:tblInd w:w="9"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5"/>
                <w:szCs w:val="15"/>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2021</w:t>
            </w: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2020</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44"/>
              <w:spacing w:after="0" w:line="139" w:lineRule="exact"/>
              <w:rPr>
                <w:sz w:val="20"/>
                <w:szCs w:val="20"/>
                <w:color w:val="auto"/>
              </w:rPr>
            </w:pPr>
            <w:r>
              <w:rPr>
                <w:rFonts w:ascii="Arial" w:cs="Arial" w:eastAsia="Arial" w:hAnsi="Arial"/>
                <w:sz w:val="15"/>
                <w:szCs w:val="15"/>
                <w:b w:val="1"/>
                <w:bCs w:val="1"/>
                <w:color w:val="auto"/>
                <w:w w:val="91"/>
              </w:rPr>
              <w:t>Loans Held for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HMBS - Related</w:t>
            </w:r>
          </w:p>
        </w:tc>
        <w:tc>
          <w:tcPr>
            <w:tcW w:w="120" w:type="dxa"/>
            <w:vAlign w:val="bottom"/>
          </w:tcPr>
          <w:p>
            <w:pPr>
              <w:spacing w:after="0"/>
              <w:rPr>
                <w:sz w:val="12"/>
                <w:szCs w:val="12"/>
                <w:color w:val="auto"/>
              </w:rPr>
            </w:pPr>
          </w:p>
        </w:tc>
        <w:tc>
          <w:tcPr>
            <w:tcW w:w="1540" w:type="dxa"/>
            <w:vAlign w:val="bottom"/>
          </w:tcPr>
          <w:p>
            <w:pPr>
              <w:jc w:val="center"/>
              <w:ind w:right="44"/>
              <w:spacing w:after="0" w:line="139" w:lineRule="exact"/>
              <w:rPr>
                <w:sz w:val="20"/>
                <w:szCs w:val="20"/>
                <w:color w:val="auto"/>
              </w:rPr>
            </w:pPr>
            <w:r>
              <w:rPr>
                <w:rFonts w:ascii="Arial" w:cs="Arial" w:eastAsia="Arial" w:hAnsi="Arial"/>
                <w:sz w:val="15"/>
                <w:szCs w:val="15"/>
                <w:b w:val="1"/>
                <w:bCs w:val="1"/>
                <w:color w:val="auto"/>
                <w:w w:val="93"/>
              </w:rPr>
              <w:t>Loans Held for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auto"/>
              </w:rPr>
              <w:t>HMBS - Related</w:t>
            </w:r>
          </w:p>
        </w:tc>
        <w:tc>
          <w:tcPr>
            <w:tcW w:w="0" w:type="dxa"/>
            <w:vAlign w:val="bottom"/>
          </w:tcPr>
          <w:p>
            <w:pPr>
              <w:spacing w:after="0"/>
              <w:rPr>
                <w:sz w:val="1"/>
                <w:szCs w:val="1"/>
                <w:color w:val="auto"/>
              </w:rPr>
            </w:pPr>
          </w:p>
        </w:tc>
      </w:tr>
      <w:tr>
        <w:trPr>
          <w:trHeight w:val="147"/>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44"/>
              <w:spacing w:after="0" w:line="148" w:lineRule="exact"/>
              <w:rPr>
                <w:sz w:val="20"/>
                <w:szCs w:val="20"/>
                <w:color w:val="auto"/>
              </w:rPr>
            </w:pPr>
            <w:r>
              <w:rPr>
                <w:rFonts w:ascii="Arial" w:cs="Arial" w:eastAsia="Arial" w:hAnsi="Arial"/>
                <w:sz w:val="15"/>
                <w:szCs w:val="15"/>
                <w:b w:val="1"/>
                <w:bCs w:val="1"/>
                <w:color w:val="auto"/>
                <w:w w:val="90"/>
              </w:rPr>
              <w:t>Investment - Reverse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4"/>
              <w:spacing w:after="0" w:line="148" w:lineRule="exact"/>
              <w:rPr>
                <w:sz w:val="20"/>
                <w:szCs w:val="20"/>
                <w:color w:val="auto"/>
              </w:rPr>
            </w:pPr>
            <w:r>
              <w:rPr>
                <w:rFonts w:ascii="Arial" w:cs="Arial" w:eastAsia="Arial" w:hAnsi="Arial"/>
                <w:sz w:val="15"/>
                <w:szCs w:val="15"/>
                <w:b w:val="1"/>
                <w:bCs w:val="1"/>
                <w:color w:val="auto"/>
                <w:w w:val="91"/>
              </w:rPr>
              <w:t>Investment - Reverse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Mortgages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Borrowings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2"/>
              </w:rPr>
              <w:t>Mortgages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Borrowings</w:t>
            </w:r>
          </w:p>
        </w:tc>
        <w:tc>
          <w:tcPr>
            <w:tcW w:w="0" w:type="dxa"/>
            <w:vAlign w:val="bottom"/>
          </w:tcPr>
          <w:p>
            <w:pPr>
              <w:spacing w:after="0"/>
              <w:rPr>
                <w:sz w:val="1"/>
                <w:szCs w:val="1"/>
                <w:color w:val="auto"/>
              </w:rPr>
            </w:pPr>
          </w:p>
        </w:tc>
      </w:tr>
      <w:tr>
        <w:trPr>
          <w:trHeight w:val="184"/>
        </w:trPr>
        <w:tc>
          <w:tcPr>
            <w:tcW w:w="4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6,997,127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6,269,596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(6,063,434)</w:t>
            </w:r>
          </w:p>
        </w:tc>
        <w:tc>
          <w:tcPr>
            <w:tcW w:w="0" w:type="dxa"/>
            <w:vAlign w:val="bottom"/>
          </w:tcPr>
          <w:p>
            <w:pPr>
              <w:spacing w:after="0"/>
              <w:rPr>
                <w:sz w:val="1"/>
                <w:szCs w:val="1"/>
                <w:color w:val="auto"/>
              </w:rPr>
            </w:pPr>
          </w:p>
        </w:tc>
      </w:tr>
      <w:tr>
        <w:trPr>
          <w:trHeight w:val="192"/>
        </w:trPr>
        <w:tc>
          <w:tcPr>
            <w:tcW w:w="4440" w:type="dxa"/>
            <w:vAlign w:val="bottom"/>
          </w:tcPr>
          <w:p>
            <w:pPr>
              <w:ind w:left="100"/>
              <w:spacing w:after="0"/>
              <w:rPr>
                <w:sz w:val="20"/>
                <w:szCs w:val="20"/>
                <w:color w:val="auto"/>
              </w:rPr>
            </w:pPr>
            <w:r>
              <w:rPr>
                <w:rFonts w:ascii="Arial" w:cs="Arial" w:eastAsia="Arial" w:hAnsi="Arial"/>
                <w:sz w:val="15"/>
                <w:szCs w:val="15"/>
                <w:color w:val="auto"/>
              </w:rPr>
              <w:t>Cumulative effect of fair value election (1)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47,038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Originations</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720,442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568,074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4440" w:type="dxa"/>
            <w:vAlign w:val="bottom"/>
          </w:tcPr>
          <w:p>
            <w:pPr>
              <w:ind w:left="100"/>
              <w:spacing w:after="0" w:line="149" w:lineRule="exact"/>
              <w:rPr>
                <w:sz w:val="20"/>
                <w:szCs w:val="20"/>
                <w:color w:val="auto"/>
              </w:rPr>
            </w:pPr>
            <w:r>
              <w:rPr>
                <w:rFonts w:ascii="Arial" w:cs="Arial" w:eastAsia="Arial" w:hAnsi="Arial"/>
                <w:sz w:val="15"/>
                <w:szCs w:val="15"/>
                <w:color w:val="auto"/>
              </w:rPr>
              <w:t>Securitization of HECM loans accounted for as a financing (incl.</w:t>
            </w:r>
          </w:p>
        </w:tc>
        <w:tc>
          <w:tcPr>
            <w:tcW w:w="12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(667,480)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(590,640)</w:t>
            </w:r>
          </w:p>
        </w:tc>
        <w:tc>
          <w:tcPr>
            <w:tcW w:w="0" w:type="dxa"/>
            <w:vAlign w:val="bottom"/>
          </w:tcPr>
          <w:p>
            <w:pPr>
              <w:spacing w:after="0"/>
              <w:rPr>
                <w:sz w:val="1"/>
                <w:szCs w:val="1"/>
                <w:color w:val="auto"/>
              </w:rPr>
            </w:pPr>
          </w:p>
        </w:tc>
      </w:tr>
      <w:tr>
        <w:trPr>
          <w:trHeight w:val="191"/>
        </w:trPr>
        <w:tc>
          <w:tcPr>
            <w:tcW w:w="4440" w:type="dxa"/>
            <w:vAlign w:val="bottom"/>
          </w:tcPr>
          <w:p>
            <w:pPr>
              <w:ind w:left="240"/>
              <w:spacing w:after="0"/>
              <w:rPr>
                <w:sz w:val="20"/>
                <w:szCs w:val="20"/>
                <w:color w:val="auto"/>
              </w:rPr>
            </w:pPr>
            <w:r>
              <w:rPr>
                <w:rFonts w:ascii="Arial" w:cs="Arial" w:eastAsia="Arial" w:hAnsi="Arial"/>
                <w:sz w:val="15"/>
                <w:szCs w:val="15"/>
                <w:color w:val="auto"/>
              </w:rPr>
              <w:t>realized fair value changes)</w:t>
            </w: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Additional proceeds from securitization of HECM loans and tails</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(16,165)</w:t>
            </w:r>
          </w:p>
        </w:tc>
        <w:tc>
          <w:tcPr>
            <w:tcW w:w="0" w:type="dxa"/>
            <w:vAlign w:val="bottom"/>
          </w:tcPr>
          <w:p>
            <w:pPr>
              <w:spacing w:after="0"/>
              <w:rPr>
                <w:sz w:val="1"/>
                <w:szCs w:val="1"/>
                <w:color w:val="auto"/>
              </w:rPr>
            </w:pPr>
          </w:p>
        </w:tc>
      </w:tr>
      <w:tr>
        <w:trPr>
          <w:trHeight w:val="192"/>
        </w:trPr>
        <w:tc>
          <w:tcPr>
            <w:tcW w:w="4440" w:type="dxa"/>
            <w:vAlign w:val="bottom"/>
          </w:tcPr>
          <w:p>
            <w:pPr>
              <w:ind w:left="100"/>
              <w:spacing w:after="0"/>
              <w:rPr>
                <w:sz w:val="20"/>
                <w:szCs w:val="20"/>
                <w:color w:val="auto"/>
              </w:rPr>
            </w:pPr>
            <w:r>
              <w:rPr>
                <w:rFonts w:ascii="Arial" w:cs="Arial" w:eastAsia="Arial" w:hAnsi="Arial"/>
                <w:sz w:val="15"/>
                <w:szCs w:val="15"/>
                <w:color w:val="auto"/>
              </w:rPr>
              <w:t>Repayments (principal payments received)</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(721,009)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715,332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(370,114)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365,233</w:t>
            </w: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Transfers to:</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tcPr>
          <w:p>
            <w:pPr>
              <w:ind w:left="180"/>
              <w:spacing w:after="0"/>
              <w:rPr>
                <w:sz w:val="20"/>
                <w:szCs w:val="20"/>
                <w:color w:val="auto"/>
              </w:rPr>
            </w:pPr>
            <w:r>
              <w:rPr>
                <w:rFonts w:ascii="Arial" w:cs="Arial" w:eastAsia="Arial" w:hAnsi="Arial"/>
                <w:sz w:val="15"/>
                <w:szCs w:val="15"/>
                <w:color w:val="auto"/>
              </w:rPr>
              <w:t>Loans held for sale, at fair value</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(1,678)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(1,119)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Receivables, net</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440" w:type="dxa"/>
            <w:vAlign w:val="bottom"/>
          </w:tcPr>
          <w:p>
            <w:pPr>
              <w:ind w:left="180"/>
              <w:spacing w:after="0"/>
              <w:rPr>
                <w:sz w:val="20"/>
                <w:szCs w:val="20"/>
                <w:color w:val="auto"/>
              </w:rPr>
            </w:pPr>
            <w:r>
              <w:rPr>
                <w:rFonts w:ascii="Arial" w:cs="Arial" w:eastAsia="Arial" w:hAnsi="Arial"/>
                <w:sz w:val="15"/>
                <w:szCs w:val="15"/>
                <w:color w:val="auto"/>
              </w:rPr>
              <w:t>REO (Other assets)</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Change in fair value</w:t>
            </w: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117,671</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(71,879)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206,168</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(172,610)</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7,112,273</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(6,823,911)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6,718,992</w:t>
            </w: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(6,477,616)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Securitized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6,928,459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(6,823,911)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6,587,943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(6,477,616)</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Unsecuritized</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183,814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131,049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7,112,273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6,718,992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69" w:right="120" w:hanging="269"/>
        <w:spacing w:after="0" w:line="255" w:lineRule="auto"/>
        <w:tabs>
          <w:tab w:leader="none" w:pos="269"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conjunction with the adoption of ASU 2016-13, we elected the fair value option for future draw commitments (tails) on HECM reverse mortgage loans purchased or originated before December 31, 2018, which resulted in the recognition of the fair value of such tails through stockholders’ equity on January 1, 2020.</w:t>
      </w:r>
    </w:p>
    <w:p>
      <w:pPr>
        <w:spacing w:after="0" w:line="299"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300" w:type="dxa"/>
            <w:vAlign w:val="bottom"/>
          </w:tcPr>
          <w:p>
            <w:pPr>
              <w:spacing w:after="0"/>
              <w:rPr>
                <w:sz w:val="20"/>
                <w:szCs w:val="20"/>
                <w:color w:val="auto"/>
              </w:rPr>
            </w:pPr>
            <w:r>
              <w:rPr>
                <w:rFonts w:ascii="Arial" w:cs="Arial" w:eastAsia="Arial" w:hAnsi="Arial"/>
                <w:sz w:val="15"/>
                <w:szCs w:val="15"/>
                <w:b w:val="1"/>
                <w:bCs w:val="1"/>
                <w:color w:val="auto"/>
              </w:rPr>
              <w:t>Reverse Mortgage Revenue, net</w:t>
            </w:r>
          </w:p>
        </w:tc>
        <w:tc>
          <w:tcPr>
            <w:tcW w:w="340" w:type="dxa"/>
            <w:vAlign w:val="bottom"/>
          </w:tcPr>
          <w:p>
            <w:pPr>
              <w:spacing w:after="0"/>
              <w:rPr>
                <w:sz w:val="16"/>
                <w:szCs w:val="16"/>
                <w:color w:val="auto"/>
              </w:rPr>
            </w:pPr>
          </w:p>
        </w:tc>
        <w:tc>
          <w:tcPr>
            <w:tcW w:w="290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80" w:type="dxa"/>
            <w:vAlign w:val="bottom"/>
          </w:tcPr>
          <w:p>
            <w:pPr>
              <w:spacing w:after="0"/>
              <w:rPr>
                <w:sz w:val="16"/>
                <w:szCs w:val="16"/>
                <w:color w:val="auto"/>
              </w:rPr>
            </w:pPr>
          </w:p>
        </w:tc>
        <w:tc>
          <w:tcPr>
            <w:tcW w:w="3000" w:type="dxa"/>
            <w:vAlign w:val="bottom"/>
            <w:gridSpan w:val="4"/>
          </w:tcPr>
          <w:p>
            <w:pPr>
              <w:jc w:val="right"/>
              <w:ind w:right="724"/>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5"/>
        </w:trPr>
        <w:tc>
          <w:tcPr>
            <w:tcW w:w="43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4"/>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Gain on new originations (1)</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14,096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33,270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19,611</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5"/>
                <w:szCs w:val="15"/>
                <w:color w:val="auto"/>
              </w:rPr>
              <w:t>Change in fair value of securitized loans held for investment and</w:t>
            </w:r>
          </w:p>
        </w:tc>
        <w:tc>
          <w:tcPr>
            <w:tcW w:w="3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10,487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(2,721)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12,522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13,947</w:t>
            </w:r>
          </w:p>
        </w:tc>
        <w:tc>
          <w:tcPr>
            <w:tcW w:w="0" w:type="dxa"/>
            <w:vAlign w:val="bottom"/>
          </w:tcPr>
          <w:p>
            <w:pPr>
              <w:spacing w:after="0"/>
              <w:rPr>
                <w:sz w:val="1"/>
                <w:szCs w:val="1"/>
                <w:color w:val="auto"/>
              </w:rPr>
            </w:pPr>
          </w:p>
        </w:tc>
      </w:tr>
      <w:tr>
        <w:trPr>
          <w:trHeight w:val="191"/>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HMBS-related borrowings, net</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 included in earnings,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11,375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45,792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33,558</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Loan fees and other</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2,998</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29,301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13,759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51,127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36,556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9"/>
        <w:spacing w:after="0"/>
        <w:tabs>
          <w:tab w:leader="none" w:pos="249"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Includes the changes in fair value of newly originated loans held for investment in the period through securitization date.</w:t>
      </w:r>
    </w:p>
    <w:p>
      <w:pPr>
        <w:spacing w:after="0" w:line="200" w:lineRule="exact"/>
        <w:rPr>
          <w:sz w:val="20"/>
          <w:szCs w:val="20"/>
          <w:color w:val="auto"/>
        </w:rPr>
      </w:pPr>
    </w:p>
    <w:p>
      <w:pPr>
        <w:spacing w:after="0" w:line="22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3994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50"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02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0"/>
              </w:rPr>
              <w:t>December 31, 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Principal and interest</w:t>
            </w:r>
          </w:p>
        </w:tc>
        <w:tc>
          <w:tcPr>
            <w:tcW w:w="4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248,810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tcPr>
          <w:p>
            <w:pPr>
              <w:spacing w:after="0"/>
              <w:rPr>
                <w:sz w:val="20"/>
                <w:szCs w:val="20"/>
                <w:color w:val="auto"/>
              </w:rPr>
            </w:pPr>
            <w:r>
              <w:rPr>
                <w:rFonts w:ascii="Arial" w:cs="Arial" w:eastAsia="Arial" w:hAnsi="Arial"/>
                <w:sz w:val="15"/>
                <w:szCs w:val="15"/>
                <w:color w:val="auto"/>
              </w:rPr>
              <w:t>Taxes and insurance</w:t>
            </w:r>
          </w:p>
        </w:tc>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338,886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364,593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Foreclosures, bankruptcy, REO and other</w:t>
            </w:r>
          </w:p>
        </w:tc>
        <w:tc>
          <w:tcPr>
            <w:tcW w:w="40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181,168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192,787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768,864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834,512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Allowance for losses</w:t>
            </w:r>
          </w:p>
        </w:tc>
        <w:tc>
          <w:tcPr>
            <w:tcW w:w="40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20"/>
                <w:szCs w:val="20"/>
                <w:color w:val="auto"/>
              </w:rPr>
            </w:pPr>
            <w:r>
              <w:rPr>
                <w:rFonts w:ascii="Arial" w:cs="Arial" w:eastAsia="Arial" w:hAnsi="Arial"/>
                <w:sz w:val="15"/>
                <w:szCs w:val="15"/>
                <w:color w:val="auto"/>
              </w:rPr>
              <w:t>Advances, net</w:t>
            </w:r>
          </w:p>
        </w:tc>
        <w:tc>
          <w:tcPr>
            <w:tcW w:w="4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761,973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828,239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40" w:type="dxa"/>
            <w:vAlign w:val="bottom"/>
            <w:vMerge w:val="restart"/>
          </w:tcPr>
          <w:p>
            <w:pPr>
              <w:jc w:val="right"/>
              <w:ind w:right="2284"/>
              <w:spacing w:after="0"/>
              <w:rPr>
                <w:sz w:val="20"/>
                <w:szCs w:val="20"/>
                <w:color w:val="auto"/>
              </w:rPr>
            </w:pPr>
            <w:r>
              <w:rPr>
                <w:rFonts w:ascii="Arial" w:cs="Arial" w:eastAsia="Arial" w:hAnsi="Arial"/>
                <w:sz w:val="15"/>
                <w:szCs w:val="15"/>
                <w:color w:val="auto"/>
              </w:rPr>
              <w:t>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2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987"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1"/>
        </w:trPr>
        <w:tc>
          <w:tcPr>
            <w:tcW w:w="4860" w:type="dxa"/>
            <w:vAlign w:val="bottom"/>
          </w:tcPr>
          <w:p>
            <w:pPr>
              <w:ind w:left="260"/>
              <w:spacing w:after="0"/>
              <w:rPr>
                <w:sz w:val="20"/>
                <w:szCs w:val="20"/>
                <w:color w:val="auto"/>
              </w:rPr>
            </w:pPr>
            <w:r>
              <w:rPr>
                <w:rFonts w:ascii="Arial" w:cs="Arial" w:eastAsia="Arial" w:hAnsi="Arial"/>
                <w:sz w:val="15"/>
                <w:szCs w:val="15"/>
                <w:color w:val="auto"/>
              </w:rPr>
              <w:t>The following table summarizes the activity in net advances: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96"/>
        </w:trPr>
        <w:tc>
          <w:tcPr>
            <w:tcW w:w="4860" w:type="dxa"/>
            <w:vAlign w:val="bottom"/>
          </w:tcPr>
          <w:p>
            <w:pPr>
              <w:spacing w:after="0"/>
              <w:rPr>
                <w:sz w:val="24"/>
                <w:szCs w:val="24"/>
                <w:color w:val="auto"/>
              </w:rPr>
            </w:pPr>
          </w:p>
        </w:tc>
        <w:tc>
          <w:tcPr>
            <w:tcW w:w="3240" w:type="dxa"/>
            <w:vAlign w:val="bottom"/>
            <w:gridSpan w:val="6"/>
          </w:tcPr>
          <w:p>
            <w:pPr>
              <w:ind w:left="60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Pr>
          <w:p>
            <w:pPr>
              <w:spacing w:after="0"/>
              <w:rPr>
                <w:sz w:val="24"/>
                <w:szCs w:val="24"/>
                <w:color w:val="auto"/>
              </w:rPr>
            </w:pPr>
          </w:p>
        </w:tc>
        <w:tc>
          <w:tcPr>
            <w:tcW w:w="28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 June 30,</w:t>
            </w:r>
          </w:p>
        </w:tc>
      </w:tr>
      <w:tr>
        <w:trPr>
          <w:trHeight w:val="185"/>
        </w:trPr>
        <w:tc>
          <w:tcPr>
            <w:tcW w:w="48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84"/>
        </w:trPr>
        <w:tc>
          <w:tcPr>
            <w:tcW w:w="4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 - before Allowance for Losses</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792,837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1,032,180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834,512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1,066,448</w:t>
            </w:r>
          </w:p>
        </w:tc>
      </w:tr>
      <w:tr>
        <w:trPr>
          <w:trHeight w:val="192"/>
        </w:trPr>
        <w:tc>
          <w:tcPr>
            <w:tcW w:w="4860" w:type="dxa"/>
            <w:vAlign w:val="bottom"/>
          </w:tcPr>
          <w:p>
            <w:pPr>
              <w:ind w:left="100"/>
              <w:spacing w:after="0"/>
              <w:rPr>
                <w:sz w:val="20"/>
                <w:szCs w:val="20"/>
                <w:color w:val="auto"/>
              </w:rPr>
            </w:pPr>
            <w:r>
              <w:rPr>
                <w:rFonts w:ascii="Arial" w:cs="Arial" w:eastAsia="Arial" w:hAnsi="Arial"/>
                <w:sz w:val="15"/>
                <w:szCs w:val="15"/>
                <w:color w:val="auto"/>
              </w:rPr>
              <w:t>Acquisition of advances in connection with the purchase of MSRs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4,495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4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New advances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180,317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225,483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383,717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469,028</w:t>
            </w:r>
          </w:p>
        </w:tc>
      </w:tr>
      <w:tr>
        <w:trPr>
          <w:trHeight w:val="192"/>
        </w:trPr>
        <w:tc>
          <w:tcPr>
            <w:tcW w:w="4860" w:type="dxa"/>
            <w:vAlign w:val="bottom"/>
          </w:tcPr>
          <w:p>
            <w:pPr>
              <w:ind w:left="100"/>
              <w:spacing w:after="0"/>
              <w:rPr>
                <w:sz w:val="20"/>
                <w:szCs w:val="20"/>
                <w:color w:val="auto"/>
              </w:rPr>
            </w:pPr>
            <w:r>
              <w:rPr>
                <w:rFonts w:ascii="Arial" w:cs="Arial" w:eastAsia="Arial" w:hAnsi="Arial"/>
                <w:sz w:val="15"/>
                <w:szCs w:val="15"/>
                <w:color w:val="auto"/>
              </w:rPr>
              <w:t>Sales of advances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(454)</w:t>
            </w:r>
          </w:p>
        </w:tc>
      </w:tr>
      <w:tr>
        <w:trPr>
          <w:trHeight w:val="194"/>
        </w:trPr>
        <w:tc>
          <w:tcPr>
            <w:tcW w:w="4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Collections of advances and other</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(208,670)</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(348,608)</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(453,612)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(626,193)</w:t>
            </w:r>
          </w:p>
        </w:tc>
      </w:tr>
      <w:tr>
        <w:trPr>
          <w:trHeight w:val="184"/>
        </w:trPr>
        <w:tc>
          <w:tcPr>
            <w:tcW w:w="486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Ending balance - before Allowance for Losses</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768,864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908,829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768,864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908,829</w:t>
            </w:r>
          </w:p>
        </w:tc>
      </w:tr>
      <w:tr>
        <w:trPr>
          <w:trHeight w:val="71"/>
        </w:trPr>
        <w:tc>
          <w:tcPr>
            <w:tcW w:w="48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193"/>
        </w:trPr>
        <w:tc>
          <w:tcPr>
            <w:tcW w:w="4860" w:type="dxa"/>
            <w:vAlign w:val="bottom"/>
          </w:tcPr>
          <w:p>
            <w:pPr>
              <w:spacing w:after="0"/>
              <w:rPr>
                <w:sz w:val="20"/>
                <w:szCs w:val="20"/>
                <w:color w:val="auto"/>
              </w:rPr>
            </w:pPr>
            <w:r>
              <w:rPr>
                <w:rFonts w:ascii="Arial" w:cs="Arial" w:eastAsia="Arial" w:hAnsi="Arial"/>
                <w:sz w:val="15"/>
                <w:szCs w:val="15"/>
                <w:b w:val="1"/>
                <w:bCs w:val="1"/>
                <w:color w:val="auto"/>
              </w:rPr>
              <w:t>Beginning balance - Allowance for Losses</w:t>
            </w: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(6,159)</w:t>
            </w:r>
          </w:p>
        </w:tc>
        <w:tc>
          <w:tcPr>
            <w:tcW w:w="8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(7,373)</w:t>
            </w:r>
          </w:p>
        </w:tc>
        <w:tc>
          <w:tcPr>
            <w:tcW w:w="8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(6,273)</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(9,925)</w:t>
            </w:r>
          </w:p>
        </w:tc>
      </w:tr>
      <w:tr>
        <w:trPr>
          <w:trHeight w:val="193"/>
        </w:trPr>
        <w:tc>
          <w:tcPr>
            <w:tcW w:w="4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Provision</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(3,771)</w:t>
            </w:r>
          </w:p>
        </w:tc>
      </w:tr>
      <w:tr>
        <w:trPr>
          <w:trHeight w:val="192"/>
        </w:trPr>
        <w:tc>
          <w:tcPr>
            <w:tcW w:w="48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Net charge-offs and other</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4,085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5,876</w:t>
            </w:r>
          </w:p>
        </w:tc>
      </w:tr>
      <w:tr>
        <w:trPr>
          <w:trHeight w:val="184"/>
        </w:trPr>
        <w:tc>
          <w:tcPr>
            <w:tcW w:w="4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Ending balance - Allowance for Losses</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(6,891)</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(7,820)</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(7,820)</w:t>
            </w:r>
          </w:p>
        </w:tc>
      </w:tr>
      <w:tr>
        <w:trPr>
          <w:trHeight w:val="105"/>
        </w:trPr>
        <w:tc>
          <w:tcPr>
            <w:tcW w:w="486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r>
        <w:trPr>
          <w:trHeight w:val="209"/>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Ending balance, net</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761,973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901,009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761,973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901,009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724"/>
        </w:trPr>
        <w:tc>
          <w:tcPr>
            <w:tcW w:w="48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22</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5"/>
        </w:trPr>
        <w:tc>
          <w:tcPr>
            <w:tcW w:w="48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25" w:name="page26"/>
    <w:bookmarkEnd w:id="25"/>
    <w:p>
      <w:pPr>
        <w:ind w:left="9"/>
        <w:spacing w:after="0"/>
        <w:rPr>
          <w:sz w:val="20"/>
          <w:szCs w:val="20"/>
          <w:color w:val="auto"/>
        </w:rPr>
      </w:pPr>
      <w:r>
        <w:rPr>
          <w:rFonts w:ascii="Arial" w:cs="Arial" w:eastAsia="Arial" w:hAnsi="Arial"/>
          <w:sz w:val="15"/>
          <w:szCs w:val="15"/>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3994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318" w:lineRule="exact"/>
        <w:rPr>
          <w:sz w:val="20"/>
          <w:szCs w:val="20"/>
          <w:color w:val="auto"/>
        </w:rPr>
      </w:pPr>
    </w:p>
    <w:tbl>
      <w:tblPr>
        <w:tblLayout w:type="fixed"/>
        <w:tblInd w:w="29"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MSRs – At 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ind w:left="120"/>
              <w:spacing w:after="0"/>
              <w:rPr>
                <w:sz w:val="20"/>
                <w:szCs w:val="20"/>
                <w:color w:val="auto"/>
              </w:rPr>
            </w:pPr>
            <w:r>
              <w:rPr>
                <w:rFonts w:ascii="Arial" w:cs="Arial" w:eastAsia="Arial" w:hAnsi="Arial"/>
                <w:sz w:val="15"/>
                <w:szCs w:val="15"/>
                <w:b w:val="1"/>
                <w:bCs w:val="1"/>
                <w:color w:val="auto"/>
              </w:rPr>
              <w:t>Three Months Ended June 30,</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restart"/>
          </w:tcPr>
          <w:p>
            <w:pPr>
              <w:jc w:val="right"/>
              <w:ind w:right="444"/>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Agency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5"/>
                <w:szCs w:val="15"/>
                <w:b w:val="1"/>
                <w:bCs w:val="1"/>
                <w:color w:val="auto"/>
              </w:rPr>
              <w:t>Non-Agency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24"/>
              <w:spacing w:after="0"/>
              <w:rPr>
                <w:sz w:val="20"/>
                <w:szCs w:val="20"/>
                <w:color w:val="auto"/>
              </w:rPr>
            </w:pPr>
            <w:r>
              <w:rPr>
                <w:rFonts w:ascii="Arial" w:cs="Arial" w:eastAsia="Arial" w:hAnsi="Arial"/>
                <w:sz w:val="15"/>
                <w:szCs w:val="15"/>
                <w:b w:val="1"/>
                <w:bCs w:val="1"/>
                <w:color w:val="auto"/>
              </w:rPr>
              <w:t>Total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ind w:left="140"/>
              <w:spacing w:after="0"/>
              <w:rPr>
                <w:sz w:val="20"/>
                <w:szCs w:val="20"/>
                <w:color w:val="auto"/>
              </w:rPr>
            </w:pPr>
            <w:r>
              <w:rPr>
                <w:rFonts w:ascii="Arial" w:cs="Arial" w:eastAsia="Arial" w:hAnsi="Arial"/>
                <w:sz w:val="15"/>
                <w:szCs w:val="15"/>
                <w:b w:val="1"/>
                <w:bCs w:val="1"/>
                <w:color w:val="auto"/>
              </w:rPr>
              <w:t>Agency</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b w:val="1"/>
                <w:bCs w:val="1"/>
                <w:color w:val="auto"/>
              </w:rPr>
              <w:t>Non-Agency</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4"/>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708,663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691,554</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1,400,217</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294,227</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756,001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1,050,228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ind w:left="20"/>
              <w:spacing w:after="0"/>
              <w:rPr>
                <w:sz w:val="20"/>
                <w:szCs w:val="20"/>
                <w:color w:val="auto"/>
              </w:rPr>
            </w:pPr>
            <w:r>
              <w:rPr>
                <w:rFonts w:ascii="Arial" w:cs="Arial" w:eastAsia="Arial" w:hAnsi="Arial"/>
                <w:sz w:val="15"/>
                <w:szCs w:val="15"/>
                <w:color w:val="auto"/>
              </w:rPr>
              <w:t>Sales and other transfers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5"/>
                <w:szCs w:val="15"/>
                <w:color w:val="auto"/>
              </w:rPr>
              <w:t>Recognized on the sale of residential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35,802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35,802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9,128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9,128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Pr>
          <w:p>
            <w:pPr>
              <w:ind w:left="240"/>
              <w:spacing w:after="0"/>
              <w:rPr>
                <w:sz w:val="20"/>
                <w:szCs w:val="20"/>
                <w:color w:val="auto"/>
              </w:rPr>
            </w:pPr>
            <w:r>
              <w:rPr>
                <w:rFonts w:ascii="Arial" w:cs="Arial" w:eastAsia="Arial" w:hAnsi="Arial"/>
                <w:sz w:val="15"/>
                <w:szCs w:val="15"/>
                <w:color w:val="auto"/>
              </w:rPr>
              <w:t>mortgage loans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MSRs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733,538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ind w:left="20"/>
              <w:spacing w:after="0"/>
              <w:rPr>
                <w:sz w:val="20"/>
                <w:szCs w:val="20"/>
                <w:color w:val="auto"/>
              </w:rPr>
            </w:pPr>
            <w:r>
              <w:rPr>
                <w:rFonts w:ascii="Arial" w:cs="Arial" w:eastAsia="Arial" w:hAnsi="Arial"/>
                <w:sz w:val="15"/>
                <w:szCs w:val="15"/>
                <w:color w:val="auto"/>
              </w:rPr>
              <w:t>Servicing transfers and adjustments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(1,606)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in fair value:</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20"/>
              <w:spacing w:after="0" w:line="149" w:lineRule="exact"/>
              <w:rPr>
                <w:sz w:val="20"/>
                <w:szCs w:val="20"/>
                <w:color w:val="auto"/>
              </w:rPr>
            </w:pPr>
            <w:r>
              <w:rPr>
                <w:rFonts w:ascii="Arial" w:cs="Arial" w:eastAsia="Arial" w:hAnsi="Arial"/>
                <w:sz w:val="15"/>
                <w:szCs w:val="15"/>
                <w:color w:val="auto"/>
              </w:rPr>
              <w:t>Changes in valuation inputs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(42,337)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3,941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(38,396)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5,321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4,471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9,792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Pr>
          <w:p>
            <w:pPr>
              <w:ind w:left="240"/>
              <w:spacing w:after="0"/>
              <w:rPr>
                <w:sz w:val="20"/>
                <w:szCs w:val="20"/>
                <w:color w:val="auto"/>
              </w:rPr>
            </w:pPr>
            <w:r>
              <w:rPr>
                <w:rFonts w:ascii="Arial" w:cs="Arial" w:eastAsia="Arial" w:hAnsi="Arial"/>
                <w:sz w:val="15"/>
                <w:szCs w:val="15"/>
                <w:color w:val="auto"/>
              </w:rPr>
              <w:t>assumptions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Realization of expected cash flows (2)</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(27,273)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(57,037)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(18,857)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(21,889)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1,408,420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664,098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2,072,518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305,085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739,828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1,044,913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MSRs – At Fair Value</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ind w:left="260"/>
              <w:spacing w:after="0"/>
              <w:rPr>
                <w:sz w:val="20"/>
                <w:szCs w:val="20"/>
                <w:color w:val="auto"/>
              </w:rPr>
            </w:pPr>
            <w:r>
              <w:rPr>
                <w:rFonts w:ascii="Arial" w:cs="Arial" w:eastAsia="Arial" w:hAnsi="Arial"/>
                <w:sz w:val="15"/>
                <w:szCs w:val="15"/>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5"/>
                <w:szCs w:val="15"/>
                <w:b w:val="1"/>
                <w:bCs w:val="1"/>
                <w:color w:val="auto"/>
              </w:rPr>
              <w:t>Agency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rPr>
              <w:t>Non-Agency</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5"/>
                <w:szCs w:val="15"/>
                <w:b w:val="1"/>
                <w:bCs w:val="1"/>
                <w:color w:val="auto"/>
              </w:rPr>
              <w:t>Total</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5"/>
                <w:szCs w:val="15"/>
                <w:b w:val="1"/>
                <w:bCs w:val="1"/>
                <w:color w:val="auto"/>
              </w:rPr>
              <w:t>Agency</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Non-Agency</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Total</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578,957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715,860</w:t>
            </w:r>
          </w:p>
        </w:tc>
        <w:tc>
          <w:tcPr>
            <w:tcW w:w="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1,294,817</w:t>
            </w: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714,006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772,389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1,486,395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gridSpan w:val="2"/>
          </w:tcPr>
          <w:p>
            <w:pPr>
              <w:ind w:left="20"/>
              <w:spacing w:after="0"/>
              <w:rPr>
                <w:sz w:val="20"/>
                <w:szCs w:val="20"/>
                <w:color w:val="auto"/>
              </w:rPr>
            </w:pPr>
            <w:r>
              <w:rPr>
                <w:rFonts w:ascii="Arial" w:cs="Arial" w:eastAsia="Arial" w:hAnsi="Arial"/>
                <w:sz w:val="15"/>
                <w:szCs w:val="15"/>
                <w:color w:val="auto"/>
              </w:rPr>
              <w:t>Sales and other transfers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Additions: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Arial" w:cs="Arial" w:eastAsia="Arial" w:hAnsi="Arial"/>
                <w:sz w:val="15"/>
                <w:szCs w:val="15"/>
                <w:color w:val="auto"/>
              </w:rPr>
              <w:t>Recognized on the sale of residential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70,062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70,062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15,689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15,689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Pr>
          <w:p>
            <w:pPr>
              <w:ind w:left="240"/>
              <w:spacing w:after="0"/>
              <w:rPr>
                <w:sz w:val="20"/>
                <w:szCs w:val="20"/>
                <w:color w:val="auto"/>
              </w:rPr>
            </w:pPr>
            <w:r>
              <w:rPr>
                <w:rFonts w:ascii="Arial" w:cs="Arial" w:eastAsia="Arial" w:hAnsi="Arial"/>
                <w:sz w:val="15"/>
                <w:szCs w:val="15"/>
                <w:color w:val="auto"/>
              </w:rPr>
              <w:t>mortgage loans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7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Purchase of MSRs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770,316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770,316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46,745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46,745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gridSpan w:val="2"/>
          </w:tcPr>
          <w:p>
            <w:pPr>
              <w:ind w:left="20"/>
              <w:spacing w:after="0"/>
              <w:rPr>
                <w:sz w:val="20"/>
                <w:szCs w:val="20"/>
                <w:color w:val="auto"/>
              </w:rPr>
            </w:pPr>
            <w:r>
              <w:rPr>
                <w:rFonts w:ascii="Arial" w:cs="Arial" w:eastAsia="Arial" w:hAnsi="Arial"/>
                <w:sz w:val="15"/>
                <w:szCs w:val="15"/>
                <w:color w:val="auto"/>
              </w:rPr>
              <w:t>Servicing transfers and adjustments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(2,190)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(2,134)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(263,846)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(263,443)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Changes in fair value:</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ind w:left="100"/>
              <w:spacing w:after="0" w:line="149" w:lineRule="exact"/>
              <w:rPr>
                <w:sz w:val="20"/>
                <w:szCs w:val="20"/>
                <w:color w:val="auto"/>
              </w:rPr>
            </w:pPr>
            <w:r>
              <w:rPr>
                <w:rFonts w:ascii="Arial" w:cs="Arial" w:eastAsia="Arial" w:hAnsi="Arial"/>
                <w:sz w:val="15"/>
                <w:szCs w:val="15"/>
                <w:color w:val="auto"/>
                <w:w w:val="90"/>
              </w:rPr>
              <w:t>Changes in valuation inputs or assumptions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40,149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5,470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45,619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(161,815)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10,342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(151,473)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60" w:type="dxa"/>
            <w:vAlign w:val="bottom"/>
            <w:gridSpan w:val="2"/>
          </w:tcPr>
          <w:p>
            <w:pPr>
              <w:ind w:left="26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7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Realization of expected cash flows (2)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(51,120)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(55,042)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(106,162)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(45,694)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(43,199)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(88,893)</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60" w:type="dxa"/>
            <w:vAlign w:val="bottom"/>
            <w:gridSpan w:val="2"/>
          </w:tcPr>
          <w:p>
            <w:pPr>
              <w:ind w:left="20"/>
              <w:spacing w:after="0"/>
              <w:rPr>
                <w:sz w:val="20"/>
                <w:szCs w:val="20"/>
                <w:color w:val="auto"/>
              </w:rPr>
            </w:pPr>
            <w:r>
              <w:rPr>
                <w:rFonts w:ascii="Arial" w:cs="Arial" w:eastAsia="Arial" w:hAnsi="Arial"/>
                <w:sz w:val="15"/>
                <w:szCs w:val="15"/>
                <w:b w:val="1"/>
                <w:bCs w:val="1"/>
                <w:color w:val="auto"/>
              </w:rPr>
              <w:t>Ending balance</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1,408,420</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664,098</w:t>
            </w:r>
          </w:p>
        </w:tc>
        <w:tc>
          <w:tcPr>
            <w:tcW w:w="2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2,072,518</w:t>
            </w:r>
          </w:p>
        </w:tc>
        <w:tc>
          <w:tcPr>
            <w:tcW w:w="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305,085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739,828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1,044,913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69" w:right="140" w:hanging="269"/>
        <w:spacing w:after="0" w:line="245" w:lineRule="auto"/>
        <w:tabs>
          <w:tab w:leader="none" w:pos="269"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Servicing transfers and adjustments include a $263.7 million derecognition of MSRs effective with the February 20, 2020 notice of termination of the subservicing agreement between NRZ and PMC. See Note 8 — Rights to MSRs for further information.</w:t>
      </w:r>
    </w:p>
    <w:p>
      <w:pPr>
        <w:jc w:val="both"/>
        <w:ind w:left="269" w:right="20" w:hanging="269"/>
        <w:spacing w:after="0" w:line="238" w:lineRule="auto"/>
        <w:tabs>
          <w:tab w:leader="none" w:pos="269" w:val="left"/>
        </w:tabs>
        <w:numPr>
          <w:ilvl w:val="0"/>
          <w:numId w:val="10"/>
        </w:numPr>
        <w:rPr>
          <w:rFonts w:ascii="Arial" w:cs="Arial" w:eastAsia="Arial" w:hAnsi="Arial"/>
          <w:sz w:val="14"/>
          <w:szCs w:val="14"/>
          <w:color w:val="auto"/>
        </w:rPr>
      </w:pPr>
      <w:r>
        <w:rPr>
          <w:rFonts w:ascii="Arial" w:cs="Arial" w:eastAsia="Arial" w:hAnsi="Arial"/>
          <w:sz w:val="14"/>
          <w:szCs w:val="14"/>
          <w:color w:val="auto"/>
        </w:rPr>
        <w:t>Effective January 1, 2021, changes in fair value due to actual vs. model variances are presented as Changes in valuation inputs or assumptions. Activity for the three and six months ended June 30, 2020 in the table above has been recast to conform to current year disclosure, resulting in a $9.5 million and $5.0 million gain, respectively, reclassified from Realization of expected cash flows to Changes in valuation inputs or assumptions.</w:t>
      </w:r>
    </w:p>
    <w:p>
      <w:pPr>
        <w:spacing w:after="0" w:line="70"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820" w:type="dxa"/>
            <w:vAlign w:val="bottom"/>
          </w:tcPr>
          <w:p>
            <w:pPr>
              <w:spacing w:after="0"/>
              <w:rPr>
                <w:sz w:val="20"/>
                <w:szCs w:val="20"/>
                <w:color w:val="auto"/>
              </w:rPr>
            </w:pPr>
            <w:r>
              <w:rPr>
                <w:rFonts w:ascii="Arial" w:cs="Arial" w:eastAsia="Arial" w:hAnsi="Arial"/>
                <w:sz w:val="15"/>
                <w:szCs w:val="15"/>
                <w:b w:val="1"/>
                <w:bCs w:val="1"/>
                <w:color w:val="auto"/>
              </w:rPr>
              <w:t>MSR UPB</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2"/>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Pr>
          <w:p>
            <w:pPr>
              <w:spacing w:after="0"/>
              <w:rPr>
                <w:sz w:val="22"/>
                <w:szCs w:val="22"/>
                <w:color w:val="auto"/>
              </w:rPr>
            </w:pP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2020</w:t>
            </w:r>
          </w:p>
        </w:tc>
        <w:tc>
          <w:tcPr>
            <w:tcW w:w="220" w:type="dxa"/>
            <w:vAlign w:val="bottom"/>
          </w:tcPr>
          <w:p>
            <w:pPr>
              <w:spacing w:after="0"/>
              <w:rPr>
                <w:sz w:val="22"/>
                <w:szCs w:val="22"/>
                <w:color w:val="auto"/>
              </w:rPr>
            </w:pPr>
          </w:p>
        </w:tc>
        <w:tc>
          <w:tcPr>
            <w:tcW w:w="1320" w:type="dxa"/>
            <w:vAlign w:val="bottom"/>
          </w:tcPr>
          <w:p>
            <w:pPr>
              <w:jc w:val="right"/>
              <w:ind w:right="244"/>
              <w:spacing w:after="0"/>
              <w:rPr>
                <w:sz w:val="20"/>
                <w:szCs w:val="20"/>
                <w:color w:val="auto"/>
              </w:rPr>
            </w:pPr>
            <w:r>
              <w:rPr>
                <w:rFonts w:ascii="Arial" w:cs="Arial" w:eastAsia="Arial" w:hAnsi="Arial"/>
                <w:sz w:val="15"/>
                <w:szCs w:val="15"/>
                <w:b w:val="1"/>
                <w:bCs w:val="1"/>
                <w:color w:val="auto"/>
              </w:rPr>
              <w:t>June 30, 2020</w:t>
            </w:r>
          </w:p>
        </w:tc>
      </w:tr>
      <w:tr>
        <w:trPr>
          <w:trHeight w:val="185"/>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Owned MSRs</w:t>
            </w: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148,882,743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91,284,985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90,174,495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70,243,789</w:t>
            </w:r>
          </w:p>
        </w:tc>
      </w:tr>
      <w:tr>
        <w:trPr>
          <w:trHeight w:val="19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NRZ pledged MSRs (1)</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59,038,668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61,841,181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64,061,198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68,490,109</w:t>
            </w:r>
          </w:p>
        </w:tc>
      </w:tr>
      <w:tr>
        <w:trPr>
          <w:trHeight w:val="210"/>
        </w:trPr>
        <w:tc>
          <w:tcPr>
            <w:tcW w:w="4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Total MSR UPB</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207,921,411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153,126,166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154,235,693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138,733,898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69" w:hanging="269"/>
        <w:spacing w:after="0"/>
        <w:tabs>
          <w:tab w:leader="none" w:pos="269" w:val="left"/>
        </w:tabs>
        <w:numPr>
          <w:ilvl w:val="0"/>
          <w:numId w:val="11"/>
        </w:numPr>
        <w:rPr>
          <w:rFonts w:ascii="Arial" w:cs="Arial" w:eastAsia="Arial" w:hAnsi="Arial"/>
          <w:sz w:val="14"/>
          <w:szCs w:val="14"/>
          <w:color w:val="auto"/>
        </w:rPr>
      </w:pPr>
      <w:r>
        <w:rPr>
          <w:rFonts w:ascii="Arial" w:cs="Arial" w:eastAsia="Arial" w:hAnsi="Arial"/>
          <w:sz w:val="14"/>
          <w:szCs w:val="14"/>
          <w:color w:val="auto"/>
        </w:rPr>
        <w:t>MSRs subject to sale agreements with NRZ that do not meet sale accounting criteria. See Note 8 — Rights to MSRs.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5" w:lineRule="exact"/>
        <w:rPr>
          <w:rFonts w:ascii="Arial" w:cs="Arial" w:eastAsia="Arial" w:hAnsi="Arial"/>
          <w:sz w:val="14"/>
          <w:szCs w:val="14"/>
          <w:color w:val="auto"/>
        </w:rPr>
      </w:pPr>
    </w:p>
    <w:p>
      <w:pPr>
        <w:ind w:left="5549"/>
        <w:spacing w:after="0"/>
        <w:rPr>
          <w:rFonts w:ascii="Arial" w:cs="Arial" w:eastAsia="Arial" w:hAnsi="Arial"/>
          <w:sz w:val="14"/>
          <w:szCs w:val="14"/>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1089" w:right="319" w:bottom="1440" w:gutter="0" w:footer="0" w:header="0"/>
        </w:sectPr>
      </w:pPr>
    </w:p>
    <w:bookmarkStart w:id="26" w:name="page27"/>
    <w:bookmarkEnd w:id="26"/>
    <w:p>
      <w:pPr>
        <w:ind w:right="20" w:firstLine="272"/>
        <w:spacing w:after="0" w:line="261" w:lineRule="auto"/>
        <w:rPr>
          <w:sz w:val="20"/>
          <w:szCs w:val="20"/>
          <w:color w:val="auto"/>
        </w:rPr>
      </w:pPr>
      <w:r>
        <w:rPr>
          <w:rFonts w:ascii="Arial" w:cs="Arial" w:eastAsia="Arial" w:hAnsi="Arial"/>
          <w:sz w:val="15"/>
          <w:szCs w:val="15"/>
          <w:color w:val="auto"/>
        </w:rPr>
        <w:t>We purchased MSRs with a UPB of $67.3 billion and $5.7 billion during the six months ended June 30, 2021 and 2020, respectively. Purchases during the six months ended June 30, 2021 include a bulk MSR acquisition of performing GSE loans from an unrelated third party effective June 1, 2021, with a UPB and fair value of $46.8 billion and $575.3 million, respectively. We sold MSRs with a UPB of $13.1 million and $41.7 million during the six months ended June 30, 2021 and 2020, respectively, mostly to Freddie Mac under the Voluntary Partial Cancellation (VPC) program for delinquent loans.</w:t>
      </w:r>
    </w:p>
    <w:p>
      <w:pPr>
        <w:spacing w:after="0" w:line="67" w:lineRule="exact"/>
        <w:rPr>
          <w:sz w:val="20"/>
          <w:szCs w:val="20"/>
          <w:color w:val="auto"/>
        </w:rPr>
      </w:pPr>
    </w:p>
    <w:p>
      <w:pPr>
        <w:ind w:right="120" w:firstLine="272"/>
        <w:spacing w:after="0" w:line="276" w:lineRule="auto"/>
        <w:rPr>
          <w:sz w:val="20"/>
          <w:szCs w:val="20"/>
          <w:color w:val="auto"/>
        </w:rPr>
      </w:pPr>
      <w:r>
        <w:rPr>
          <w:rFonts w:ascii="Arial" w:cs="Arial" w:eastAsia="Arial" w:hAnsi="Arial"/>
          <w:sz w:val="14"/>
          <w:szCs w:val="14"/>
          <w:color w:val="auto"/>
        </w:rPr>
        <w:t>At June 30, 2021, the S&amp;P Global Ratings, Inc.’s (S&amp;P’s) servicer ratings outlook for PMC is stable.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amongst other factors mentioned by S&amp;P. On March 24, 2020, Fitch Ratings, Inc. (Fitch) placed all U.S Residential Mortgage Backed Securities (RMBS) servicer ratings on Outlook Negative, resulting from a rapidly 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OFC.</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Pr>
          <w:p>
            <w:pPr>
              <w:spacing w:after="0"/>
              <w:rPr>
                <w:sz w:val="16"/>
                <w:szCs w:val="16"/>
                <w:color w:val="auto"/>
              </w:rPr>
            </w:pPr>
          </w:p>
        </w:tc>
        <w:tc>
          <w:tcPr>
            <w:tcW w:w="28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48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Servicing Revenue</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74"/>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Loan servicing and subservicing fees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Servicing</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79,377</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52,336</w:t>
            </w:r>
          </w:p>
        </w:tc>
        <w:tc>
          <w:tcPr>
            <w:tcW w:w="12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143,269</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107,745</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Subservicing</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15,820</w:t>
            </w:r>
          </w:p>
        </w:tc>
      </w:tr>
      <w:tr>
        <w:trPr>
          <w:trHeight w:val="192"/>
        </w:trPr>
        <w:tc>
          <w:tcPr>
            <w:tcW w:w="48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NRZ</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88,405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158,101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208,073</w:t>
            </w:r>
          </w:p>
        </w:tc>
      </w:tr>
      <w:tr>
        <w:trPr>
          <w:trHeight w:val="185"/>
        </w:trPr>
        <w:tc>
          <w:tcPr>
            <w:tcW w:w="4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159,710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151,371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307,474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331,638</w:t>
            </w: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Ancillary income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Late charges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27,311</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Recording fees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6,854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5,927</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 collection fees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7,000</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Boarding and deboarding fees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5,203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1,356</w:t>
            </w: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Custodial accounts (float earnings)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7,731</w:t>
            </w:r>
          </w:p>
        </w:tc>
      </w:tr>
      <w:tr>
        <w:trPr>
          <w:trHeight w:val="192"/>
        </w:trPr>
        <w:tc>
          <w:tcPr>
            <w:tcW w:w="48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net</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5,760</w:t>
            </w:r>
          </w:p>
        </w:tc>
      </w:tr>
      <w:tr>
        <w:trPr>
          <w:trHeight w:val="184"/>
        </w:trPr>
        <w:tc>
          <w:tcPr>
            <w:tcW w:w="48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24,731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23,869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48,705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55,085</w:t>
            </w:r>
          </w:p>
        </w:tc>
      </w:tr>
      <w:tr>
        <w:trPr>
          <w:trHeight w:val="184"/>
        </w:trPr>
        <w:tc>
          <w:tcPr>
            <w:tcW w:w="482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184,441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175,240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356,179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386,723</w:t>
            </w: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right="80" w:firstLine="272"/>
        <w:spacing w:after="0" w:line="265" w:lineRule="auto"/>
        <w:rPr>
          <w:sz w:val="20"/>
          <w:szCs w:val="20"/>
          <w:color w:val="auto"/>
        </w:rPr>
      </w:pPr>
      <w:r>
        <w:rPr>
          <w:rFonts w:ascii="Arial" w:cs="Arial" w:eastAsia="Arial" w:hAnsi="Arial"/>
          <w:sz w:val="15"/>
          <w:szCs w:val="15"/>
          <w:color w:val="auto"/>
        </w:rPr>
        <w:t>Float balances (balances in custodial accounts, which represent collections of principal and interest that we receive from borrowers) are held in escrow by unaffiliated banks and are excluded from our unaudited consolidated balance sheets. Float balances amounted to $2.1 billion, $1.7 billion and $1.9 billion at June 30, 2021, December 31, 2020 and June 30, 2020,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 Rights to MSRs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65" w:lineRule="exact"/>
        <w:rPr>
          <w:sz w:val="20"/>
          <w:szCs w:val="20"/>
          <w:color w:val="auto"/>
        </w:rPr>
      </w:pPr>
    </w:p>
    <w:p>
      <w:pPr>
        <w:ind w:right="40" w:firstLine="272"/>
        <w:spacing w:after="0" w:line="300" w:lineRule="auto"/>
        <w:rPr>
          <w:sz w:val="20"/>
          <w:szCs w:val="20"/>
          <w:color w:val="auto"/>
        </w:rPr>
      </w:pPr>
      <w:r>
        <w:rPr>
          <w:rFonts w:ascii="Arial" w:cs="Arial" w:eastAsia="Arial" w:hAnsi="Arial"/>
          <w:sz w:val="13"/>
          <w:szCs w:val="13"/>
          <w:color w:val="auto"/>
        </w:rPr>
        <w:t>Ocwen and PMC entered into agreements to sell MSRs or Rights to MSRs and the related servicing advances to NRZ, and in all cases have been retained by NRZ as subservicer. In the case of Ocwen Rights to MSRs transactions, while the majority of the risks and rewards of ownership were transferred in 2012 and 2013, legal title was retained by Ocwen, causing the Rights to MSRs transactions to be accounted for as secured financings. In the case of the PMC transactions, and for those Ocwen MSRs where consents were subsequently received and legal title was transferred to NRZ, due to the length of the non-cancellable term of the subservicing agreements, the transactions did not initially qualify for sale accounting treatment which resulted in such transactions being accounted for as secured financings. Until such time as the transaction qualifies as a sale for accounting purposes, we continue to recognize the MSRs and related financing liability on our consolidated balance sheets, as well as the full amount of servicing revenue and changes in the fair value of the MSRs and related financing liability in our unaudited consolidated statements of operations. Changes in fair value of the Rights to MSRs are recognized in MSR valuation adjustments, net in the unaudited consolidated statements of operations. Changes in fair value of the MSR related financing liability are reported in Pledged MSR liability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27" w:name="page28"/>
    <w:bookmarkEnd w:id="27"/>
    <w:p>
      <w:pPr>
        <w:ind w:left="269"/>
        <w:spacing w:after="0"/>
        <w:rPr>
          <w:sz w:val="20"/>
          <w:szCs w:val="20"/>
          <w:color w:val="auto"/>
        </w:rPr>
      </w:pPr>
      <w:r>
        <w:rPr>
          <w:rFonts w:ascii="Arial" w:cs="Arial" w:eastAsia="Arial" w:hAnsi="Arial"/>
          <w:sz w:val="13"/>
          <w:szCs w:val="13"/>
          <w:color w:val="auto"/>
        </w:rPr>
        <w:t>The following tables present selected assets and liabilities recorded on our unaudited consolidated balance sheets as well as the impacts to our unaudited consolidated statements of</w:t>
      </w:r>
    </w:p>
    <w:p>
      <w:pPr>
        <w:spacing w:after="0" w:line="41" w:lineRule="exact"/>
        <w:rPr>
          <w:sz w:val="20"/>
          <w:szCs w:val="20"/>
          <w:color w:val="auto"/>
        </w:rPr>
      </w:pPr>
    </w:p>
    <w:tbl>
      <w:tblPr>
        <w:tblLayout w:type="fixed"/>
        <w:tblInd w:w="9" w:type="dxa"/>
        <w:tblCellMar>
          <w:top w:w="0" w:type="dxa"/>
          <w:left w:w="0" w:type="dxa"/>
          <w:bottom w:w="0" w:type="dxa"/>
          <w:right w:w="0" w:type="dxa"/>
        </w:tblCellMar>
      </w:tblPr>
      <w:tr>
        <w:trPr>
          <w:trHeight w:val="191"/>
        </w:trPr>
        <w:tc>
          <w:tcPr>
            <w:tcW w:w="8080" w:type="dxa"/>
            <w:vAlign w:val="bottom"/>
            <w:gridSpan w:val="2"/>
          </w:tcPr>
          <w:p>
            <w:pPr>
              <w:spacing w:after="0"/>
              <w:rPr>
                <w:sz w:val="20"/>
                <w:szCs w:val="20"/>
                <w:color w:val="auto"/>
              </w:rPr>
            </w:pPr>
            <w:r>
              <w:rPr>
                <w:rFonts w:ascii="Arial" w:cs="Arial" w:eastAsia="Arial" w:hAnsi="Arial"/>
                <w:sz w:val="15"/>
                <w:szCs w:val="15"/>
                <w:color w:val="auto"/>
              </w:rPr>
              <w:t>operations in connection with our NRZ agreements.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8"/>
        </w:trPr>
        <w:tc>
          <w:tcPr>
            <w:tcW w:w="20" w:type="dxa"/>
            <w:vAlign w:val="bottom"/>
          </w:tcPr>
          <w:p>
            <w:pPr>
              <w:spacing w:after="0"/>
              <w:rPr>
                <w:sz w:val="24"/>
                <w:szCs w:val="24"/>
                <w:color w:val="auto"/>
              </w:rPr>
            </w:pPr>
          </w:p>
        </w:tc>
        <w:tc>
          <w:tcPr>
            <w:tcW w:w="8060" w:type="dxa"/>
            <w:vAlign w:val="bottom"/>
          </w:tcPr>
          <w:p>
            <w:pPr>
              <w:spacing w:after="0"/>
              <w:rPr>
                <w:sz w:val="20"/>
                <w:szCs w:val="20"/>
                <w:color w:val="auto"/>
              </w:rPr>
            </w:pPr>
            <w:r>
              <w:rPr>
                <w:rFonts w:ascii="Arial" w:cs="Arial" w:eastAsia="Arial" w:hAnsi="Arial"/>
                <w:sz w:val="15"/>
                <w:szCs w:val="15"/>
                <w:b w:val="1"/>
                <w:bCs w:val="1"/>
                <w:color w:val="auto"/>
              </w:rPr>
              <w:t>Balance Sheets</w:t>
            </w:r>
          </w:p>
        </w:tc>
        <w:tc>
          <w:tcPr>
            <w:tcW w:w="20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24"/>
                <w:szCs w:val="24"/>
                <w:color w:val="auto"/>
              </w:rPr>
            </w:pPr>
          </w:p>
        </w:tc>
        <w:tc>
          <w:tcPr>
            <w:tcW w:w="140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December 31, 2020</w:t>
            </w:r>
          </w:p>
        </w:tc>
      </w:tr>
      <w:tr>
        <w:trPr>
          <w:trHeight w:val="185"/>
        </w:trPr>
        <w:tc>
          <w:tcPr>
            <w:tcW w:w="20" w:type="dxa"/>
            <w:vAlign w:val="bottom"/>
          </w:tcPr>
          <w:p>
            <w:pPr>
              <w:spacing w:after="0"/>
              <w:rPr>
                <w:sz w:val="16"/>
                <w:szCs w:val="16"/>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MSRs, at fair value</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535,571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566,952</w:t>
            </w:r>
          </w:p>
        </w:tc>
      </w:tr>
      <w:tr>
        <w:trPr>
          <w:trHeight w:val="192"/>
        </w:trPr>
        <w:tc>
          <w:tcPr>
            <w:tcW w:w="20" w:type="dxa"/>
            <w:vAlign w:val="bottom"/>
          </w:tcPr>
          <w:p>
            <w:pPr>
              <w:spacing w:after="0"/>
              <w:rPr>
                <w:sz w:val="16"/>
                <w:szCs w:val="16"/>
                <w:color w:val="auto"/>
              </w:rPr>
            </w:pPr>
          </w:p>
        </w:tc>
        <w:tc>
          <w:tcPr>
            <w:tcW w:w="8060" w:type="dxa"/>
            <w:vAlign w:val="bottom"/>
          </w:tcPr>
          <w:p>
            <w:pPr>
              <w:spacing w:after="0"/>
              <w:rPr>
                <w:sz w:val="20"/>
                <w:szCs w:val="20"/>
                <w:color w:val="auto"/>
              </w:rPr>
            </w:pPr>
            <w:r>
              <w:rPr>
                <w:rFonts w:ascii="Arial" w:cs="Arial" w:eastAsia="Arial" w:hAnsi="Arial"/>
                <w:sz w:val="15"/>
                <w:szCs w:val="15"/>
                <w:color w:val="auto"/>
              </w:rPr>
              <w:t>Due from NRZ (Receivables) - Subservicing fees and reimbursable expenses</w:t>
            </w:r>
          </w:p>
        </w:tc>
        <w:tc>
          <w:tcPr>
            <w:tcW w:w="20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2,616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4,611</w:t>
            </w:r>
          </w:p>
        </w:tc>
      </w:tr>
      <w:tr>
        <w:trPr>
          <w:trHeight w:val="137"/>
        </w:trPr>
        <w:tc>
          <w:tcPr>
            <w:tcW w:w="20" w:type="dxa"/>
            <w:vAlign w:val="bottom"/>
          </w:tcPr>
          <w:p>
            <w:pPr>
              <w:spacing w:after="0"/>
              <w:rPr>
                <w:sz w:val="11"/>
                <w:szCs w:val="11"/>
                <w:color w:val="auto"/>
              </w:rPr>
            </w:pPr>
          </w:p>
        </w:tc>
        <w:tc>
          <w:tcPr>
            <w:tcW w:w="8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92"/>
        </w:trPr>
        <w:tc>
          <w:tcPr>
            <w:tcW w:w="20" w:type="dxa"/>
            <w:vAlign w:val="bottom"/>
          </w:tcPr>
          <w:p>
            <w:pPr>
              <w:spacing w:after="0"/>
              <w:rPr>
                <w:sz w:val="16"/>
                <w:szCs w:val="16"/>
                <w:color w:val="auto"/>
              </w:rPr>
            </w:pPr>
          </w:p>
        </w:tc>
        <w:tc>
          <w:tcPr>
            <w:tcW w:w="8060" w:type="dxa"/>
            <w:vAlign w:val="bottom"/>
          </w:tcPr>
          <w:p>
            <w:pPr>
              <w:spacing w:after="0"/>
              <w:rPr>
                <w:sz w:val="20"/>
                <w:szCs w:val="20"/>
                <w:color w:val="auto"/>
              </w:rPr>
            </w:pPr>
            <w:r>
              <w:rPr>
                <w:rFonts w:ascii="Arial" w:cs="Arial" w:eastAsia="Arial" w:hAnsi="Arial"/>
                <w:sz w:val="15"/>
                <w:szCs w:val="15"/>
                <w:color w:val="auto"/>
              </w:rPr>
              <w:t>Due to NRZ (Other liabilities) - Advance collections, servicing fees and other</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84,288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94,691</w:t>
            </w:r>
          </w:p>
        </w:tc>
      </w:tr>
      <w:tr>
        <w:trPr>
          <w:trHeight w:val="194"/>
        </w:trPr>
        <w:tc>
          <w:tcPr>
            <w:tcW w:w="20" w:type="dxa"/>
            <w:vAlign w:val="bottom"/>
          </w:tcPr>
          <w:p>
            <w:pPr>
              <w:spacing w:after="0"/>
              <w:rPr>
                <w:sz w:val="16"/>
                <w:szCs w:val="16"/>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Financing liability - MSRs pledged, at fair value: Original Rights to MSRs Agreements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535,571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566,952</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Pr>
          <w:p>
            <w:pPr>
              <w:spacing w:after="0"/>
              <w:rPr>
                <w:sz w:val="16"/>
                <w:szCs w:val="16"/>
                <w:color w:val="auto"/>
              </w:rPr>
            </w:pPr>
          </w:p>
        </w:tc>
        <w:tc>
          <w:tcPr>
            <w:tcW w:w="28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 June 30,</w:t>
            </w:r>
          </w:p>
        </w:tc>
      </w:tr>
      <w:tr>
        <w:trPr>
          <w:trHeight w:val="185"/>
        </w:trPr>
        <w:tc>
          <w:tcPr>
            <w:tcW w:w="48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73"/>
        </w:trPr>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Statements of Operations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Servicing fees collected on behalf of NRZ</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77,716</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88,405</w:t>
            </w:r>
          </w:p>
        </w:tc>
        <w:tc>
          <w:tcPr>
            <w:tcW w:w="12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158,101</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208,073</w:t>
            </w:r>
          </w:p>
        </w:tc>
      </w:tr>
      <w:tr>
        <w:trPr>
          <w:trHeight w:val="194"/>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Less: Subservicing fee retained by Ocwen</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22,521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46,512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54,855</w:t>
            </w:r>
          </w:p>
        </w:tc>
      </w:tr>
      <w:tr>
        <w:trPr>
          <w:trHeight w:val="184"/>
        </w:trPr>
        <w:tc>
          <w:tcPr>
            <w:tcW w:w="4820" w:type="dxa"/>
            <w:vAlign w:val="bottom"/>
          </w:tcPr>
          <w:p>
            <w:pPr>
              <w:ind w:left="100"/>
              <w:spacing w:after="0"/>
              <w:rPr>
                <w:sz w:val="20"/>
                <w:szCs w:val="20"/>
                <w:color w:val="auto"/>
              </w:rPr>
            </w:pPr>
            <w:r>
              <w:rPr>
                <w:rFonts w:ascii="Arial" w:cs="Arial" w:eastAsia="Arial" w:hAnsi="Arial"/>
                <w:sz w:val="15"/>
                <w:szCs w:val="15"/>
                <w:color w:val="auto"/>
              </w:rPr>
              <w:t>Net servicing fees remitted to NRZ</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55,195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62,882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111,589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153,218</w:t>
            </w:r>
          </w:p>
        </w:tc>
      </w:tr>
      <w:tr>
        <w:trPr>
          <w:trHeight w:val="137"/>
        </w:trPr>
        <w:tc>
          <w:tcPr>
            <w:tcW w:w="4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Less: Reduction (increase) in financing liability</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4"/>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Changes in fair value:</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2"/>
        </w:trPr>
        <w:tc>
          <w:tcPr>
            <w:tcW w:w="4820" w:type="dxa"/>
            <w:vAlign w:val="bottom"/>
          </w:tcPr>
          <w:p>
            <w:pPr>
              <w:ind w:left="180"/>
              <w:spacing w:after="0"/>
              <w:rPr>
                <w:sz w:val="20"/>
                <w:szCs w:val="20"/>
                <w:color w:val="auto"/>
              </w:rPr>
            </w:pPr>
            <w:r>
              <w:rPr>
                <w:rFonts w:ascii="Arial" w:cs="Arial" w:eastAsia="Arial" w:hAnsi="Arial"/>
                <w:sz w:val="15"/>
                <w:szCs w:val="15"/>
                <w:color w:val="auto"/>
              </w:rPr>
              <w:t>Original Rights to MSRs Agreements (1)</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(8,393)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(6,810)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(9,944)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(13,879)</w:t>
            </w:r>
          </w:p>
        </w:tc>
      </w:tr>
      <w:tr>
        <w:trPr>
          <w:trHeight w:val="194"/>
        </w:trPr>
        <w:tc>
          <w:tcPr>
            <w:tcW w:w="48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2017 Agreements and New RMSR Agreements</w:t>
            </w: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r>
      <w:tr>
        <w:trPr>
          <w:trHeight w:val="192"/>
        </w:trPr>
        <w:tc>
          <w:tcPr>
            <w:tcW w:w="4820" w:type="dxa"/>
            <w:vAlign w:val="bottom"/>
          </w:tcPr>
          <w:p>
            <w:pPr>
              <w:ind w:left="180"/>
              <w:spacing w:after="0"/>
              <w:rPr>
                <w:sz w:val="20"/>
                <w:szCs w:val="20"/>
                <w:color w:val="auto"/>
              </w:rPr>
            </w:pPr>
            <w:r>
              <w:rPr>
                <w:rFonts w:ascii="Arial" w:cs="Arial" w:eastAsia="Arial" w:hAnsi="Arial"/>
                <w:sz w:val="15"/>
                <w:szCs w:val="15"/>
                <w:color w:val="auto"/>
              </w:rPr>
              <w:t>PMC MSR Agreements</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40,720</w:t>
            </w:r>
          </w:p>
        </w:tc>
      </w:tr>
      <w:tr>
        <w:trPr>
          <w:trHeight w:val="185"/>
        </w:trPr>
        <w:tc>
          <w:tcPr>
            <w:tcW w:w="48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(8,393)</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(6,810)</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(9,944)</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25,938</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Runoff and settlement:</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4"/>
        </w:trPr>
        <w:tc>
          <w:tcPr>
            <w:tcW w:w="48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Original Rights to MSRs Agreements (1)</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20,910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15,957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31,699</w:t>
            </w:r>
          </w:p>
        </w:tc>
      </w:tr>
      <w:tr>
        <w:trPr>
          <w:trHeight w:val="192"/>
        </w:trPr>
        <w:tc>
          <w:tcPr>
            <w:tcW w:w="4820" w:type="dxa"/>
            <w:vAlign w:val="bottom"/>
          </w:tcPr>
          <w:p>
            <w:pPr>
              <w:ind w:left="180"/>
              <w:spacing w:after="0"/>
              <w:rPr>
                <w:sz w:val="20"/>
                <w:szCs w:val="20"/>
                <w:color w:val="auto"/>
              </w:rPr>
            </w:pPr>
            <w:r>
              <w:rPr>
                <w:rFonts w:ascii="Arial" w:cs="Arial" w:eastAsia="Arial" w:hAnsi="Arial"/>
                <w:sz w:val="15"/>
                <w:szCs w:val="15"/>
                <w:color w:val="auto"/>
              </w:rPr>
              <w:t>2017 Agreements and New RMSR Agreements</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9,979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35,121</w:t>
            </w:r>
          </w:p>
        </w:tc>
      </w:tr>
      <w:tr>
        <w:trPr>
          <w:trHeight w:val="193"/>
        </w:trPr>
        <w:tc>
          <w:tcPr>
            <w:tcW w:w="48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PMC MSR Agreements</w:t>
            </w: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7,492</w:t>
            </w:r>
          </w:p>
        </w:tc>
      </w:tr>
      <w:tr>
        <w:trPr>
          <w:trHeight w:val="184"/>
        </w:trPr>
        <w:tc>
          <w:tcPr>
            <w:tcW w:w="48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20,910</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25,936</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38,526</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74,312</w:t>
            </w:r>
          </w:p>
        </w:tc>
      </w:tr>
      <w:tr>
        <w:trPr>
          <w:trHeight w:val="137"/>
        </w:trPr>
        <w:tc>
          <w:tcPr>
            <w:tcW w:w="4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4,688</w:t>
            </w:r>
          </w:p>
        </w:tc>
      </w:tr>
      <w:tr>
        <w:trPr>
          <w:trHeight w:val="137"/>
        </w:trPr>
        <w:tc>
          <w:tcPr>
            <w:tcW w:w="48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r>
      <w:tr>
        <w:trPr>
          <w:trHeight w:val="184"/>
        </w:trPr>
        <w:tc>
          <w:tcPr>
            <w:tcW w:w="4820" w:type="dxa"/>
            <w:vAlign w:val="bottom"/>
          </w:tcPr>
          <w:p>
            <w:pPr>
              <w:spacing w:after="0"/>
              <w:rPr>
                <w:sz w:val="20"/>
                <w:szCs w:val="20"/>
                <w:color w:val="auto"/>
              </w:rPr>
            </w:pPr>
            <w:r>
              <w:rPr>
                <w:rFonts w:ascii="Arial" w:cs="Arial" w:eastAsia="Arial" w:hAnsi="Arial"/>
                <w:sz w:val="15"/>
                <w:szCs w:val="15"/>
                <w:color w:val="auto"/>
              </w:rPr>
              <w:t>Pledged MSR liability expense</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39,810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41,686</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77,660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48,280</w:t>
            </w: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ind w:left="209" w:right="60" w:hanging="209"/>
        <w:spacing w:after="0" w:line="337" w:lineRule="auto"/>
        <w:tabs>
          <w:tab w:leader="none" w:pos="198" w:val="left"/>
        </w:tabs>
        <w:numPr>
          <w:ilvl w:val="0"/>
          <w:numId w:val="12"/>
        </w:numPr>
        <w:rPr>
          <w:rFonts w:ascii="Arial" w:cs="Arial" w:eastAsia="Arial" w:hAnsi="Arial"/>
          <w:sz w:val="12"/>
          <w:szCs w:val="12"/>
          <w:color w:val="auto"/>
        </w:rPr>
      </w:pPr>
      <w:r>
        <w:rPr>
          <w:rFonts w:ascii="Arial" w:cs="Arial" w:eastAsia="Arial" w:hAnsi="Arial"/>
          <w:sz w:val="12"/>
          <w:szCs w:val="12"/>
          <w:color w:val="auto"/>
        </w:rPr>
        <w:t>Effective January 1, 2021, changes in fair value due to actual vs. model variances are presented as Changes in valuation inputs or assumptions. Activity for the three and six months ended June 30, 2020 in the table above has been recast to conform to current year disclosure, resulting in losses of $7.8 million and $5.8 million, respectively, reclassified from Runoff and settlement to Changes in fair value.</w:t>
      </w:r>
    </w:p>
    <w:p>
      <w:pPr>
        <w:spacing w:after="0" w:line="39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28" w:name="page29"/>
    <w:bookmarkEnd w:id="28"/>
    <w:tbl>
      <w:tblPr>
        <w:tblLayout w:type="fixed"/>
        <w:tblInd w:w="9"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ind w:left="580"/>
              <w:spacing w:after="0"/>
              <w:rPr>
                <w:sz w:val="20"/>
                <w:szCs w:val="20"/>
                <w:color w:val="auto"/>
              </w:rPr>
            </w:pPr>
            <w:r>
              <w:rPr>
                <w:rFonts w:ascii="Arial" w:cs="Arial" w:eastAsia="Arial" w:hAnsi="Arial"/>
                <w:sz w:val="15"/>
                <w:szCs w:val="15"/>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4"/>
              <w:spacing w:after="0"/>
              <w:rPr>
                <w:sz w:val="20"/>
                <w:szCs w:val="20"/>
                <w:color w:val="auto"/>
              </w:rPr>
            </w:pPr>
            <w:r>
              <w:rPr>
                <w:rFonts w:ascii="Arial" w:cs="Arial" w:eastAsia="Arial" w:hAnsi="Arial"/>
                <w:sz w:val="15"/>
                <w:szCs w:val="15"/>
                <w:b w:val="1"/>
                <w:bCs w:val="1"/>
                <w:color w:val="auto"/>
                <w:w w:val="90"/>
              </w:rPr>
              <w:t>June 30, 2021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5"/>
                <w:szCs w:val="15"/>
                <w:b w:val="1"/>
                <w:bCs w:val="1"/>
                <w:color w:val="auto"/>
                <w:w w:val="90"/>
              </w:rPr>
              <w:t>June 30, 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center"/>
              <w:ind w:right="44"/>
              <w:spacing w:after="0"/>
              <w:rPr>
                <w:sz w:val="20"/>
                <w:szCs w:val="20"/>
                <w:color w:val="auto"/>
              </w:rPr>
            </w:pPr>
            <w:r>
              <w:rPr>
                <w:rFonts w:ascii="Arial" w:cs="Arial" w:eastAsia="Arial" w:hAnsi="Arial"/>
                <w:sz w:val="15"/>
                <w:szCs w:val="15"/>
                <w:b w:val="1"/>
                <w:bCs w:val="1"/>
                <w:color w:val="auto"/>
                <w:w w:val="93"/>
              </w:rPr>
              <w:t>Original Rights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restart"/>
          </w:tcPr>
          <w:p>
            <w:pPr>
              <w:jc w:val="right"/>
              <w:ind w:right="44"/>
              <w:spacing w:after="0"/>
              <w:rPr>
                <w:sz w:val="20"/>
                <w:szCs w:val="20"/>
                <w:color w:val="auto"/>
              </w:rPr>
            </w:pPr>
            <w:r>
              <w:rPr>
                <w:rFonts w:ascii="Arial" w:cs="Arial" w:eastAsia="Arial" w:hAnsi="Arial"/>
                <w:sz w:val="15"/>
                <w:szCs w:val="15"/>
                <w:b w:val="1"/>
                <w:bCs w:val="1"/>
                <w:color w:val="auto"/>
                <w:w w:val="93"/>
              </w:rPr>
              <w:t>Original Rights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204"/>
              <w:spacing w:after="0" w:line="139" w:lineRule="exact"/>
              <w:rPr>
                <w:sz w:val="20"/>
                <w:szCs w:val="20"/>
                <w:color w:val="auto"/>
              </w:rPr>
            </w:pPr>
            <w:r>
              <w:rPr>
                <w:rFonts w:ascii="Arial" w:cs="Arial" w:eastAsia="Arial" w:hAnsi="Arial"/>
                <w:sz w:val="15"/>
                <w:szCs w:val="15"/>
                <w:b w:val="1"/>
                <w:bCs w:val="1"/>
                <w:color w:val="auto"/>
                <w:w w:val="92"/>
              </w:rPr>
              <w:t>2017 Agreements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31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Financing Liability - MSRs Pledged</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524"/>
              <w:spacing w:after="0" w:line="148" w:lineRule="exact"/>
              <w:rPr>
                <w:sz w:val="20"/>
                <w:szCs w:val="20"/>
                <w:color w:val="auto"/>
              </w:rPr>
            </w:pPr>
            <w:r>
              <w:rPr>
                <w:rFonts w:ascii="Arial" w:cs="Arial" w:eastAsia="Arial" w:hAnsi="Arial"/>
                <w:sz w:val="15"/>
                <w:szCs w:val="15"/>
                <w:b w:val="1"/>
                <w:bCs w:val="1"/>
                <w:color w:val="auto"/>
                <w:w w:val="95"/>
              </w:rPr>
              <w:t>New RMSR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524"/>
              <w:spacing w:after="0"/>
              <w:rPr>
                <w:sz w:val="20"/>
                <w:szCs w:val="20"/>
                <w:color w:val="auto"/>
              </w:rPr>
            </w:pPr>
            <w:r>
              <w:rPr>
                <w:rFonts w:ascii="Arial" w:cs="Arial" w:eastAsia="Arial" w:hAnsi="Arial"/>
                <w:sz w:val="15"/>
                <w:szCs w:val="15"/>
                <w:b w:val="1"/>
                <w:bCs w:val="1"/>
                <w:color w:val="auto"/>
              </w:rPr>
              <w:t>Total</w:t>
            </w:r>
          </w:p>
        </w:tc>
        <w:tc>
          <w:tcPr>
            <w:tcW w:w="1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3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5"/>
                <w:szCs w:val="15"/>
                <w:b w:val="1"/>
                <w:bCs w:val="1"/>
                <w:color w:val="auto"/>
                <w:w w:val="90"/>
              </w:rPr>
              <w:t>MSRs Agreements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w w:val="90"/>
              </w:rPr>
              <w:t>MSRs Agreements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w w:val="87"/>
              </w:rPr>
              <w:t>Agreements</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550,364</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591,705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9,979</w:t>
            </w:r>
          </w:p>
        </w:tc>
        <w:tc>
          <w:tcPr>
            <w:tcW w:w="2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601,684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120" w:type="dxa"/>
            <w:vAlign w:val="bottom"/>
          </w:tcPr>
          <w:p>
            <w:pPr>
              <w:ind w:left="120"/>
              <w:spacing w:after="0"/>
              <w:rPr>
                <w:sz w:val="20"/>
                <w:szCs w:val="20"/>
                <w:color w:val="auto"/>
              </w:rPr>
            </w:pPr>
            <w:r>
              <w:rPr>
                <w:rFonts w:ascii="Arial" w:cs="Arial" w:eastAsia="Arial" w:hAnsi="Arial"/>
                <w:sz w:val="15"/>
                <w:szCs w:val="15"/>
                <w:color w:val="auto"/>
              </w:rPr>
              <w:t>Changes in fair value:</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Original Rights to MSRs Agreements (2)</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120" w:type="dxa"/>
            <w:vAlign w:val="bottom"/>
          </w:tcPr>
          <w:p>
            <w:pPr>
              <w:ind w:left="120"/>
              <w:spacing w:after="0"/>
              <w:rPr>
                <w:sz w:val="20"/>
                <w:szCs w:val="20"/>
                <w:color w:val="auto"/>
              </w:rPr>
            </w:pPr>
            <w:r>
              <w:rPr>
                <w:rFonts w:ascii="Arial" w:cs="Arial" w:eastAsia="Arial" w:hAnsi="Arial"/>
                <w:sz w:val="15"/>
                <w:szCs w:val="15"/>
                <w:color w:val="auto"/>
              </w:rPr>
              <w:t>Runoff and settlement:</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Original Rights to MSRs Agreements (2)</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93"/>
              </w:rPr>
              <w:t>(15,957)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(15,957)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5"/>
                <w:szCs w:val="15"/>
                <w:color w:val="auto"/>
                <w:w w:val="93"/>
              </w:rPr>
              <w:t>2017 Agreements and New RMSR Agreements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(9,979)</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(9,979)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Calls (1):</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Original Rights to MSRs Agreements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535,571</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582,558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582,558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0"/>
              </w:rPr>
              <w:t>June 30, 2021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jc w:val="right"/>
              <w:ind w:right="1004"/>
              <w:spacing w:after="0"/>
              <w:rPr>
                <w:sz w:val="20"/>
                <w:szCs w:val="20"/>
                <w:color w:val="auto"/>
              </w:rPr>
            </w:pPr>
            <w:r>
              <w:rPr>
                <w:rFonts w:ascii="Arial" w:cs="Arial" w:eastAsia="Arial" w:hAnsi="Arial"/>
                <w:sz w:val="15"/>
                <w:szCs w:val="15"/>
                <w:b w:val="1"/>
                <w:bCs w:val="1"/>
                <w:color w:val="auto"/>
              </w:rPr>
              <w:t>June 30, 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Original Rights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restart"/>
          </w:tcPr>
          <w:p>
            <w:pPr>
              <w:jc w:val="right"/>
              <w:ind w:right="180"/>
              <w:spacing w:after="0"/>
              <w:rPr>
                <w:sz w:val="20"/>
                <w:szCs w:val="20"/>
                <w:color w:val="auto"/>
              </w:rPr>
            </w:pPr>
            <w:r>
              <w:rPr>
                <w:rFonts w:ascii="Arial" w:cs="Arial" w:eastAsia="Arial" w:hAnsi="Arial"/>
                <w:sz w:val="15"/>
                <w:szCs w:val="15"/>
                <w:b w:val="1"/>
                <w:bCs w:val="1"/>
                <w:color w:val="auto"/>
                <w:w w:val="96"/>
              </w:rPr>
              <w:t>Original Rights to</w:t>
            </w:r>
          </w:p>
        </w:tc>
        <w:tc>
          <w:tcPr>
            <w:tcW w:w="100" w:type="dxa"/>
            <w:vAlign w:val="bottom"/>
          </w:tcPr>
          <w:p>
            <w:pPr>
              <w:spacing w:after="0"/>
              <w:rPr>
                <w:sz w:val="12"/>
                <w:szCs w:val="12"/>
                <w:color w:val="auto"/>
              </w:rPr>
            </w:pPr>
          </w:p>
        </w:tc>
        <w:tc>
          <w:tcPr>
            <w:tcW w:w="1640" w:type="dxa"/>
            <w:vAlign w:val="bottom"/>
            <w:gridSpan w:val="6"/>
          </w:tcPr>
          <w:p>
            <w:pPr>
              <w:ind w:left="60"/>
              <w:spacing w:after="0" w:line="139" w:lineRule="exact"/>
              <w:rPr>
                <w:sz w:val="20"/>
                <w:szCs w:val="20"/>
                <w:color w:val="auto"/>
              </w:rPr>
            </w:pPr>
            <w:r>
              <w:rPr>
                <w:rFonts w:ascii="Arial" w:cs="Arial" w:eastAsia="Arial" w:hAnsi="Arial"/>
                <w:sz w:val="15"/>
                <w:szCs w:val="15"/>
                <w:b w:val="1"/>
                <w:bCs w:val="1"/>
                <w:color w:val="auto"/>
              </w:rPr>
              <w:t>2017 Agreements and</w:t>
            </w:r>
          </w:p>
        </w:tc>
        <w:tc>
          <w:tcPr>
            <w:tcW w:w="100" w:type="dxa"/>
            <w:vAlign w:val="bottom"/>
          </w:tcPr>
          <w:p>
            <w:pPr>
              <w:spacing w:after="0"/>
              <w:rPr>
                <w:sz w:val="12"/>
                <w:szCs w:val="12"/>
                <w:color w:val="auto"/>
              </w:rPr>
            </w:pPr>
          </w:p>
        </w:tc>
        <w:tc>
          <w:tcPr>
            <w:tcW w:w="1380" w:type="dxa"/>
            <w:vAlign w:val="bottom"/>
            <w:gridSpan w:val="2"/>
            <w:vMerge w:val="restart"/>
          </w:tcPr>
          <w:p>
            <w:pPr>
              <w:jc w:val="right"/>
              <w:ind w:right="284"/>
              <w:spacing w:after="0"/>
              <w:rPr>
                <w:sz w:val="20"/>
                <w:szCs w:val="20"/>
                <w:color w:val="auto"/>
              </w:rPr>
            </w:pPr>
            <w:r>
              <w:rPr>
                <w:rFonts w:ascii="Arial" w:cs="Arial" w:eastAsia="Arial" w:hAnsi="Arial"/>
                <w:sz w:val="15"/>
                <w:szCs w:val="15"/>
                <w:b w:val="1"/>
                <w:bCs w:val="1"/>
                <w:color w:val="auto"/>
              </w:rPr>
              <w:t>PMC MSR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Financing Liability - MSRs Pledged</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4"/>
              <w:spacing w:after="0" w:line="148" w:lineRule="exact"/>
              <w:rPr>
                <w:sz w:val="20"/>
                <w:szCs w:val="20"/>
                <w:color w:val="auto"/>
              </w:rPr>
            </w:pPr>
            <w:r>
              <w:rPr>
                <w:rFonts w:ascii="Arial" w:cs="Arial" w:eastAsia="Arial" w:hAnsi="Arial"/>
                <w:sz w:val="15"/>
                <w:szCs w:val="15"/>
                <w:b w:val="1"/>
                <w:bCs w:val="1"/>
                <w:color w:val="auto"/>
              </w:rPr>
              <w:t>New RMSR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0"/>
              </w:rPr>
              <w:t>MSRs Agreements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5"/>
                <w:szCs w:val="15"/>
                <w:b w:val="1"/>
                <w:bCs w:val="1"/>
                <w:color w:val="auto"/>
                <w:w w:val="93"/>
              </w:rPr>
              <w:t>MSRs Agreements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Agreements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64"/>
              <w:spacing w:after="0"/>
              <w:rPr>
                <w:sz w:val="20"/>
                <w:szCs w:val="20"/>
                <w:color w:val="auto"/>
              </w:rPr>
            </w:pPr>
            <w:r>
              <w:rPr>
                <w:rFonts w:ascii="Arial" w:cs="Arial" w:eastAsia="Arial" w:hAnsi="Arial"/>
                <w:sz w:val="15"/>
                <w:szCs w:val="15"/>
                <w:b w:val="1"/>
                <w:bCs w:val="1"/>
                <w:color w:val="auto"/>
              </w:rPr>
              <w:t>Agreements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566,952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603,046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35,445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312,102</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950,593</w:t>
            </w:r>
          </w:p>
        </w:tc>
        <w:tc>
          <w:tcPr>
            <w:tcW w:w="0" w:type="dxa"/>
            <w:vAlign w:val="bottom"/>
          </w:tcPr>
          <w:p>
            <w:pPr>
              <w:spacing w:after="0"/>
              <w:rPr>
                <w:sz w:val="1"/>
                <w:szCs w:val="1"/>
                <w:color w:val="auto"/>
              </w:rPr>
            </w:pPr>
          </w:p>
        </w:tc>
      </w:tr>
      <w:tr>
        <w:trPr>
          <w:trHeight w:val="192"/>
        </w:trPr>
        <w:tc>
          <w:tcPr>
            <w:tcW w:w="3260" w:type="dxa"/>
            <w:vAlign w:val="bottom"/>
            <w:gridSpan w:val="2"/>
          </w:tcPr>
          <w:p>
            <w:pPr>
              <w:ind w:left="100"/>
              <w:spacing w:after="0"/>
              <w:rPr>
                <w:sz w:val="20"/>
                <w:szCs w:val="20"/>
                <w:color w:val="auto"/>
              </w:rPr>
            </w:pPr>
            <w:r>
              <w:rPr>
                <w:rFonts w:ascii="Arial" w:cs="Arial" w:eastAsia="Arial" w:hAnsi="Arial"/>
                <w:sz w:val="15"/>
                <w:szCs w:val="15"/>
                <w:color w:val="auto"/>
              </w:rPr>
              <w:t>Additions</w:t>
            </w:r>
          </w:p>
        </w:tc>
        <w:tc>
          <w:tcPr>
            <w:tcW w:w="1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Sales</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92"/>
        </w:trPr>
        <w:tc>
          <w:tcPr>
            <w:tcW w:w="3260" w:type="dxa"/>
            <w:vAlign w:val="bottom"/>
            <w:gridSpan w:val="2"/>
          </w:tcPr>
          <w:p>
            <w:pPr>
              <w:ind w:left="100"/>
              <w:spacing w:after="0"/>
              <w:rPr>
                <w:sz w:val="20"/>
                <w:szCs w:val="20"/>
                <w:color w:val="auto"/>
              </w:rPr>
            </w:pPr>
            <w:r>
              <w:rPr>
                <w:rFonts w:ascii="Arial" w:cs="Arial" w:eastAsia="Arial" w:hAnsi="Arial"/>
                <w:sz w:val="15"/>
                <w:szCs w:val="15"/>
                <w:color w:val="auto"/>
              </w:rPr>
              <w:t>Changes in fair value:</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 w:type="dxa"/>
            <w:vAlign w:val="bottom"/>
            <w:shd w:val="clear" w:color="auto" w:fill="CCEEFF"/>
          </w:tcPr>
          <w:p>
            <w:pPr>
              <w:spacing w:after="0"/>
              <w:rPr>
                <w:sz w:val="16"/>
                <w:szCs w:val="16"/>
                <w:color w:val="auto"/>
              </w:rPr>
            </w:pPr>
          </w:p>
        </w:tc>
        <w:tc>
          <w:tcPr>
            <w:tcW w:w="3120" w:type="dxa"/>
            <w:vAlign w:val="bottom"/>
            <w:shd w:val="clear" w:color="auto" w:fill="CCEEFF"/>
          </w:tcPr>
          <w:p>
            <w:pPr>
              <w:ind w:left="80"/>
              <w:spacing w:after="0"/>
              <w:rPr>
                <w:sz w:val="20"/>
                <w:szCs w:val="20"/>
                <w:color w:val="auto"/>
              </w:rPr>
            </w:pPr>
            <w:r>
              <w:rPr>
                <w:rFonts w:ascii="Arial" w:cs="Arial" w:eastAsia="Arial" w:hAnsi="Arial"/>
                <w:sz w:val="15"/>
                <w:szCs w:val="15"/>
                <w:color w:val="auto"/>
              </w:rPr>
              <w:t>Original Rights to MSRs Agreements (2)</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9,944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13,879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13,879</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120" w:type="dxa"/>
            <w:vAlign w:val="bottom"/>
          </w:tcPr>
          <w:p>
            <w:pPr>
              <w:ind w:left="80"/>
              <w:spacing w:after="0"/>
              <w:rPr>
                <w:sz w:val="20"/>
                <w:szCs w:val="20"/>
                <w:color w:val="auto"/>
              </w:rPr>
            </w:pPr>
            <w:r>
              <w:rPr>
                <w:rFonts w:ascii="Arial" w:cs="Arial" w:eastAsia="Arial" w:hAnsi="Arial"/>
                <w:sz w:val="15"/>
                <w:szCs w:val="15"/>
                <w:color w:val="auto"/>
                <w:w w:val="95"/>
              </w:rPr>
              <w:t>2017 Agreements and New RMSR Agreements</w:t>
            </w:r>
          </w:p>
        </w:tc>
        <w:tc>
          <w:tcPr>
            <w:tcW w:w="1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Arial" w:cs="Arial" w:eastAsia="Arial" w:hAnsi="Arial"/>
                <w:sz w:val="15"/>
                <w:szCs w:val="15"/>
                <w:color w:val="auto"/>
                <w:w w:val="87"/>
              </w:rPr>
              <w:t>903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903</w:t>
            </w:r>
          </w:p>
        </w:tc>
        <w:tc>
          <w:tcPr>
            <w:tcW w:w="0" w:type="dxa"/>
            <w:vAlign w:val="bottom"/>
          </w:tcPr>
          <w:p>
            <w:pPr>
              <w:spacing w:after="0"/>
              <w:rPr>
                <w:sz w:val="1"/>
                <w:szCs w:val="1"/>
                <w:color w:val="auto"/>
              </w:rPr>
            </w:pPr>
          </w:p>
        </w:tc>
      </w:tr>
      <w:tr>
        <w:trPr>
          <w:trHeight w:val="194"/>
        </w:trPr>
        <w:tc>
          <w:tcPr>
            <w:tcW w:w="140" w:type="dxa"/>
            <w:vAlign w:val="bottom"/>
            <w:shd w:val="clear" w:color="auto" w:fill="CCEEFF"/>
          </w:tcPr>
          <w:p>
            <w:pPr>
              <w:spacing w:after="0"/>
              <w:rPr>
                <w:sz w:val="16"/>
                <w:szCs w:val="16"/>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PMC MSR Agreements</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(40,720)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(40,720)</w:t>
            </w:r>
          </w:p>
        </w:tc>
        <w:tc>
          <w:tcPr>
            <w:tcW w:w="0" w:type="dxa"/>
            <w:vAlign w:val="bottom"/>
          </w:tcPr>
          <w:p>
            <w:pPr>
              <w:spacing w:after="0"/>
              <w:rPr>
                <w:sz w:val="1"/>
                <w:szCs w:val="1"/>
                <w:color w:val="auto"/>
              </w:rPr>
            </w:pPr>
          </w:p>
        </w:tc>
      </w:tr>
      <w:tr>
        <w:trPr>
          <w:trHeight w:val="192"/>
        </w:trPr>
        <w:tc>
          <w:tcPr>
            <w:tcW w:w="3260" w:type="dxa"/>
            <w:vAlign w:val="bottom"/>
            <w:gridSpan w:val="2"/>
          </w:tcPr>
          <w:p>
            <w:pPr>
              <w:ind w:left="100"/>
              <w:spacing w:after="0"/>
              <w:rPr>
                <w:sz w:val="20"/>
                <w:szCs w:val="20"/>
                <w:color w:val="auto"/>
              </w:rPr>
            </w:pPr>
            <w:r>
              <w:rPr>
                <w:rFonts w:ascii="Arial" w:cs="Arial" w:eastAsia="Arial" w:hAnsi="Arial"/>
                <w:sz w:val="15"/>
                <w:szCs w:val="15"/>
                <w:color w:val="auto"/>
              </w:rPr>
              <w:t>Runoff and settlement:</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Original Rights to MSRs Agreements (2)</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(38,526)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(31,699)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(31,699)</w:t>
            </w:r>
          </w:p>
        </w:tc>
        <w:tc>
          <w:tcPr>
            <w:tcW w:w="0" w:type="dxa"/>
            <w:vAlign w:val="bottom"/>
          </w:tcPr>
          <w:p>
            <w:pPr>
              <w:spacing w:after="0"/>
              <w:rPr>
                <w:sz w:val="1"/>
                <w:szCs w:val="1"/>
                <w:color w:val="auto"/>
              </w:rPr>
            </w:pPr>
          </w:p>
        </w:tc>
      </w:tr>
      <w:tr>
        <w:trPr>
          <w:trHeight w:val="192"/>
        </w:trPr>
        <w:tc>
          <w:tcPr>
            <w:tcW w:w="3260" w:type="dxa"/>
            <w:vAlign w:val="bottom"/>
            <w:gridSpan w:val="2"/>
          </w:tcPr>
          <w:p>
            <w:pPr>
              <w:ind w:left="120"/>
              <w:spacing w:after="0"/>
              <w:rPr>
                <w:sz w:val="20"/>
                <w:szCs w:val="20"/>
                <w:color w:val="auto"/>
              </w:rPr>
            </w:pPr>
            <w:r>
              <w:rPr>
                <w:rFonts w:ascii="Arial" w:cs="Arial" w:eastAsia="Arial" w:hAnsi="Arial"/>
                <w:sz w:val="15"/>
                <w:szCs w:val="15"/>
                <w:color w:val="auto"/>
                <w:w w:val="98"/>
              </w:rPr>
              <w:t>2017 Agreements and New RMSR Agreements</w:t>
            </w:r>
          </w:p>
        </w:tc>
        <w:tc>
          <w:tcPr>
            <w:tcW w:w="1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Arial" w:cs="Arial" w:eastAsia="Arial" w:hAnsi="Arial"/>
                <w:sz w:val="15"/>
                <w:szCs w:val="15"/>
                <w:color w:val="auto"/>
              </w:rPr>
              <w:t>(35,121)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(35,121)</w:t>
            </w:r>
          </w:p>
        </w:tc>
        <w:tc>
          <w:tcPr>
            <w:tcW w:w="0" w:type="dxa"/>
            <w:vAlign w:val="bottom"/>
          </w:tcPr>
          <w:p>
            <w:pPr>
              <w:spacing w:after="0"/>
              <w:rPr>
                <w:sz w:val="1"/>
                <w:szCs w:val="1"/>
                <w:color w:val="auto"/>
              </w:rPr>
            </w:pPr>
          </w:p>
        </w:tc>
      </w:tr>
      <w:tr>
        <w:trPr>
          <w:trHeight w:val="194"/>
        </w:trPr>
        <w:tc>
          <w:tcPr>
            <w:tcW w:w="140" w:type="dxa"/>
            <w:vAlign w:val="bottom"/>
            <w:shd w:val="clear" w:color="auto" w:fill="CCEEFF"/>
          </w:tcPr>
          <w:p>
            <w:pPr>
              <w:spacing w:after="0"/>
              <w:rPr>
                <w:sz w:val="16"/>
                <w:szCs w:val="16"/>
                <w:color w:val="auto"/>
              </w:rPr>
            </w:pPr>
          </w:p>
        </w:tc>
        <w:tc>
          <w:tcPr>
            <w:tcW w:w="3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PMC MSR Agreements</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(7,492)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(7,492)</w:t>
            </w:r>
          </w:p>
        </w:tc>
        <w:tc>
          <w:tcPr>
            <w:tcW w:w="0" w:type="dxa"/>
            <w:vAlign w:val="bottom"/>
          </w:tcPr>
          <w:p>
            <w:pPr>
              <w:spacing w:after="0"/>
              <w:rPr>
                <w:sz w:val="1"/>
                <w:szCs w:val="1"/>
                <w:color w:val="auto"/>
              </w:rPr>
            </w:pPr>
          </w:p>
        </w:tc>
      </w:tr>
      <w:tr>
        <w:trPr>
          <w:trHeight w:val="148"/>
        </w:trPr>
        <w:tc>
          <w:tcPr>
            <w:tcW w:w="3260" w:type="dxa"/>
            <w:vAlign w:val="bottom"/>
            <w:gridSpan w:val="2"/>
          </w:tcPr>
          <w:p>
            <w:pPr>
              <w:ind w:left="100"/>
              <w:spacing w:after="0" w:line="149" w:lineRule="exact"/>
              <w:rPr>
                <w:sz w:val="20"/>
                <w:szCs w:val="20"/>
                <w:color w:val="auto"/>
              </w:rPr>
            </w:pPr>
            <w:r>
              <w:rPr>
                <w:rFonts w:ascii="Arial" w:cs="Arial" w:eastAsia="Arial" w:hAnsi="Arial"/>
                <w:sz w:val="15"/>
                <w:szCs w:val="15"/>
                <w:color w:val="auto"/>
                <w:w w:val="98"/>
              </w:rPr>
              <w:t>Derecognition of Pledged MSR financing liability</w:t>
            </w:r>
          </w:p>
        </w:tc>
        <w:tc>
          <w:tcPr>
            <w:tcW w:w="120" w:type="dxa"/>
            <w:vAlign w:val="bottom"/>
          </w:tcPr>
          <w:p>
            <w:pPr>
              <w:spacing w:after="0"/>
              <w:rPr>
                <w:sz w:val="12"/>
                <w:szCs w:val="12"/>
                <w:color w:val="auto"/>
              </w:rPr>
            </w:pP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5"/>
                <w:szCs w:val="15"/>
                <w:color w:val="auto"/>
              </w:rPr>
              <w:t>(263,664)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(263,664)</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3120" w:type="dxa"/>
            <w:vAlign w:val="bottom"/>
          </w:tcPr>
          <w:p>
            <w:pPr>
              <w:ind w:left="100"/>
              <w:spacing w:after="0"/>
              <w:rPr>
                <w:sz w:val="20"/>
                <w:szCs w:val="20"/>
                <w:color w:val="auto"/>
              </w:rPr>
            </w:pPr>
            <w:r>
              <w:rPr>
                <w:rFonts w:ascii="Arial" w:cs="Arial" w:eastAsia="Arial" w:hAnsi="Arial"/>
                <w:sz w:val="15"/>
                <w:szCs w:val="15"/>
                <w:color w:val="auto"/>
              </w:rPr>
              <w:t>due to termination of PMC MSR Agreements</w:t>
            </w: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Calls (1):</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gridSpan w:val="2"/>
          </w:tcPr>
          <w:p>
            <w:pPr>
              <w:ind w:left="120"/>
              <w:spacing w:after="0"/>
              <w:rPr>
                <w:sz w:val="20"/>
                <w:szCs w:val="20"/>
                <w:color w:val="auto"/>
              </w:rPr>
            </w:pPr>
            <w:r>
              <w:rPr>
                <w:rFonts w:ascii="Arial" w:cs="Arial" w:eastAsia="Arial" w:hAnsi="Arial"/>
                <w:sz w:val="15"/>
                <w:szCs w:val="15"/>
                <w:color w:val="auto"/>
              </w:rPr>
              <w:t>Original Rights to MSRs Agreements</w:t>
            </w:r>
          </w:p>
        </w:tc>
        <w:tc>
          <w:tcPr>
            <w:tcW w:w="12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5"/>
                <w:szCs w:val="15"/>
                <w:color w:val="auto"/>
              </w:rPr>
              <w:t>(2,799)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5"/>
                <w:szCs w:val="15"/>
                <w:color w:val="auto"/>
              </w:rPr>
              <w:t>(2,668)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(2,668)</w:t>
            </w:r>
          </w:p>
        </w:tc>
        <w:tc>
          <w:tcPr>
            <w:tcW w:w="0" w:type="dxa"/>
            <w:vAlign w:val="bottom"/>
          </w:tcPr>
          <w:p>
            <w:pPr>
              <w:spacing w:after="0"/>
              <w:rPr>
                <w:sz w:val="1"/>
                <w:szCs w:val="1"/>
                <w:color w:val="auto"/>
              </w:rPr>
            </w:pPr>
          </w:p>
        </w:tc>
      </w:tr>
      <w:tr>
        <w:trPr>
          <w:trHeight w:val="193"/>
        </w:trPr>
        <w:tc>
          <w:tcPr>
            <w:tcW w:w="3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8"/>
              </w:rPr>
              <w:t>2017 Agreements and New RMSR Agreements</w:t>
            </w: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(1,227)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(1,227)</w:t>
            </w:r>
          </w:p>
        </w:tc>
        <w:tc>
          <w:tcPr>
            <w:tcW w:w="0" w:type="dxa"/>
            <w:vAlign w:val="bottom"/>
          </w:tcPr>
          <w:p>
            <w:pPr>
              <w:spacing w:after="0"/>
              <w:rPr>
                <w:sz w:val="1"/>
                <w:szCs w:val="1"/>
                <w:color w:val="auto"/>
              </w:rPr>
            </w:pPr>
          </w:p>
        </w:tc>
      </w:tr>
      <w:tr>
        <w:trPr>
          <w:trHeight w:val="185"/>
        </w:trPr>
        <w:tc>
          <w:tcPr>
            <w:tcW w:w="3260" w:type="dxa"/>
            <w:vAlign w:val="bottom"/>
            <w:gridSpan w:val="2"/>
          </w:tcPr>
          <w:p>
            <w:pPr>
              <w:spacing w:after="0"/>
              <w:rPr>
                <w:sz w:val="20"/>
                <w:szCs w:val="20"/>
                <w:color w:val="auto"/>
              </w:rPr>
            </w:pPr>
            <w:r>
              <w:rPr>
                <w:rFonts w:ascii="Arial" w:cs="Arial" w:eastAsia="Arial" w:hAnsi="Arial"/>
                <w:sz w:val="15"/>
                <w:szCs w:val="15"/>
                <w:b w:val="1"/>
                <w:bCs w:val="1"/>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535,571</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4"/>
          </w:tcPr>
          <w:p>
            <w:pPr>
              <w:jc w:val="right"/>
              <w:ind w:right="60"/>
              <w:spacing w:after="0"/>
              <w:rPr>
                <w:sz w:val="20"/>
                <w:szCs w:val="20"/>
                <w:color w:val="auto"/>
              </w:rPr>
            </w:pPr>
            <w:r>
              <w:rPr>
                <w:rFonts w:ascii="Arial" w:cs="Arial" w:eastAsia="Arial" w:hAnsi="Arial"/>
                <w:sz w:val="15"/>
                <w:szCs w:val="15"/>
                <w:color w:val="auto"/>
              </w:rPr>
              <w:t>582,558</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582,558</w:t>
            </w: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9" w:hanging="269"/>
        <w:spacing w:after="0" w:line="245" w:lineRule="auto"/>
        <w:tabs>
          <w:tab w:leader="none" w:pos="269"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carrying value of MSRs in connection with call rights exercised by NRZ, for MSRs transferred to NRZ under the 2017 Agreements and New RMSR Agreements (each as defined below), or by Ocwen at NRZ’s direction, for MSRs underlying the Original Rights to MSRs Agreements (as defined below). Ocwen derecognizes the MSRs and the related financing liability upon collapse of the securitization.</w:t>
      </w:r>
    </w:p>
    <w:p>
      <w:pPr>
        <w:spacing w:after="0" w:line="28" w:lineRule="exact"/>
        <w:rPr>
          <w:rFonts w:ascii="Arial" w:cs="Arial" w:eastAsia="Arial" w:hAnsi="Arial"/>
          <w:sz w:val="14"/>
          <w:szCs w:val="14"/>
          <w:color w:val="auto"/>
        </w:rPr>
      </w:pPr>
    </w:p>
    <w:p>
      <w:pPr>
        <w:ind w:left="269" w:right="20" w:hanging="269"/>
        <w:spacing w:after="0" w:line="255" w:lineRule="auto"/>
        <w:tabs>
          <w:tab w:leader="none" w:pos="269" w:val="left"/>
        </w:tabs>
        <w:numPr>
          <w:ilvl w:val="0"/>
          <w:numId w:val="13"/>
        </w:numPr>
        <w:rPr>
          <w:rFonts w:ascii="Arial" w:cs="Arial" w:eastAsia="Arial" w:hAnsi="Arial"/>
          <w:sz w:val="14"/>
          <w:szCs w:val="14"/>
          <w:color w:val="auto"/>
        </w:rPr>
      </w:pPr>
      <w:r>
        <w:rPr>
          <w:rFonts w:ascii="Arial" w:cs="Arial" w:eastAsia="Arial" w:hAnsi="Arial"/>
          <w:sz w:val="14"/>
          <w:szCs w:val="14"/>
          <w:color w:val="auto"/>
        </w:rPr>
        <w:t>Effective January 1, 2021, changes in fair value due to actual vs. model variances are presented as Changes in valuation inputs or assumptions. Activity for the three and six months ended June 30, 2020 in the table above has been recast to conform to current year</w:t>
      </w:r>
    </w:p>
    <w:p>
      <w:pPr>
        <w:spacing w:after="0" w:line="200" w:lineRule="exact"/>
        <w:rPr>
          <w:sz w:val="20"/>
          <w:szCs w:val="20"/>
          <w:color w:val="auto"/>
        </w:rPr>
      </w:pPr>
    </w:p>
    <w:p>
      <w:pPr>
        <w:spacing w:after="0" w:line="23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930"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3"/>
        </w:trPr>
        <w:tc>
          <w:tcPr>
            <w:tcW w:w="8120" w:type="dxa"/>
            <w:vAlign w:val="bottom"/>
          </w:tcPr>
          <w:p>
            <w:pPr>
              <w:ind w:left="260"/>
              <w:spacing w:after="0"/>
              <w:rPr>
                <w:sz w:val="20"/>
                <w:szCs w:val="20"/>
                <w:color w:val="auto"/>
              </w:rPr>
            </w:pPr>
            <w:r>
              <w:rPr>
                <w:rFonts w:ascii="Arial" w:cs="Arial" w:eastAsia="Arial" w:hAnsi="Arial"/>
                <w:sz w:val="14"/>
                <w:szCs w:val="14"/>
                <w:color w:val="auto"/>
                <w:w w:val="91"/>
              </w:rPr>
              <w:t>disclosure, resulting in losses of $7.8 million and $5.8 million, respectively, reclassified from Runoff and settlement to Changes in fair value.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469"/>
        </w:trPr>
        <w:tc>
          <w:tcPr>
            <w:tcW w:w="8120" w:type="dxa"/>
            <w:vAlign w:val="bottom"/>
          </w:tcPr>
          <w:p>
            <w:pPr>
              <w:ind w:left="260"/>
              <w:spacing w:after="0"/>
              <w:rPr>
                <w:sz w:val="20"/>
                <w:szCs w:val="20"/>
                <w:color w:val="auto"/>
              </w:rPr>
            </w:pPr>
            <w:r>
              <w:rPr>
                <w:rFonts w:ascii="Arial" w:cs="Arial" w:eastAsia="Arial" w:hAnsi="Arial"/>
                <w:sz w:val="15"/>
                <w:szCs w:val="15"/>
                <w:color w:val="auto"/>
              </w:rPr>
              <w:t>The UPB of loans serviced on behalf of NRZ comprised the following:</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07"/>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24"/>
                <w:szCs w:val="24"/>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b w:val="1"/>
                <w:bCs w:val="1"/>
                <w:color w:val="auto"/>
                <w:w w:val="91"/>
              </w:rPr>
              <w:t>December 31, 2020</w:t>
            </w:r>
          </w:p>
        </w:tc>
      </w:tr>
      <w:tr>
        <w:trPr>
          <w:trHeight w:val="185"/>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Ocwen servicer of record (MSR title retained by Ocwen) - Ocwen MSR (1) (2)</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13,145,240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14,114,602</w:t>
            </w:r>
          </w:p>
        </w:tc>
      </w:tr>
      <w:tr>
        <w:trPr>
          <w:trHeight w:val="192"/>
        </w:trPr>
        <w:tc>
          <w:tcPr>
            <w:tcW w:w="8120" w:type="dxa"/>
            <w:vAlign w:val="bottom"/>
          </w:tcPr>
          <w:p>
            <w:pPr>
              <w:spacing w:after="0"/>
              <w:rPr>
                <w:sz w:val="20"/>
                <w:szCs w:val="20"/>
                <w:color w:val="auto"/>
              </w:rPr>
            </w:pPr>
            <w:r>
              <w:rPr>
                <w:rFonts w:ascii="Arial" w:cs="Arial" w:eastAsia="Arial" w:hAnsi="Arial"/>
                <w:sz w:val="15"/>
                <w:szCs w:val="15"/>
                <w:color w:val="auto"/>
              </w:rPr>
              <w:t>NRZ servicer of record (MSR title transferred to NRZ) - Ocwen MSR (1)</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45,879,500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49,866,082</w:t>
            </w:r>
          </w:p>
        </w:tc>
      </w:tr>
      <w:tr>
        <w:trPr>
          <w:trHeight w:val="193"/>
        </w:trPr>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Ocwen subservicer</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2,366,544</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3,130,704</w:t>
            </w:r>
          </w:p>
        </w:tc>
      </w:tr>
      <w:tr>
        <w:trPr>
          <w:trHeight w:val="185"/>
        </w:trPr>
        <w:tc>
          <w:tcPr>
            <w:tcW w:w="8120" w:type="dxa"/>
            <w:vAlign w:val="bottom"/>
          </w:tcPr>
          <w:p>
            <w:pPr>
              <w:ind w:left="100"/>
              <w:spacing w:after="0"/>
              <w:rPr>
                <w:sz w:val="20"/>
                <w:szCs w:val="20"/>
                <w:color w:val="auto"/>
              </w:rPr>
            </w:pPr>
            <w:r>
              <w:rPr>
                <w:rFonts w:ascii="Arial" w:cs="Arial" w:eastAsia="Arial" w:hAnsi="Arial"/>
                <w:sz w:val="15"/>
                <w:szCs w:val="15"/>
                <w:color w:val="auto"/>
              </w:rPr>
              <w:t>Total NRZ UPB</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61,391,284</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67,111,388</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MSR sale transactions did not achieve sale accounting treatment.</w:t>
      </w:r>
    </w:p>
    <w:p>
      <w:pPr>
        <w:spacing w:after="0" w:line="1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2"/>
          <w:szCs w:val="12"/>
          <w:color w:val="auto"/>
        </w:rPr>
        <w:t>NRZ’s associated outstanding servicing advances were approximately $486.6 million as of June 30, 2021.</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Ocwen Transactions</w:t>
      </w:r>
    </w:p>
    <w:p>
      <w:pPr>
        <w:spacing w:after="0" w:line="104" w:lineRule="exact"/>
        <w:rPr>
          <w:sz w:val="20"/>
          <w:szCs w:val="20"/>
          <w:color w:val="auto"/>
        </w:rPr>
      </w:pPr>
    </w:p>
    <w:p>
      <w:pPr>
        <w:ind w:right="220" w:firstLine="272"/>
        <w:spacing w:after="0" w:line="261" w:lineRule="auto"/>
        <w:rPr>
          <w:sz w:val="20"/>
          <w:szCs w:val="20"/>
          <w:color w:val="auto"/>
        </w:rPr>
      </w:pPr>
      <w:r>
        <w:rPr>
          <w:rFonts w:ascii="Arial" w:cs="Arial" w:eastAsia="Arial" w:hAnsi="Arial"/>
          <w:sz w:val="15"/>
          <w:szCs w:val="15"/>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67" w:lineRule="exact"/>
        <w:rPr>
          <w:sz w:val="20"/>
          <w:szCs w:val="20"/>
          <w:color w:val="auto"/>
        </w:rPr>
      </w:pPr>
    </w:p>
    <w:p>
      <w:pPr>
        <w:ind w:right="60" w:firstLine="272"/>
        <w:spacing w:after="0" w:line="257" w:lineRule="auto"/>
        <w:rPr>
          <w:sz w:val="20"/>
          <w:szCs w:val="20"/>
          <w:color w:val="auto"/>
        </w:rPr>
      </w:pPr>
      <w:r>
        <w:rPr>
          <w:rFonts w:ascii="Arial" w:cs="Arial" w:eastAsia="Arial" w:hAnsi="Arial"/>
          <w:sz w:val="15"/>
          <w:szCs w:val="15"/>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July 2022 (the Initial Term).</w:t>
      </w:r>
    </w:p>
    <w:p>
      <w:pPr>
        <w:spacing w:after="0" w:line="72" w:lineRule="exact"/>
        <w:rPr>
          <w:sz w:val="20"/>
          <w:szCs w:val="20"/>
          <w:color w:val="auto"/>
        </w:rPr>
      </w:pPr>
    </w:p>
    <w:p>
      <w:pPr>
        <w:ind w:firstLine="272"/>
        <w:spacing w:after="0" w:line="258" w:lineRule="auto"/>
        <w:rPr>
          <w:sz w:val="20"/>
          <w:szCs w:val="20"/>
          <w:color w:val="auto"/>
        </w:rPr>
      </w:pPr>
      <w:r>
        <w:rPr>
          <w:rFonts w:ascii="Arial" w:cs="Arial" w:eastAsia="Arial" w:hAnsi="Arial"/>
          <w:sz w:val="15"/>
          <w:szCs w:val="15"/>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71" w:lineRule="exact"/>
        <w:rPr>
          <w:sz w:val="20"/>
          <w:szCs w:val="20"/>
          <w:color w:val="auto"/>
        </w:rPr>
      </w:pPr>
    </w:p>
    <w:p>
      <w:pPr>
        <w:ind w:right="100" w:firstLine="272"/>
        <w:spacing w:after="0" w:line="258" w:lineRule="auto"/>
        <w:rPr>
          <w:sz w:val="20"/>
          <w:szCs w:val="20"/>
          <w:color w:val="auto"/>
        </w:rPr>
      </w:pPr>
      <w:r>
        <w:rPr>
          <w:rFonts w:ascii="Arial" w:cs="Arial" w:eastAsia="Arial" w:hAnsi="Arial"/>
          <w:sz w:val="15"/>
          <w:szCs w:val="15"/>
          <w:color w:val="auto"/>
        </w:rPr>
        <w:t>Ocwen received lump-sum cash payments of $54.6 million and $279.6 million in September 2017 and January 2018 in accordance with the terms of the 2017 Agreements and New RMSR Agreements, respectively. These upfront payments generally represented the net present value of the difference between the future revenue stream Ocwen would have received under the Original Rights to MSRs Agreements and the future revenue stream Ocwen expected to receive under the 2017 Agreements and the New RMSR Agreements. We recognized the cash received as a financing liability that we accounted for at fair value through the term of the original agreements (April 2020). Changes in fair value were recognized in Pledged MSR liability expense in the unaudited consolidated statements of operations.</w:t>
      </w:r>
    </w:p>
    <w:p>
      <w:pPr>
        <w:spacing w:after="0" w:line="71" w:lineRule="exact"/>
        <w:rPr>
          <w:sz w:val="20"/>
          <w:szCs w:val="20"/>
          <w:color w:val="auto"/>
        </w:rPr>
      </w:pPr>
    </w:p>
    <w:p>
      <w:pPr>
        <w:ind w:right="80" w:firstLine="272"/>
        <w:spacing w:after="0" w:line="313" w:lineRule="auto"/>
        <w:rPr>
          <w:sz w:val="20"/>
          <w:szCs w:val="20"/>
          <w:color w:val="auto"/>
        </w:rPr>
      </w:pPr>
      <w:r>
        <w:rPr>
          <w:rFonts w:ascii="Arial" w:cs="Arial" w:eastAsia="Arial" w:hAnsi="Arial"/>
          <w:sz w:val="13"/>
          <w:szCs w:val="13"/>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37" w:lineRule="exact"/>
        <w:rPr>
          <w:sz w:val="20"/>
          <w:szCs w:val="20"/>
          <w:color w:val="auto"/>
        </w:rPr>
      </w:pPr>
    </w:p>
    <w:p>
      <w:pPr>
        <w:ind w:right="160" w:firstLine="272"/>
        <w:spacing w:after="0" w:line="265" w:lineRule="auto"/>
        <w:rPr>
          <w:sz w:val="20"/>
          <w:szCs w:val="20"/>
          <w:color w:val="auto"/>
        </w:rPr>
      </w:pPr>
      <w:r>
        <w:rPr>
          <w:rFonts w:ascii="Arial" w:cs="Arial" w:eastAsia="Arial" w:hAnsi="Arial"/>
          <w:sz w:val="15"/>
          <w:szCs w:val="15"/>
          <w:color w:val="auto"/>
        </w:rPr>
        <w:t>At any time during the Initial Term, NRZ may terminate the Subservicing Agreements and Servicing Addendum for convenience, subject to Ocwen’s right to receive a termination fee and 180 days’ notice. The termination fee is calculated as specified in the Subservicing Agreements and Servicing Addendum, and is a discounted percentage of the expected revenues that would be owed to Ocwen over the remaining contract term based on certain portfolio run-off assumptions.</w:t>
      </w:r>
    </w:p>
    <w:p>
      <w:pPr>
        <w:spacing w:after="0" w:line="53" w:lineRule="exact"/>
        <w:rPr>
          <w:sz w:val="20"/>
          <w:szCs w:val="20"/>
          <w:color w:val="auto"/>
        </w:rPr>
      </w:pPr>
    </w:p>
    <w:p>
      <w:pPr>
        <w:ind w:right="60" w:firstLine="272"/>
        <w:spacing w:after="0" w:line="235" w:lineRule="auto"/>
        <w:rPr>
          <w:sz w:val="20"/>
          <w:szCs w:val="20"/>
          <w:color w:val="auto"/>
        </w:rPr>
      </w:pPr>
      <w:r>
        <w:rPr>
          <w:rFonts w:ascii="Arial" w:cs="Arial" w:eastAsia="Arial" w:hAnsi="Arial"/>
          <w:sz w:val="15"/>
          <w:szCs w:val="15"/>
          <w:color w:val="auto"/>
        </w:rPr>
        <w:t>Following the Initial Term, NRZ may extend the term of the Subservicing Agreements and Servicing Addendum for additional three-month periods by providing proper notice. In addition, the Subservicing Agreements and Servicing Addendum may be terminated by Ocwen without cause on an annual basis (in effect a non-renewal) by providing at least 225 days’ notice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23" w:right="319" w:bottom="1440" w:gutter="0" w:footer="0" w:header="0"/>
        </w:sectPr>
      </w:pPr>
    </w:p>
    <w:bookmarkStart w:id="30" w:name="page31"/>
    <w:bookmarkEnd w:id="30"/>
    <w:p>
      <w:pPr>
        <w:ind w:right="120"/>
        <w:spacing w:after="0" w:line="251" w:lineRule="auto"/>
        <w:rPr>
          <w:sz w:val="20"/>
          <w:szCs w:val="20"/>
          <w:color w:val="auto"/>
        </w:rPr>
      </w:pPr>
      <w:r>
        <w:rPr>
          <w:rFonts w:ascii="Arial" w:cs="Arial" w:eastAsia="Arial" w:hAnsi="Arial"/>
          <w:sz w:val="14"/>
          <w:szCs w:val="14"/>
          <w:color w:val="auto"/>
        </w:rPr>
        <w:t>in advance of the last day of the Initial Term or the last day of each one-year extension of the applicable terms after the Initial Term. 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64" w:lineRule="exact"/>
        <w:rPr>
          <w:sz w:val="20"/>
          <w:szCs w:val="20"/>
          <w:color w:val="auto"/>
        </w:rPr>
      </w:pPr>
    </w:p>
    <w:p>
      <w:pPr>
        <w:ind w:right="60" w:firstLine="272"/>
        <w:spacing w:after="0" w:line="296" w:lineRule="auto"/>
        <w:rPr>
          <w:sz w:val="20"/>
          <w:szCs w:val="20"/>
          <w:color w:val="auto"/>
        </w:rPr>
      </w:pPr>
      <w:r>
        <w:rPr>
          <w:rFonts w:ascii="Arial" w:cs="Arial" w:eastAsia="Arial" w:hAnsi="Arial"/>
          <w:sz w:val="13"/>
          <w:szCs w:val="13"/>
          <w:color w:val="auto"/>
        </w:rPr>
        <w:t>Under the terms of the Subservicing Agreements and Servicing Addendum, in addition to a base servicing fee, Ocwen receives certain ancillary fees, primarily late fees, loan modification fees and convenience or Speedpay</w:t>
      </w:r>
      <w:r>
        <w:rPr>
          <w:rFonts w:ascii="Arial" w:cs="Arial" w:eastAsia="Arial" w:hAnsi="Arial"/>
          <w:sz w:val="16"/>
          <w:szCs w:val="16"/>
          <w:color w:val="auto"/>
          <w:vertAlign w:val="superscript"/>
        </w:rPr>
        <w:t>®</w:t>
      </w:r>
      <w:r>
        <w:rPr>
          <w:rFonts w:ascii="Arial" w:cs="Arial" w:eastAsia="Arial" w:hAnsi="Arial"/>
          <w:sz w:val="13"/>
          <w:szCs w:val="13"/>
          <w:color w:val="auto"/>
        </w:rPr>
        <w:t xml:space="preserve">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40" w:lineRule="exact"/>
        <w:rPr>
          <w:sz w:val="20"/>
          <w:szCs w:val="20"/>
          <w:color w:val="auto"/>
        </w:rPr>
      </w:pPr>
    </w:p>
    <w:p>
      <w:pPr>
        <w:ind w:firstLine="272"/>
        <w:spacing w:after="0" w:line="257" w:lineRule="auto"/>
        <w:rPr>
          <w:sz w:val="20"/>
          <w:szCs w:val="20"/>
          <w:color w:val="auto"/>
        </w:rPr>
      </w:pPr>
      <w:r>
        <w:rPr>
          <w:rFonts w:ascii="Arial" w:cs="Arial" w:eastAsia="Arial" w:hAnsi="Arial"/>
          <w:sz w:val="15"/>
          <w:szCs w:val="15"/>
          <w:color w:val="auto"/>
        </w:rPr>
        <w:t>As of June 30, 2021, the UPB of MSRs subject to the Servicing Agreements and the New RMSR Agreements is $61.4 billion, including $13.1 billion for which title has not transferred to NRZ. As the third-party consents required for title to the MSRs to transfer were not obtained by May 31, 2019, the New RMSR Agreements set forth a process under which NRZ’s $13.1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72" w:lineRule="exact"/>
        <w:rPr>
          <w:sz w:val="20"/>
          <w:szCs w:val="20"/>
          <w:color w:val="auto"/>
        </w:rPr>
      </w:pPr>
    </w:p>
    <w:p>
      <w:pPr>
        <w:ind w:right="20" w:firstLine="272"/>
        <w:spacing w:after="0" w:line="276" w:lineRule="auto"/>
        <w:rPr>
          <w:sz w:val="20"/>
          <w:szCs w:val="20"/>
          <w:color w:val="auto"/>
        </w:rPr>
      </w:pPr>
      <w:r>
        <w:rPr>
          <w:rFonts w:ascii="Arial" w:cs="Arial" w:eastAsia="Arial" w:hAnsi="Arial"/>
          <w:sz w:val="14"/>
          <w:szCs w:val="14"/>
          <w:color w:val="auto"/>
        </w:rPr>
        <w:t>In addition, as noted above, during the Initial Term, NRZ has the right to terminate the $13.1 billion New RMSR Agreements for convenience, in whole but not in part, subject to payment of a termination fee and 180 days’ notice. If NRZ exercises this termination right, NRZ has the option of seeking (i) 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PMC Transactions</w:t>
      </w:r>
    </w:p>
    <w:p>
      <w:pPr>
        <w:spacing w:after="0" w:line="104" w:lineRule="exact"/>
        <w:rPr>
          <w:sz w:val="20"/>
          <w:szCs w:val="20"/>
          <w:color w:val="auto"/>
        </w:rPr>
      </w:pPr>
    </w:p>
    <w:p>
      <w:pPr>
        <w:ind w:right="80" w:firstLine="272"/>
        <w:spacing w:after="0" w:line="285" w:lineRule="auto"/>
        <w:rPr>
          <w:sz w:val="20"/>
          <w:szCs w:val="20"/>
          <w:color w:val="auto"/>
        </w:rPr>
      </w:pPr>
      <w:r>
        <w:rPr>
          <w:rFonts w:ascii="Arial" w:cs="Arial" w:eastAsia="Arial" w:hAnsi="Arial"/>
          <w:sz w:val="14"/>
          <w:szCs w:val="14"/>
          <w:color w:val="auto"/>
        </w:rPr>
        <w:t>On December 28, 2016, PMC entered into an agreement to sell substantially all of its MSRs, and the related servicing advances, to NRM (the 2016 PMC Sale Agreement). In connection with this agreement, on December 28, 2016, PMC also entered into a subservicing agreement with NRZ which was subsequently amended and restated as of March 29, 2019 (together with the 2016 PMC Sale Agreement, the PMC MSR Agreements). The PMC subservicing agreement had an initial term of three years from the initial transaction date of June 16, 2017, subject to certain transfer and termination provisions. The MSR sale transaction did not originally achieve sale accounting treatment.</w:t>
      </w:r>
    </w:p>
    <w:p>
      <w:pPr>
        <w:spacing w:after="0" w:line="52" w:lineRule="exact"/>
        <w:rPr>
          <w:sz w:val="20"/>
          <w:szCs w:val="20"/>
          <w:color w:val="auto"/>
        </w:rPr>
      </w:pPr>
    </w:p>
    <w:p>
      <w:pPr>
        <w:ind w:right="20" w:firstLine="272"/>
        <w:spacing w:after="0" w:line="279" w:lineRule="auto"/>
        <w:rPr>
          <w:sz w:val="20"/>
          <w:szCs w:val="20"/>
          <w:color w:val="auto"/>
        </w:rPr>
      </w:pPr>
      <w:r>
        <w:rPr>
          <w:rFonts w:ascii="Arial" w:cs="Arial" w:eastAsia="Arial" w:hAnsi="Arial"/>
          <w:sz w:val="14"/>
          <w:szCs w:val="14"/>
          <w:color w:val="auto"/>
        </w:rPr>
        <w:t>On February 20, 2020, we received a notice of termination from NRZ with respect to the PMC servicing agreement. This termination was for convenience and not for cause, and provided for loan deboarding fees to be paid by NRZ. As the sale accounting criteria were met upon the notice of termination, the MSRs and the Rights to MSRs were derecognized from our balance sheet on February 20, 2020 without any gain or loss on derecognition. We serviced these loans until deboarding in October 2020 representing $34.2 billion of UPB, and accounted for them as a subservicing relationship. Accordingly, we recognized subservicing fees associated with the subservicing agreement subsequent to February 20, 2020 and have not reported any servicing fees collected on behalf of, and remitted to NRZ, any change in fair value, runoff and settlement in financing liability thereafter. On September 1, 2020, 133,718 loans representing $18.2 billion of UPB were deboarded and the remaining 136,500 loans representing $16.0 billion of UPB were deboarded on October 1, 2020.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64" w:right="319" w:bottom="1440" w:gutter="0" w:footer="0" w:header="0"/>
        </w:sectPr>
      </w:pPr>
    </w:p>
    <w:bookmarkStart w:id="31" w:name="page32"/>
    <w:bookmarkEnd w:id="31"/>
    <w:p>
      <w:pPr>
        <w:ind w:left="120"/>
        <w:spacing w:after="0"/>
        <w:rPr>
          <w:sz w:val="20"/>
          <w:szCs w:val="20"/>
          <w:color w:val="auto"/>
        </w:rPr>
      </w:pPr>
      <w:r>
        <w:rPr>
          <w:rFonts w:ascii="Arial" w:cs="Arial" w:eastAsia="Arial" w:hAnsi="Arial"/>
          <w:sz w:val="15"/>
          <w:szCs w:val="15"/>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72390</wp:posOffset>
            </wp:positionV>
            <wp:extent cx="713994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6"/>
                <w:szCs w:val="16"/>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b w:val="1"/>
                <w:bCs w:val="1"/>
                <w:color w:val="auto"/>
                <w:w w:val="91"/>
              </w:rPr>
              <w:t>December 31, 2020</w:t>
            </w:r>
          </w:p>
        </w:tc>
      </w:tr>
      <w:tr>
        <w:trPr>
          <w:trHeight w:val="174"/>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Servicing-related receivables:</w:t>
            </w: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Government-insured loan claims - Forward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97,739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103,058</w:t>
            </w: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Government-insured loan claims - Reverse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32,887</w:t>
            </w: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Due from custodial accounts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11,949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19,393</w:t>
            </w: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fee due from interim subservicer</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Reimbursable expenses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6,446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4,927</w:t>
            </w: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Subservicing fees and reimbursable expenses - Due from NRZ</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4,611</w:t>
            </w:r>
          </w:p>
        </w:tc>
      </w:tr>
      <w:tr>
        <w:trPr>
          <w:trHeight w:val="192"/>
        </w:trPr>
        <w:tc>
          <w:tcPr>
            <w:tcW w:w="80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1,087</w:t>
            </w:r>
          </w:p>
        </w:tc>
      </w:tr>
      <w:tr>
        <w:trPr>
          <w:trHeight w:val="185"/>
        </w:trPr>
        <w:tc>
          <w:tcPr>
            <w:tcW w:w="8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157,869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166,006</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45,929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57,503</w:t>
            </w:r>
          </w:p>
        </w:tc>
      </w:tr>
      <w:tr>
        <w:trPr>
          <w:trHeight w:val="193"/>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Other receivables</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3,200</w:t>
            </w:r>
          </w:p>
        </w:tc>
      </w:tr>
      <w:tr>
        <w:trPr>
          <w:trHeight w:val="184"/>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207,033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226,709</w:t>
            </w:r>
          </w:p>
        </w:tc>
      </w:tr>
      <w:tr>
        <w:trPr>
          <w:trHeight w:val="193"/>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Allowance for losses</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(41,848)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(39,044)</w:t>
            </w:r>
          </w:p>
        </w:tc>
      </w:tr>
      <w:tr>
        <w:trPr>
          <w:trHeight w:val="184"/>
        </w:trPr>
        <w:tc>
          <w:tcPr>
            <w:tcW w:w="8060" w:type="dxa"/>
            <w:vAlign w:val="bottom"/>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165,185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187,665</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both"/>
        <w:ind w:left="100" w:right="420" w:firstLine="272"/>
        <w:spacing w:after="0" w:line="292" w:lineRule="auto"/>
        <w:rPr>
          <w:sz w:val="20"/>
          <w:szCs w:val="20"/>
          <w:color w:val="auto"/>
        </w:rPr>
      </w:pPr>
      <w:r>
        <w:rPr>
          <w:rFonts w:ascii="Arial" w:cs="Arial" w:eastAsia="Arial" w:hAnsi="Arial"/>
          <w:sz w:val="14"/>
          <w:szCs w:val="14"/>
          <w:color w:val="auto"/>
        </w:rPr>
        <w:t>At June 30, 2021 and December 31, 2020, the allowance for losses primarily related to receivables of our Servicing business. The allowance for losses related to FHA- or VA-insured loans repurchased from Ginnie Mae guaranteed securitizations (government-insured claims) was $41.2 million and $38.3 million at June 30, 2021 and December 31, 2020, respectively. The government-insured claims that do not exceed HUD, VA or FHA insurance limits are guaranteed by the U.S. government.</w:t>
      </w:r>
    </w:p>
    <w:p>
      <w:pPr>
        <w:spacing w:after="0" w:line="89"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5"/>
                <w:szCs w:val="15"/>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96"/>
        </w:trPr>
        <w:tc>
          <w:tcPr>
            <w:tcW w:w="48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Allowance for Losses - Government-Insured Loan Claims</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7"/>
                <w:szCs w:val="17"/>
                <w:color w:val="auto"/>
              </w:rPr>
            </w:pPr>
          </w:p>
        </w:tc>
      </w:tr>
      <w:tr>
        <w:trPr>
          <w:trHeight w:val="185"/>
        </w:trPr>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40,437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58,103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38,339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56,868</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Provision</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2,579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2,122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7,537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7,194</w:t>
            </w: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Charge-offs and other, net</w:t>
            </w:r>
          </w:p>
        </w:tc>
        <w:tc>
          <w:tcPr>
            <w:tcW w:w="10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(6,915)</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(4,660)</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(10,752)</w:t>
            </w:r>
          </w:p>
        </w:tc>
      </w:tr>
      <w:tr>
        <w:trPr>
          <w:trHeight w:val="185"/>
        </w:trPr>
        <w:tc>
          <w:tcPr>
            <w:tcW w:w="4820" w:type="dxa"/>
            <w:vAlign w:val="bottom"/>
          </w:tcPr>
          <w:p>
            <w:pPr>
              <w:spacing w:after="0"/>
              <w:rPr>
                <w:sz w:val="20"/>
                <w:szCs w:val="20"/>
                <w:color w:val="auto"/>
              </w:rPr>
            </w:pPr>
            <w:r>
              <w:rPr>
                <w:rFonts w:ascii="Arial" w:cs="Arial" w:eastAsia="Arial" w:hAnsi="Arial"/>
                <w:sz w:val="15"/>
                <w:szCs w:val="15"/>
                <w:b w:val="1"/>
                <w:bCs w:val="1"/>
                <w:color w:val="auto"/>
              </w:rPr>
              <w:t>Ending balance</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41,216</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53,310</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41,216</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53,310</w:t>
            </w:r>
          </w:p>
        </w:tc>
      </w:tr>
      <w:tr>
        <w:trPr>
          <w:trHeight w:val="20"/>
        </w:trPr>
        <w:tc>
          <w:tcPr>
            <w:tcW w:w="4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tment in Equity Method Investee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15240</wp:posOffset>
            </wp:positionV>
            <wp:extent cx="64484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48425" cy="6985"/>
                    </a:xfrm>
                    <a:prstGeom prst="rect">
                      <a:avLst/>
                    </a:prstGeom>
                    <a:noFill/>
                  </pic:spPr>
                </pic:pic>
              </a:graphicData>
            </a:graphic>
          </wp:anchor>
        </w:drawing>
      </w:r>
    </w:p>
    <w:p>
      <w:pPr>
        <w:spacing w:after="0" w:line="175" w:lineRule="exact"/>
        <w:rPr>
          <w:sz w:val="20"/>
          <w:szCs w:val="20"/>
          <w:color w:val="auto"/>
        </w:rPr>
      </w:pPr>
    </w:p>
    <w:p>
      <w:pPr>
        <w:ind w:left="100" w:right="40" w:firstLine="272"/>
        <w:spacing w:after="0" w:line="265" w:lineRule="auto"/>
        <w:rPr>
          <w:sz w:val="20"/>
          <w:szCs w:val="20"/>
          <w:color w:val="auto"/>
        </w:rPr>
      </w:pPr>
      <w:r>
        <w:rPr>
          <w:rFonts w:ascii="Arial" w:cs="Arial" w:eastAsia="Arial" w:hAnsi="Arial"/>
          <w:sz w:val="15"/>
          <w:szCs w:val="15"/>
          <w:color w:val="auto"/>
        </w:rPr>
        <w:t>On December 21, 2020, Ocwen entered into a transaction agreement (the Transaction Agreement) with Oaktree Capital Management L.P. and certain affiliates (collectively Oaktree) to form a strategic relationship to invest in MSRs subserviced by PMC. The parties have agreed to invest up to $250.0 million in an intermediate holding company called MAV Canopy Holdco I, LLC (MAV Canopy) held 15% by Ocwen and 85% by Oaktree.</w:t>
      </w:r>
    </w:p>
    <w:p>
      <w:pPr>
        <w:spacing w:after="0" w:line="64" w:lineRule="exact"/>
        <w:rPr>
          <w:sz w:val="20"/>
          <w:szCs w:val="20"/>
          <w:color w:val="auto"/>
        </w:rPr>
      </w:pPr>
    </w:p>
    <w:p>
      <w:pPr>
        <w:ind w:left="100" w:right="260" w:firstLine="272"/>
        <w:spacing w:after="0" w:line="265" w:lineRule="auto"/>
        <w:rPr>
          <w:sz w:val="20"/>
          <w:szCs w:val="20"/>
          <w:color w:val="auto"/>
        </w:rPr>
      </w:pPr>
      <w:r>
        <w:rPr>
          <w:rFonts w:ascii="Arial" w:cs="Arial" w:eastAsia="Arial" w:hAnsi="Arial"/>
          <w:sz w:val="15"/>
          <w:szCs w:val="15"/>
          <w:color w:val="auto"/>
        </w:rPr>
        <w:t>On May 3, 2021, pursuant to the Transaction Agreement, Ocwen contributed MAV, which had total member’s equity and cash balances of approximately $5.0 million, to MAV Canopy, and received 15% of MAV Canopy and cash consideration. MAV is a licensed mortgage servicing company approved to purchase GSE MSRs. PMC and MAV entered into a number of definitive agreements which govern the terms of their business relationship:</w:t>
      </w:r>
    </w:p>
    <w:p>
      <w:pPr>
        <w:spacing w:after="0" w:line="64" w:lineRule="exact"/>
        <w:rPr>
          <w:sz w:val="20"/>
          <w:szCs w:val="20"/>
          <w:color w:val="auto"/>
        </w:rPr>
      </w:pPr>
    </w:p>
    <w:p>
      <w:pPr>
        <w:jc w:val="both"/>
        <w:ind w:left="100" w:right="60" w:firstLine="272"/>
        <w:spacing w:after="0" w:line="265" w:lineRule="auto"/>
        <w:rPr>
          <w:sz w:val="20"/>
          <w:szCs w:val="20"/>
          <w:color w:val="auto"/>
        </w:rPr>
      </w:pPr>
      <w:r>
        <w:rPr>
          <w:rFonts w:ascii="Arial" w:cs="Arial" w:eastAsia="Arial" w:hAnsi="Arial"/>
          <w:sz w:val="15"/>
          <w:szCs w:val="15"/>
          <w:i w:val="1"/>
          <w:iCs w:val="1"/>
          <w:color w:val="auto"/>
        </w:rPr>
        <w:t xml:space="preserve">Subservicing Agreement. </w:t>
      </w:r>
      <w:r>
        <w:rPr>
          <w:rFonts w:ascii="Arial" w:cs="Arial" w:eastAsia="Arial" w:hAnsi="Arial"/>
          <w:sz w:val="15"/>
          <w:szCs w:val="15"/>
          <w:color w:val="auto"/>
        </w:rPr>
        <w:t>Effective May 3, 2021, PMC entered into a subservicing agreement with MAV for exclusive rights to service the mortgage loans underlying MSRs owned</w:t>
      </w:r>
      <w:r>
        <w:rPr>
          <w:rFonts w:ascii="Arial" w:cs="Arial" w:eastAsia="Arial" w:hAnsi="Arial"/>
          <w:sz w:val="15"/>
          <w:szCs w:val="15"/>
          <w:i w:val="1"/>
          <w:iCs w:val="1"/>
          <w:color w:val="auto"/>
        </w:rPr>
        <w:t xml:space="preserve"> </w:t>
      </w:r>
      <w:r>
        <w:rPr>
          <w:rFonts w:ascii="Arial" w:cs="Arial" w:eastAsia="Arial" w:hAnsi="Arial"/>
          <w:sz w:val="15"/>
          <w:szCs w:val="15"/>
          <w:color w:val="auto"/>
        </w:rPr>
        <w:t>by MAV in exchange for a per-loan subservicing fee and certain other ancillary fees. The subservicing agreement will continue until terminated by mutual agreement of the parties or for cause, as defined. If either party terminates the agreement for cause, the other party is required to pay certain fees and costs.</w:t>
      </w:r>
    </w:p>
    <w:p>
      <w:pPr>
        <w:spacing w:after="0" w:line="64" w:lineRule="exact"/>
        <w:rPr>
          <w:sz w:val="20"/>
          <w:szCs w:val="20"/>
          <w:color w:val="auto"/>
        </w:rPr>
      </w:pPr>
    </w:p>
    <w:p>
      <w:pPr>
        <w:ind w:left="100" w:right="80" w:firstLine="272"/>
        <w:spacing w:after="0" w:line="285" w:lineRule="auto"/>
        <w:rPr>
          <w:sz w:val="20"/>
          <w:szCs w:val="20"/>
          <w:color w:val="auto"/>
        </w:rPr>
      </w:pPr>
      <w:r>
        <w:rPr>
          <w:rFonts w:ascii="Arial" w:cs="Arial" w:eastAsia="Arial" w:hAnsi="Arial"/>
          <w:sz w:val="14"/>
          <w:szCs w:val="14"/>
          <w:i w:val="1"/>
          <w:iCs w:val="1"/>
          <w:color w:val="auto"/>
        </w:rPr>
        <w:t xml:space="preserve">Joint Marketing Agreement and Recapture Agreement. </w:t>
      </w:r>
      <w:r>
        <w:rPr>
          <w:rFonts w:ascii="Arial" w:cs="Arial" w:eastAsia="Arial" w:hAnsi="Arial"/>
          <w:sz w:val="14"/>
          <w:szCs w:val="14"/>
          <w:color w:val="auto"/>
        </w:rPr>
        <w:t>Effective May 3, 2021, in conjunction with the subservicing agreement, PMC and MAV entered into a joint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and a flow MSR sale agreement (MSR recapture), whereby PMC is entitled to the exclusive right to solicit and refinance borrowers with loans underlying the MSR owned by MAV, and is obligated to transfer to MAV the MSR associated with the loans so originated. The joint marketing agreement and flow MSR sale agreement will continue until terminated by mutual agreement of the parties or for cause, as defined, or at the option of either party if the subservicing agreement is terminated.</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57150</wp:posOffset>
            </wp:positionV>
            <wp:extent cx="71793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360"/>
          </w:cols>
          <w:pgMar w:left="220" w:top="1203" w:right="319" w:bottom="1440" w:gutter="0" w:footer="0" w:header="0"/>
        </w:sectPr>
      </w:pPr>
    </w:p>
    <w:bookmarkStart w:id="32" w:name="page33"/>
    <w:bookmarkEnd w:id="32"/>
    <w:p>
      <w:pPr>
        <w:ind w:right="20" w:firstLine="272"/>
        <w:spacing w:after="0" w:line="265" w:lineRule="auto"/>
        <w:rPr>
          <w:sz w:val="20"/>
          <w:szCs w:val="20"/>
          <w:color w:val="auto"/>
        </w:rPr>
      </w:pPr>
      <w:r>
        <w:rPr>
          <w:rFonts w:ascii="Arial" w:cs="Arial" w:eastAsia="Arial" w:hAnsi="Arial"/>
          <w:sz w:val="15"/>
          <w:szCs w:val="15"/>
          <w:color w:val="auto"/>
        </w:rPr>
        <w:t>Following the execution of the Transaction Agreement and until the parties have contributed their respective aggregate $250.0 million capital contributions, Ocwen has an obligation to provide MAV with a “first look” at MSR investment opportunities presented to Ocwen to acquire Fannie Mae and Freddie Mac MSRs that meet certain criteria, referred as right of first offer. See Note 21 — Commitments for additional information.</w:t>
      </w:r>
    </w:p>
    <w:p>
      <w:pPr>
        <w:spacing w:after="0" w:line="64" w:lineRule="exact"/>
        <w:rPr>
          <w:sz w:val="20"/>
          <w:szCs w:val="20"/>
          <w:color w:val="auto"/>
        </w:rPr>
      </w:pPr>
    </w:p>
    <w:p>
      <w:pPr>
        <w:ind w:right="140" w:firstLine="272"/>
        <w:spacing w:after="0" w:line="278" w:lineRule="auto"/>
        <w:rPr>
          <w:sz w:val="20"/>
          <w:szCs w:val="20"/>
          <w:color w:val="auto"/>
        </w:rPr>
      </w:pPr>
      <w:r>
        <w:rPr>
          <w:rFonts w:ascii="Arial" w:cs="Arial" w:eastAsia="Arial" w:hAnsi="Arial"/>
          <w:sz w:val="15"/>
          <w:szCs w:val="15"/>
          <w:color w:val="auto"/>
        </w:rPr>
        <w:t>On June 1, 2021, MAV acquired Freddie Mac MSRs from a third party with UPB of approximately $8.7 billion. The loans are expected to be subserviced by PMC beginning in the third quarter of 2021.</w:t>
      </w:r>
    </w:p>
    <w:p>
      <w:pPr>
        <w:spacing w:after="0" w:line="54" w:lineRule="exact"/>
        <w:rPr>
          <w:sz w:val="20"/>
          <w:szCs w:val="20"/>
          <w:color w:val="auto"/>
        </w:rPr>
      </w:pPr>
    </w:p>
    <w:p>
      <w:pPr>
        <w:ind w:right="180" w:firstLine="272"/>
        <w:spacing w:after="0" w:line="261" w:lineRule="auto"/>
        <w:rPr>
          <w:sz w:val="20"/>
          <w:szCs w:val="20"/>
          <w:color w:val="auto"/>
        </w:rPr>
      </w:pPr>
      <w:r>
        <w:rPr>
          <w:rFonts w:ascii="Arial" w:cs="Arial" w:eastAsia="Arial" w:hAnsi="Arial"/>
          <w:sz w:val="15"/>
          <w:szCs w:val="15"/>
          <w:color w:val="auto"/>
        </w:rPr>
        <w:t>On June 1, 2021, PMC agreed to sell and MAV agreed to purchase a Fannie Mae MSR portfolio of approximately $4.3 billion (at June 30, 2021), with certain pricing adjustments, subject to MAV obtaining the necessary regulatory approval. MAV has subsequently obtained approval from Fannie Mae and the transaction is expected to close in the third quarter of 2021. Upon closing, although the MSR title has passed, the transaction would not achieve sale accounting and would be accounted for as secured borrowing due to the termination restrictions of the subservicing agreement.</w:t>
      </w:r>
    </w:p>
    <w:p>
      <w:pPr>
        <w:spacing w:after="0" w:line="67" w:lineRule="exact"/>
        <w:rPr>
          <w:sz w:val="20"/>
          <w:szCs w:val="20"/>
          <w:color w:val="auto"/>
        </w:rPr>
      </w:pPr>
    </w:p>
    <w:p>
      <w:pPr>
        <w:ind w:right="20" w:firstLine="272"/>
        <w:spacing w:after="0" w:line="184" w:lineRule="exact"/>
        <w:rPr>
          <w:sz w:val="20"/>
          <w:szCs w:val="20"/>
          <w:color w:val="auto"/>
        </w:rPr>
      </w:pPr>
      <w:r>
        <w:rPr>
          <w:rFonts w:ascii="Arial" w:cs="Arial" w:eastAsia="Arial" w:hAnsi="Arial"/>
          <w:sz w:val="15"/>
          <w:szCs w:val="15"/>
          <w:color w:val="auto"/>
        </w:rPr>
        <w:t>We account for our investments in unconsolidated entities using the equity method. These investments include our investment in MAV Canopy in which we hold a significant, but less than controlling, ownership interest. Under the equity method of accounting, investments are initially recorded at cost and thereafter adjusted for additional investments, distributions and the proportionate share of earnings or losses of the investee. We evaluate our equity method investments for impairment when events or changes in circumstances indicate that any other than</w:t>
      </w:r>
      <w:r>
        <w:rPr>
          <w:rFonts w:ascii="MS PGothic" w:cs="MS PGothic" w:eastAsia="MS PGothic" w:hAnsi="MS PGothic"/>
          <w:sz w:val="15"/>
          <w:szCs w:val="15"/>
          <w:color w:val="auto"/>
        </w:rPr>
        <w:t>‐</w:t>
      </w:r>
      <w:r>
        <w:rPr>
          <w:rFonts w:ascii="Arial" w:cs="Arial" w:eastAsia="Arial" w:hAnsi="Arial"/>
          <w:sz w:val="15"/>
          <w:szCs w:val="15"/>
          <w:color w:val="auto"/>
        </w:rPr>
        <w:t>temporary decline in value may have occurred.</w:t>
      </w:r>
    </w:p>
    <w:p>
      <w:pPr>
        <w:spacing w:after="0" w:line="84" w:lineRule="exact"/>
        <w:rPr>
          <w:sz w:val="20"/>
          <w:szCs w:val="20"/>
          <w:color w:val="auto"/>
        </w:rPr>
      </w:pPr>
    </w:p>
    <w:p>
      <w:pPr>
        <w:ind w:right="20" w:firstLine="272"/>
        <w:spacing w:after="0" w:line="261" w:lineRule="auto"/>
        <w:rPr>
          <w:sz w:val="20"/>
          <w:szCs w:val="20"/>
          <w:color w:val="auto"/>
        </w:rPr>
      </w:pPr>
      <w:r>
        <w:rPr>
          <w:rFonts w:ascii="Arial" w:cs="Arial" w:eastAsia="Arial" w:hAnsi="Arial"/>
          <w:sz w:val="15"/>
          <w:szCs w:val="15"/>
          <w:color w:val="auto"/>
        </w:rPr>
        <w:t>Under ASC 323, Investments - Equity Method and Joint Ventures, an investment of less than 20 percent of the voting stock of an investee shall lead to a presumption that an investor does not have the ability to exercise significant influence unless such ability can be demonstrated. Ocwen determined it has significant influence over MAV Canopy based on its representation on the MAV Canopy Board of Directors and certain services it provides, amongst other factors. Accordingly, Ocwen deemed it appropriate to account for its investment in MAV Canopy under the equity method.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20" w:type="dxa"/>
            <w:vAlign w:val="bottom"/>
          </w:tcPr>
          <w:p>
            <w:pPr>
              <w:ind w:left="260"/>
              <w:spacing w:after="0"/>
              <w:rPr>
                <w:sz w:val="20"/>
                <w:szCs w:val="20"/>
                <w:color w:val="auto"/>
              </w:rPr>
            </w:pPr>
            <w:r>
              <w:rPr>
                <w:rFonts w:ascii="Arial" w:cs="Arial" w:eastAsia="Arial" w:hAnsi="Arial"/>
                <w:sz w:val="15"/>
                <w:szCs w:val="15"/>
                <w:color w:val="auto"/>
              </w:rPr>
              <w:t>Our investment in MAV Canopy is comprised of following at June 30, 2021:</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15"/>
        </w:trPr>
        <w:tc>
          <w:tcPr>
            <w:tcW w:w="9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93"/>
        </w:trPr>
        <w:tc>
          <w:tcPr>
            <w:tcW w:w="9720" w:type="dxa"/>
            <w:vAlign w:val="bottom"/>
            <w:shd w:val="clear" w:color="auto" w:fill="CCEEFF"/>
          </w:tcPr>
          <w:p>
            <w:pPr>
              <w:spacing w:after="0"/>
              <w:rPr>
                <w:sz w:val="20"/>
                <w:szCs w:val="20"/>
                <w:color w:val="auto"/>
              </w:rPr>
            </w:pPr>
            <w:r>
              <w:rPr>
                <w:rFonts w:ascii="Arial" w:cs="Arial" w:eastAsia="Arial" w:hAnsi="Arial"/>
                <w:sz w:val="15"/>
                <w:szCs w:val="15"/>
                <w:color w:val="auto"/>
              </w:rPr>
              <w:t>Capital contribution</w:t>
            </w:r>
          </w:p>
        </w:tc>
        <w:tc>
          <w:tcPr>
            <w:tcW w:w="58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11,528</w:t>
            </w:r>
          </w:p>
        </w:tc>
      </w:tr>
      <w:tr>
        <w:trPr>
          <w:trHeight w:val="192"/>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Earnings of equity method investee</w:t>
            </w: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w:t>
            </w:r>
          </w:p>
        </w:tc>
      </w:tr>
      <w:tr>
        <w:trPr>
          <w:trHeight w:val="210"/>
        </w:trPr>
        <w:tc>
          <w:tcPr>
            <w:tcW w:w="9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Investment in equity method investee</w:t>
            </w:r>
          </w:p>
        </w:tc>
        <w:tc>
          <w:tcPr>
            <w:tcW w:w="58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11,878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60" w:firstLine="272"/>
        <w:spacing w:after="0" w:line="258" w:lineRule="auto"/>
        <w:rPr>
          <w:sz w:val="20"/>
          <w:szCs w:val="20"/>
          <w:color w:val="auto"/>
        </w:rPr>
      </w:pPr>
      <w:r>
        <w:rPr>
          <w:rFonts w:ascii="Arial" w:cs="Arial" w:eastAsia="Arial" w:hAnsi="Arial"/>
          <w:sz w:val="15"/>
          <w:szCs w:val="15"/>
          <w:color w:val="auto"/>
        </w:rPr>
        <w:t>MAV Canopy, MAV and Oaktree are deemed related parties to Ocwen. In addition to its investment in MAV Canopy, the subservicing agreement by PMC and the other agreements described above, Ocwen issued common stock, warrants and senior secured notes to Oaktree as described in Note 12 – Borrowings and Note 14 – Equity. Furthermore, pursuant to the Transaction Agreement, Ocwen entered into an agreement to provide certain administrative services to MAV, including accounting, treasury, human resources, management information, MSR transaction management support, and certain licensing, regulatory and risk management support. Ocwen is entitled to a fee for such services, subject to an annual cap of $0.5 million.</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11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13994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85"/>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Contingent loan repurchase asset</w:t>
            </w:r>
          </w:p>
        </w:tc>
        <w:tc>
          <w:tcPr>
            <w:tcW w:w="3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480,221</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20"/>
                <w:szCs w:val="20"/>
                <w:color w:val="auto"/>
              </w:rPr>
            </w:pPr>
            <w:r>
              <w:rPr>
                <w:rFonts w:ascii="Arial" w:cs="Arial" w:eastAsia="Arial" w:hAnsi="Arial"/>
                <w:sz w:val="15"/>
                <w:szCs w:val="15"/>
                <w:color w:val="auto"/>
              </w:rPr>
              <w:t>Derivatives, at fair value</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24,585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23,246</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Prepaid expenses</w:t>
            </w:r>
          </w:p>
        </w:tc>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21,176</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20"/>
                <w:szCs w:val="20"/>
                <w:color w:val="auto"/>
              </w:rPr>
            </w:pPr>
            <w:r>
              <w:rPr>
                <w:rFonts w:ascii="Arial" w:cs="Arial" w:eastAsia="Arial" w:hAnsi="Arial"/>
                <w:sz w:val="15"/>
                <w:szCs w:val="15"/>
                <w:color w:val="auto"/>
                <w:w w:val="98"/>
              </w:rPr>
              <w:t>Prepaid representation, warranty and indemnification claims - Agency MSR sale</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15,173</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Prepaid lender fees, net</w:t>
            </w:r>
          </w:p>
        </w:tc>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9,556</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20"/>
                <w:szCs w:val="20"/>
                <w:color w:val="auto"/>
              </w:rPr>
            </w:pPr>
            <w:r>
              <w:rPr>
                <w:rFonts w:ascii="Arial" w:cs="Arial" w:eastAsia="Arial" w:hAnsi="Arial"/>
                <w:sz w:val="15"/>
                <w:szCs w:val="15"/>
                <w:color w:val="auto"/>
              </w:rPr>
              <w:t>REO</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8,366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7,771</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 net</w:t>
            </w:r>
          </w:p>
        </w:tc>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3,543</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20"/>
                <w:szCs w:val="20"/>
                <w:color w:val="auto"/>
              </w:rPr>
            </w:pPr>
            <w:r>
              <w:rPr>
                <w:rFonts w:ascii="Arial" w:cs="Arial" w:eastAsia="Arial" w:hAnsi="Arial"/>
                <w:sz w:val="15"/>
                <w:szCs w:val="15"/>
                <w:color w:val="auto"/>
              </w:rPr>
              <w:t>Security deposits</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2,167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2,222</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Mortgage backed securities, at fair value</w:t>
            </w:r>
          </w:p>
        </w:tc>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2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6,556</w:t>
            </w:r>
          </w:p>
        </w:tc>
        <w:tc>
          <w:tcPr>
            <w:tcW w:w="0" w:type="dxa"/>
            <w:vAlign w:val="bottom"/>
          </w:tcPr>
          <w:p>
            <w:pPr>
              <w:spacing w:after="0"/>
              <w:rPr>
                <w:sz w:val="1"/>
                <w:szCs w:val="1"/>
                <w:color w:val="auto"/>
              </w:rPr>
            </w:pPr>
          </w:p>
        </w:tc>
      </w:tr>
      <w:tr>
        <w:trPr>
          <w:trHeight w:val="204"/>
        </w:trPr>
        <w:tc>
          <w:tcPr>
            <w:tcW w:w="52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611,935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571,483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2324"/>
              <w:spacing w:after="0"/>
              <w:rPr>
                <w:sz w:val="20"/>
                <w:szCs w:val="20"/>
                <w:color w:val="auto"/>
              </w:rPr>
            </w:pPr>
            <w:r>
              <w:rPr>
                <w:rFonts w:ascii="Arial" w:cs="Arial" w:eastAsia="Arial" w:hAnsi="Arial"/>
                <w:sz w:val="15"/>
                <w:szCs w:val="15"/>
                <w:color w:val="auto"/>
              </w:rPr>
              <w:t>30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52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2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33" w:name="page34"/>
    <w:bookmarkEnd w:id="33"/>
    <w:p>
      <w:pPr>
        <w:ind w:left="29"/>
        <w:spacing w:after="0"/>
        <w:rPr>
          <w:sz w:val="20"/>
          <w:szCs w:val="20"/>
          <w:color w:val="auto"/>
        </w:rPr>
      </w:pPr>
      <w:r>
        <w:rPr>
          <w:rFonts w:ascii="Arial" w:cs="Arial" w:eastAsia="Arial" w:hAnsi="Arial"/>
          <w:sz w:val="15"/>
          <w:szCs w:val="15"/>
          <w:b w:val="1"/>
          <w:bCs w:val="1"/>
          <w:color w:val="auto"/>
        </w:rPr>
        <w:t>Note 12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994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29" w:type="dxa"/>
        <w:tblCellMar>
          <w:top w:w="0" w:type="dxa"/>
          <w:left w:w="0" w:type="dxa"/>
          <w:bottom w:w="0" w:type="dxa"/>
          <w:right w:w="0" w:type="dxa"/>
        </w:tblCellMar>
      </w:tblPr>
      <w:tr>
        <w:trPr>
          <w:trHeight w:val="195"/>
        </w:trPr>
        <w:tc>
          <w:tcPr>
            <w:tcW w:w="4440" w:type="dxa"/>
            <w:vAlign w:val="bottom"/>
            <w:gridSpan w:val="2"/>
          </w:tcPr>
          <w:p>
            <w:pPr>
              <w:ind w:left="20"/>
              <w:spacing w:after="0"/>
              <w:rPr>
                <w:sz w:val="20"/>
                <w:szCs w:val="20"/>
                <w:color w:val="auto"/>
              </w:rPr>
            </w:pPr>
            <w:r>
              <w:rPr>
                <w:rFonts w:ascii="Arial" w:cs="Arial" w:eastAsia="Arial" w:hAnsi="Arial"/>
                <w:sz w:val="15"/>
                <w:szCs w:val="15"/>
                <w:b w:val="1"/>
                <w:bCs w:val="1"/>
                <w:color w:val="auto"/>
              </w:rPr>
              <w:t>Financing Liabilities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auto"/>
            </w:tcBorders>
          </w:tcPr>
          <w:p>
            <w:pPr>
              <w:ind w:left="1640"/>
              <w:spacing w:after="0"/>
              <w:rPr>
                <w:sz w:val="20"/>
                <w:szCs w:val="20"/>
                <w:color w:val="auto"/>
              </w:rPr>
            </w:pPr>
            <w:r>
              <w:rPr>
                <w:rFonts w:ascii="Arial" w:cs="Arial" w:eastAsia="Arial" w:hAnsi="Arial"/>
                <w:sz w:val="15"/>
                <w:szCs w:val="15"/>
                <w:b w:val="1"/>
                <w:bCs w:val="1"/>
                <w:color w:val="auto"/>
              </w:rPr>
              <w:t>Borrowing Type</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Collateral</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Interest 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w w:val="98"/>
              </w:rPr>
              <w:t>June 30, 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0"/>
              </w:rPr>
              <w:t>December 31, 2020</w:t>
            </w:r>
          </w:p>
        </w:tc>
        <w:tc>
          <w:tcPr>
            <w:tcW w:w="0" w:type="dxa"/>
            <w:vAlign w:val="bottom"/>
          </w:tcPr>
          <w:p>
            <w:pPr>
              <w:spacing w:after="0"/>
              <w:rPr>
                <w:sz w:val="1"/>
                <w:szCs w:val="1"/>
                <w:color w:val="auto"/>
              </w:rPr>
            </w:pPr>
          </w:p>
        </w:tc>
      </w:tr>
      <w:tr>
        <w:trPr>
          <w:trHeight w:val="140"/>
        </w:trPr>
        <w:tc>
          <w:tcPr>
            <w:tcW w:w="44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HMBS-related borrowings, at fair value (1)</w:t>
            </w:r>
          </w:p>
        </w:tc>
        <w:tc>
          <w:tcPr>
            <w:tcW w:w="1280" w:type="dxa"/>
            <w:vAlign w:val="bottom"/>
            <w:gridSpan w:val="2"/>
            <w:shd w:val="clear" w:color="auto" w:fill="CCEEFF"/>
          </w:tcPr>
          <w:p>
            <w:pPr>
              <w:jc w:val="center"/>
              <w:ind w:right="120"/>
              <w:spacing w:after="0" w:line="140" w:lineRule="exact"/>
              <w:rPr>
                <w:sz w:val="20"/>
                <w:szCs w:val="20"/>
                <w:color w:val="auto"/>
              </w:rPr>
            </w:pPr>
            <w:r>
              <w:rPr>
                <w:rFonts w:ascii="Arial" w:cs="Arial" w:eastAsia="Arial" w:hAnsi="Arial"/>
                <w:sz w:val="15"/>
                <w:szCs w:val="15"/>
                <w:color w:val="auto"/>
                <w:w w:val="92"/>
              </w:rPr>
              <w:t>Loans held for</w:t>
            </w:r>
          </w:p>
        </w:tc>
        <w:tc>
          <w:tcPr>
            <w:tcW w:w="1160" w:type="dxa"/>
            <w:vAlign w:val="bottom"/>
            <w:gridSpan w:val="2"/>
            <w:shd w:val="clear" w:color="auto" w:fill="CCEEFF"/>
          </w:tcPr>
          <w:p>
            <w:pPr>
              <w:jc w:val="center"/>
              <w:ind w:right="100"/>
              <w:spacing w:after="0" w:line="140" w:lineRule="exact"/>
              <w:rPr>
                <w:sz w:val="20"/>
                <w:szCs w:val="20"/>
                <w:color w:val="auto"/>
              </w:rPr>
            </w:pPr>
            <w:r>
              <w:rPr>
                <w:rFonts w:ascii="Arial" w:cs="Arial" w:eastAsia="Arial" w:hAnsi="Arial"/>
                <w:sz w:val="15"/>
                <w:szCs w:val="15"/>
                <w:color w:val="auto"/>
                <w:w w:val="94"/>
              </w:rPr>
              <w:t>1ML + 244 bps</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7"/>
              </w:rPr>
              <w:t>(1)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6,823,911</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6,772,711</w:t>
            </w:r>
          </w:p>
        </w:tc>
        <w:tc>
          <w:tcPr>
            <w:tcW w:w="0" w:type="dxa"/>
            <w:vAlign w:val="bottom"/>
          </w:tcPr>
          <w:p>
            <w:pPr>
              <w:spacing w:after="0"/>
              <w:rPr>
                <w:sz w:val="1"/>
                <w:szCs w:val="1"/>
                <w:color w:val="auto"/>
              </w:rPr>
            </w:pPr>
          </w:p>
        </w:tc>
      </w:tr>
      <w:tr>
        <w:trPr>
          <w:trHeight w:val="197"/>
        </w:trPr>
        <w:tc>
          <w:tcPr>
            <w:tcW w:w="4440" w:type="dxa"/>
            <w:vAlign w:val="bottom"/>
            <w:gridSpan w:val="2"/>
            <w:vMerge w:val="continue"/>
            <w:shd w:val="clear" w:color="auto" w:fill="CCEEFF"/>
          </w:tcPr>
          <w:p>
            <w:pPr>
              <w:spacing w:after="0"/>
              <w:rPr>
                <w:sz w:val="16"/>
                <w:szCs w:val="16"/>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investment</w:t>
            </w: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(1)</w:t>
            </w: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 financing liabilities, at fair value</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MSRs pledged (Rights to MSRs), at fair value:</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ind w:left="200"/>
              <w:spacing w:after="0"/>
              <w:rPr>
                <w:sz w:val="20"/>
                <w:szCs w:val="20"/>
                <w:color w:val="auto"/>
              </w:rPr>
            </w:pPr>
            <w:r>
              <w:rPr>
                <w:rFonts w:ascii="Arial" w:cs="Arial" w:eastAsia="Arial" w:hAnsi="Arial"/>
                <w:sz w:val="15"/>
                <w:szCs w:val="15"/>
                <w:color w:val="auto"/>
              </w:rPr>
              <w:t>Original Rights to MSRs Agreements</w:t>
            </w:r>
          </w:p>
        </w:tc>
        <w:tc>
          <w:tcPr>
            <w:tcW w:w="128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MSRs</w:t>
            </w:r>
          </w:p>
        </w:tc>
        <w:tc>
          <w:tcPr>
            <w:tcW w:w="106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535,571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566,952</w:t>
            </w:r>
          </w:p>
        </w:tc>
        <w:tc>
          <w:tcPr>
            <w:tcW w:w="0" w:type="dxa"/>
            <w:vAlign w:val="bottom"/>
          </w:tcPr>
          <w:p>
            <w:pPr>
              <w:spacing w:after="0"/>
              <w:rPr>
                <w:sz w:val="1"/>
                <w:szCs w:val="1"/>
                <w:color w:val="auto"/>
              </w:rPr>
            </w:pPr>
          </w:p>
        </w:tc>
      </w:tr>
      <w:tr>
        <w:trPr>
          <w:trHeight w:val="137"/>
        </w:trPr>
        <w:tc>
          <w:tcPr>
            <w:tcW w:w="4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ind w:left="120"/>
              <w:spacing w:after="0"/>
              <w:rPr>
                <w:sz w:val="20"/>
                <w:szCs w:val="20"/>
                <w:color w:val="auto"/>
              </w:rPr>
            </w:pPr>
            <w:r>
              <w:rPr>
                <w:rFonts w:ascii="Arial" w:cs="Arial" w:eastAsia="Arial" w:hAnsi="Arial"/>
                <w:sz w:val="15"/>
                <w:szCs w:val="15"/>
                <w:color w:val="auto"/>
              </w:rPr>
              <w:t>Financing liability - Owed to securitization investors, at fair value:</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5"/>
                <w:szCs w:val="15"/>
                <w:color w:val="auto"/>
                <w:w w:val="95"/>
              </w:rPr>
              <w:t>Residential Asset Securitization Trust 2003-A11 (RAST 2003-A11)</w:t>
            </w:r>
          </w:p>
        </w:tc>
        <w:tc>
          <w:tcPr>
            <w:tcW w:w="12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5"/>
                <w:szCs w:val="15"/>
                <w:color w:val="auto"/>
                <w:w w:val="92"/>
              </w:rPr>
              <w:t>Loans held for</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7"/>
              </w:rPr>
              <w:t>(3)</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5"/>
                <w:szCs w:val="15"/>
                <w:color w:val="auto"/>
                <w:w w:val="92"/>
              </w:rPr>
              <w:t>Oct. 2033</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8,680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9,770</w:t>
            </w:r>
          </w:p>
        </w:tc>
        <w:tc>
          <w:tcPr>
            <w:tcW w:w="0" w:type="dxa"/>
            <w:vAlign w:val="bottom"/>
          </w:tcPr>
          <w:p>
            <w:pPr>
              <w:spacing w:after="0"/>
              <w:rPr>
                <w:sz w:val="1"/>
                <w:szCs w:val="1"/>
                <w:color w:val="auto"/>
              </w:rPr>
            </w:pPr>
          </w:p>
        </w:tc>
      </w:tr>
      <w:tr>
        <w:trPr>
          <w:trHeight w:val="192"/>
        </w:trPr>
        <w:tc>
          <w:tcPr>
            <w:tcW w:w="4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investment</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b w:val="1"/>
                <w:bCs w:val="1"/>
                <w:color w:val="auto"/>
              </w:rPr>
              <w:t>Total Other financing liabilities, at fair value</w:t>
            </w:r>
          </w:p>
        </w:tc>
        <w:tc>
          <w:tcPr>
            <w:tcW w:w="1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544,251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576,722</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7,368,162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7,349,433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9" w:hanging="269"/>
        <w:spacing w:after="0" w:line="281" w:lineRule="auto"/>
        <w:tabs>
          <w:tab w:leader="none" w:pos="269"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amounts due to the holders of beneficial interests in Ginnie Mae guaranteed HMBS that did not qualify for sale accounting treatment of HECM loans. Under this accounting treatment, the HECM loans securitized with Ginnie Mae remain on our consolidated balance sheets and the proceeds from the sale are recognized as a financing liability, which is recorded at fair value consistent with the related HECM loans. The beneficial interests in Ginnie Mae guaranteed HMBS have no maturity dates, and the borrowings mature as the related loans are repaid. Interest rate is a weighted average based on the pass-through rate of the loans. See Note 2 – Securitizations and Variable Interest Entities.</w:t>
      </w:r>
    </w:p>
    <w:p>
      <w:pPr>
        <w:spacing w:after="0" w:line="1" w:lineRule="exact"/>
        <w:rPr>
          <w:rFonts w:ascii="Arial" w:cs="Arial" w:eastAsia="Arial" w:hAnsi="Arial"/>
          <w:sz w:val="12"/>
          <w:szCs w:val="12"/>
          <w:color w:val="auto"/>
        </w:rPr>
      </w:pPr>
    </w:p>
    <w:p>
      <w:pPr>
        <w:ind w:left="269" w:right="80" w:hanging="269"/>
        <w:spacing w:after="0" w:line="276" w:lineRule="auto"/>
        <w:tabs>
          <w:tab w:leader="none" w:pos="269"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This pledged MSR liability is recognized due to the accounting treatment of MSR sale transactions with NRZ that did not qualify as sales for accounting purposes. Under this accounting treatment, the MSRs transferred to NRZ remain on the consolidated balance sheet and the proceeds from the sale are recognized as a financing liability, which is recorded at fair value consistent with the related MSRs. This financing liability has no contractual maturity or repayment schedule. See Note 8 — Rights to MSRs for additional information.</w:t>
      </w:r>
    </w:p>
    <w:p>
      <w:pPr>
        <w:ind w:left="269" w:right="40" w:hanging="269"/>
        <w:spacing w:after="0" w:line="237" w:lineRule="auto"/>
        <w:tabs>
          <w:tab w:leader="none" w:pos="269"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securitization debt certificates due to third parties that represent beneficial interests in trusts that we include in our unaudited consolidated financial statements. 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Trust pay interest based on fixed rates ranging between 4.25% and 5.75% and a variable rate based on 1ML plus 0.45%, includes certificates that are Principal Only certificates and are not entitled to receive distributions of interest.</w:t>
      </w:r>
    </w:p>
    <w:p>
      <w:pPr>
        <w:spacing w:after="0" w:line="200" w:lineRule="exact"/>
        <w:rPr>
          <w:sz w:val="20"/>
          <w:szCs w:val="20"/>
          <w:color w:val="auto"/>
        </w:rPr>
      </w:pPr>
    </w:p>
    <w:p>
      <w:pPr>
        <w:spacing w:after="0" w:line="251"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9"/>
          </w:cols>
          <w:pgMar w:left="311" w:top="1203" w:right="339" w:bottom="1440" w:gutter="0" w:footer="0" w:header="0"/>
        </w:sectPr>
      </w:pPr>
    </w:p>
    <w:bookmarkStart w:id="34" w:name="page35"/>
    <w:bookmarkEnd w:id="34"/>
    <w:tbl>
      <w:tblPr>
        <w:tblLayout w:type="fixed"/>
        <w:tblInd w:w="9" w:type="dxa"/>
        <w:tblCellMar>
          <w:top w:w="0" w:type="dxa"/>
          <w:left w:w="0" w:type="dxa"/>
          <w:bottom w:w="0" w:type="dxa"/>
          <w:right w:w="0" w:type="dxa"/>
        </w:tblCellMar>
      </w:tblPr>
      <w:tr>
        <w:trPr>
          <w:trHeight w:val="195"/>
        </w:trPr>
        <w:tc>
          <w:tcPr>
            <w:tcW w:w="3000" w:type="dxa"/>
            <w:vAlign w:val="bottom"/>
            <w:gridSpan w:val="2"/>
          </w:tcPr>
          <w:p>
            <w:pPr>
              <w:spacing w:after="0"/>
              <w:rPr>
                <w:sz w:val="20"/>
                <w:szCs w:val="20"/>
                <w:color w:val="auto"/>
              </w:rPr>
            </w:pPr>
            <w:r>
              <w:rPr>
                <w:rFonts w:ascii="Arial" w:cs="Arial" w:eastAsia="Arial" w:hAnsi="Arial"/>
                <w:sz w:val="15"/>
                <w:szCs w:val="15"/>
                <w:b w:val="1"/>
                <w:bCs w:val="1"/>
                <w:color w:val="auto"/>
              </w:rPr>
              <w:t>Advance Match Funded Liabilities</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vMerge w:val="restart"/>
          </w:tcPr>
          <w:p>
            <w:pPr>
              <w:jc w:val="right"/>
              <w:ind w:right="404"/>
              <w:spacing w:after="0"/>
              <w:rPr>
                <w:sz w:val="20"/>
                <w:szCs w:val="20"/>
                <w:color w:val="auto"/>
              </w:rPr>
            </w:pPr>
            <w:r>
              <w:rPr>
                <w:rFonts w:ascii="Arial" w:cs="Arial" w:eastAsia="Arial" w:hAnsi="Arial"/>
                <w:sz w:val="15"/>
                <w:szCs w:val="15"/>
                <w:b w:val="1"/>
                <w:bCs w:val="1"/>
                <w:color w:val="auto"/>
              </w:rPr>
              <w:t>Borrowing Capacity</w:t>
            </w:r>
          </w:p>
        </w:tc>
        <w:tc>
          <w:tcPr>
            <w:tcW w:w="100" w:type="dxa"/>
            <w:vAlign w:val="bottom"/>
          </w:tcPr>
          <w:p>
            <w:pPr>
              <w:spacing w:after="0"/>
              <w:rPr>
                <w:sz w:val="16"/>
                <w:szCs w:val="16"/>
                <w:color w:val="auto"/>
              </w:rPr>
            </w:pPr>
          </w:p>
        </w:tc>
        <w:tc>
          <w:tcPr>
            <w:tcW w:w="2300" w:type="dxa"/>
            <w:vAlign w:val="bottom"/>
            <w:gridSpan w:val="4"/>
            <w:vMerge w:val="restart"/>
          </w:tcPr>
          <w:p>
            <w:pPr>
              <w:ind w:left="700"/>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Pr>
          <w:p>
            <w:pPr>
              <w:spacing w:after="0"/>
              <w:rPr>
                <w:sz w:val="16"/>
                <w:szCs w:val="16"/>
                <w:color w:val="auto"/>
              </w:rPr>
            </w:pPr>
          </w:p>
        </w:tc>
        <w:tc>
          <w:tcPr>
            <w:tcW w:w="2300" w:type="dxa"/>
            <w:vAlign w:val="bottom"/>
            <w:gridSpan w:val="4"/>
            <w:vMerge w:val="restart"/>
          </w:tcPr>
          <w:p>
            <w:pPr>
              <w:jc w:val="right"/>
              <w:ind w:right="46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91"/>
        </w:trPr>
        <w:tc>
          <w:tcPr>
            <w:tcW w:w="1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tcBorders>
              <w:bottom w:val="single" w:sz="8" w:color="auto"/>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4"/>
              </w:rPr>
              <w:t>Amort. Date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0" w:lineRule="exact"/>
              <w:rPr>
                <w:sz w:val="20"/>
                <w:szCs w:val="20"/>
                <w:color w:val="auto"/>
              </w:rPr>
            </w:pPr>
            <w:r>
              <w:rPr>
                <w:rFonts w:ascii="Arial" w:cs="Arial" w:eastAsia="Arial" w:hAnsi="Arial"/>
                <w:sz w:val="15"/>
                <w:szCs w:val="15"/>
                <w:b w:val="1"/>
                <w:bCs w:val="1"/>
                <w:color w:val="auto"/>
                <w:w w:val="91"/>
              </w:rPr>
              <w:t>Weighted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0" w:lineRule="exact"/>
              <w:rPr>
                <w:sz w:val="20"/>
                <w:szCs w:val="20"/>
                <w:color w:val="auto"/>
              </w:rPr>
            </w:pPr>
            <w:r>
              <w:rPr>
                <w:rFonts w:ascii="Arial" w:cs="Arial" w:eastAsia="Arial" w:hAnsi="Arial"/>
                <w:sz w:val="15"/>
                <w:szCs w:val="15"/>
                <w:b w:val="1"/>
                <w:bCs w:val="1"/>
                <w:color w:val="auto"/>
                <w:w w:val="88"/>
              </w:rPr>
              <w:t>Weighted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80" w:type="dxa"/>
            <w:vAlign w:val="bottom"/>
            <w:vMerge w:val="restart"/>
          </w:tcPr>
          <w:p>
            <w:pPr>
              <w:spacing w:after="0"/>
              <w:rPr>
                <w:sz w:val="20"/>
                <w:szCs w:val="20"/>
                <w:color w:val="auto"/>
              </w:rPr>
            </w:pPr>
            <w:r>
              <w:rPr>
                <w:rFonts w:ascii="Arial" w:cs="Arial" w:eastAsia="Arial" w:hAnsi="Arial"/>
                <w:sz w:val="15"/>
                <w:szCs w:val="15"/>
                <w:b w:val="1"/>
                <w:bCs w:val="1"/>
                <w:color w:val="auto"/>
              </w:rPr>
              <w:t>Borrowing Type</w:t>
            </w: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Maturity (1)</w:t>
            </w: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2"/>
                <w:szCs w:val="12"/>
                <w:color w:val="auto"/>
              </w:rPr>
            </w:pPr>
          </w:p>
        </w:tc>
        <w:tc>
          <w:tcPr>
            <w:tcW w:w="9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w w:val="92"/>
              </w:rPr>
              <w:t>Available (2)</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5"/>
                <w:szCs w:val="15"/>
                <w:b w:val="1"/>
                <w:bCs w:val="1"/>
                <w:color w:val="auto"/>
                <w:w w:val="90"/>
              </w:rPr>
              <w:t>Average Interest</w:t>
            </w:r>
          </w:p>
        </w:tc>
        <w:tc>
          <w:tcPr>
            <w:tcW w:w="160" w:type="dxa"/>
            <w:vAlign w:val="bottom"/>
          </w:tcPr>
          <w:p>
            <w:pPr>
              <w:spacing w:after="0"/>
              <w:rPr>
                <w:sz w:val="12"/>
                <w:szCs w:val="12"/>
                <w:color w:val="auto"/>
              </w:rPr>
            </w:pPr>
          </w:p>
        </w:tc>
        <w:tc>
          <w:tcPr>
            <w:tcW w:w="86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rPr>
              <w:t>Balance</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5"/>
                <w:szCs w:val="15"/>
                <w:b w:val="1"/>
                <w:bCs w:val="1"/>
                <w:color w:val="auto"/>
                <w:w w:val="91"/>
              </w:rPr>
              <w:t>Average Interest</w:t>
            </w:r>
          </w:p>
        </w:tc>
        <w:tc>
          <w:tcPr>
            <w:tcW w:w="180" w:type="dxa"/>
            <w:vAlign w:val="bottom"/>
          </w:tcPr>
          <w:p>
            <w:pPr>
              <w:spacing w:after="0"/>
              <w:rPr>
                <w:sz w:val="12"/>
                <w:szCs w:val="12"/>
                <w:color w:val="auto"/>
              </w:rPr>
            </w:pPr>
          </w:p>
        </w:tc>
        <w:tc>
          <w:tcPr>
            <w:tcW w:w="86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rPr>
              <w:t>Balance</w:t>
            </w:r>
          </w:p>
        </w:tc>
        <w:tc>
          <w:tcPr>
            <w:tcW w:w="0" w:type="dxa"/>
            <w:vAlign w:val="bottom"/>
          </w:tcPr>
          <w:p>
            <w:pPr>
              <w:spacing w:after="0"/>
              <w:rPr>
                <w:sz w:val="1"/>
                <w:szCs w:val="1"/>
                <w:color w:val="auto"/>
              </w:rPr>
            </w:pPr>
          </w:p>
        </w:tc>
      </w:tr>
      <w:tr>
        <w:trPr>
          <w:trHeight w:val="193"/>
        </w:trPr>
        <w:tc>
          <w:tcPr>
            <w:tcW w:w="18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7"/>
              </w:rPr>
              <w:t>(1)</w:t>
            </w: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Rate (6)</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Rate (6)</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Advance Receivables</w:t>
            </w:r>
          </w:p>
        </w:tc>
        <w:tc>
          <w:tcPr>
            <w:tcW w:w="112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880" w:type="dxa"/>
            <w:vAlign w:val="bottom"/>
            <w:shd w:val="clear" w:color="auto" w:fill="CCEEFF"/>
          </w:tcPr>
          <w:p>
            <w:pPr>
              <w:spacing w:after="0" w:line="148" w:lineRule="exact"/>
              <w:rPr>
                <w:sz w:val="20"/>
                <w:szCs w:val="20"/>
                <w:color w:val="auto"/>
              </w:rPr>
            </w:pPr>
            <w:r>
              <w:rPr>
                <w:rFonts w:ascii="Arial" w:cs="Arial" w:eastAsia="Arial" w:hAnsi="Arial"/>
                <w:sz w:val="15"/>
                <w:szCs w:val="15"/>
                <w:color w:val="auto"/>
                <w:w w:val="96"/>
              </w:rPr>
              <w:t>Backed Notes - Series 2015-</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7"/>
              </w:rPr>
              <w:t>Jun. 2052</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7"/>
              </w:rPr>
              <w:t>Jun. 2022</w:t>
            </w:r>
          </w:p>
        </w:tc>
        <w:tc>
          <w:tcPr>
            <w:tcW w:w="24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80,000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39,777</w:t>
            </w:r>
          </w:p>
        </w:tc>
        <w:tc>
          <w:tcPr>
            <w:tcW w:w="1260" w:type="dxa"/>
            <w:vAlign w:val="bottom"/>
            <w:gridSpan w:val="2"/>
            <w:vMerge w:val="restart"/>
            <w:shd w:val="clear" w:color="auto" w:fill="CCEEFF"/>
          </w:tcPr>
          <w:p>
            <w:pPr>
              <w:ind w:left="820"/>
              <w:spacing w:after="0"/>
              <w:rPr>
                <w:sz w:val="20"/>
                <w:szCs w:val="20"/>
                <w:color w:val="auto"/>
              </w:rPr>
            </w:pPr>
            <w:r>
              <w:rPr>
                <w:rFonts w:ascii="Arial" w:cs="Arial" w:eastAsia="Arial" w:hAnsi="Arial"/>
                <w:sz w:val="15"/>
                <w:szCs w:val="15"/>
                <w:color w:val="auto"/>
                <w:w w:val="89"/>
              </w:rPr>
              <w:t>2.18 %</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40,223</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4.26 %</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89,396</w:t>
            </w: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spacing w:after="0"/>
              <w:rPr>
                <w:sz w:val="20"/>
                <w:szCs w:val="20"/>
                <w:color w:val="auto"/>
              </w:rPr>
            </w:pPr>
            <w:r>
              <w:rPr>
                <w:rFonts w:ascii="Arial" w:cs="Arial" w:eastAsia="Arial" w:hAnsi="Arial"/>
                <w:sz w:val="15"/>
                <w:szCs w:val="15"/>
                <w:color w:val="auto"/>
              </w:rPr>
              <w:t>VF5 (3)</w:t>
            </w:r>
          </w:p>
        </w:tc>
        <w:tc>
          <w:tcPr>
            <w:tcW w:w="112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Arial" w:cs="Arial" w:eastAsia="Arial" w:hAnsi="Arial"/>
                <w:sz w:val="15"/>
                <w:szCs w:val="15"/>
                <w:color w:val="auto"/>
              </w:rPr>
              <w:t>Advance Receivables</w:t>
            </w: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line="148" w:lineRule="exact"/>
              <w:rPr>
                <w:sz w:val="20"/>
                <w:szCs w:val="20"/>
                <w:color w:val="auto"/>
              </w:rPr>
            </w:pPr>
            <w:r>
              <w:rPr>
                <w:rFonts w:ascii="Arial" w:cs="Arial" w:eastAsia="Arial" w:hAnsi="Arial"/>
                <w:sz w:val="15"/>
                <w:szCs w:val="15"/>
                <w:color w:val="auto"/>
                <w:w w:val="99"/>
              </w:rPr>
              <w:t>Backed Notes, Series 2020-</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w w:val="93"/>
              </w:rPr>
              <w:t>Aug. 2052</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3"/>
              </w:rPr>
              <w:t>Aug. 2022</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tcPr>
          <w:p>
            <w:pPr>
              <w:ind w:left="820"/>
              <w:spacing w:after="0"/>
              <w:rPr>
                <w:sz w:val="20"/>
                <w:szCs w:val="20"/>
                <w:color w:val="auto"/>
              </w:rPr>
            </w:pPr>
            <w:r>
              <w:rPr>
                <w:rFonts w:ascii="Arial" w:cs="Arial" w:eastAsia="Arial" w:hAnsi="Arial"/>
                <w:sz w:val="15"/>
                <w:szCs w:val="15"/>
                <w:color w:val="auto"/>
                <w:w w:val="89"/>
              </w:rPr>
              <w:t>1.49 %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1.49 %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475,000</w:t>
            </w:r>
          </w:p>
        </w:tc>
        <w:tc>
          <w:tcPr>
            <w:tcW w:w="0" w:type="dxa"/>
            <w:vAlign w:val="bottom"/>
          </w:tcPr>
          <w:p>
            <w:pPr>
              <w:spacing w:after="0"/>
              <w:rPr>
                <w:sz w:val="1"/>
                <w:szCs w:val="1"/>
                <w:color w:val="auto"/>
              </w:rPr>
            </w:pPr>
          </w:p>
        </w:tc>
      </w:tr>
      <w:tr>
        <w:trPr>
          <w:trHeight w:val="191"/>
        </w:trPr>
        <w:tc>
          <w:tcPr>
            <w:tcW w:w="18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T1 (4)</w:t>
            </w:r>
          </w:p>
        </w:tc>
        <w:tc>
          <w:tcPr>
            <w:tcW w:w="1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80" w:type="dxa"/>
            <w:vAlign w:val="bottom"/>
            <w:gridSpan w:val="3"/>
            <w:shd w:val="clear" w:color="auto" w:fill="CCEEFF"/>
          </w:tcPr>
          <w:p>
            <w:pPr>
              <w:ind w:left="140"/>
              <w:spacing w:after="0"/>
              <w:rPr>
                <w:sz w:val="20"/>
                <w:szCs w:val="20"/>
                <w:color w:val="auto"/>
              </w:rPr>
            </w:pPr>
            <w:r>
              <w:rPr>
                <w:rFonts w:ascii="Arial" w:cs="Arial" w:eastAsia="Arial" w:hAnsi="Arial"/>
                <w:sz w:val="15"/>
                <w:szCs w:val="15"/>
                <w:b w:val="1"/>
                <w:bCs w:val="1"/>
                <w:color w:val="auto"/>
                <w:w w:val="98"/>
              </w:rPr>
              <w:t>Total Ocwen Master Advance Receivables Trust (OMART)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39,777</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89"/>
              </w:rPr>
              <w:t>1.54 %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515,223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1.93 %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564,396</w:t>
            </w:r>
          </w:p>
        </w:tc>
        <w:tc>
          <w:tcPr>
            <w:tcW w:w="0" w:type="dxa"/>
            <w:vAlign w:val="bottom"/>
          </w:tcPr>
          <w:p>
            <w:pPr>
              <w:spacing w:after="0"/>
              <w:rPr>
                <w:sz w:val="1"/>
                <w:szCs w:val="1"/>
                <w:color w:val="auto"/>
              </w:rPr>
            </w:pPr>
          </w:p>
        </w:tc>
      </w:tr>
      <w:tr>
        <w:trPr>
          <w:trHeight w:val="147"/>
        </w:trPr>
        <w:tc>
          <w:tcPr>
            <w:tcW w:w="1880" w:type="dxa"/>
            <w:vAlign w:val="bottom"/>
          </w:tcPr>
          <w:p>
            <w:pPr>
              <w:ind w:left="20"/>
              <w:spacing w:after="0" w:line="148" w:lineRule="exact"/>
              <w:rPr>
                <w:sz w:val="20"/>
                <w:szCs w:val="20"/>
                <w:color w:val="auto"/>
              </w:rPr>
            </w:pPr>
            <w:r>
              <w:rPr>
                <w:rFonts w:ascii="Arial" w:cs="Arial" w:eastAsia="Arial" w:hAnsi="Arial"/>
                <w:sz w:val="15"/>
                <w:szCs w:val="15"/>
                <w:b w:val="1"/>
                <w:bCs w:val="1"/>
                <w:color w:val="auto"/>
              </w:rPr>
              <w:t>Ocwen Freddie Advance</w:t>
            </w: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ind w:left="160"/>
              <w:spacing w:after="0" w:line="149" w:lineRule="exact"/>
              <w:rPr>
                <w:sz w:val="20"/>
                <w:szCs w:val="20"/>
                <w:color w:val="auto"/>
              </w:rPr>
            </w:pPr>
            <w:r>
              <w:rPr>
                <w:rFonts w:ascii="Arial" w:cs="Arial" w:eastAsia="Arial" w:hAnsi="Arial"/>
                <w:sz w:val="15"/>
                <w:szCs w:val="15"/>
                <w:b w:val="1"/>
                <w:bCs w:val="1"/>
                <w:color w:val="auto"/>
              </w:rPr>
              <w:t>Funding (OFAF) -</w:t>
            </w: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80" w:type="dxa"/>
            <w:vAlign w:val="bottom"/>
          </w:tcPr>
          <w:p>
            <w:pPr>
              <w:ind w:left="160"/>
              <w:spacing w:after="0" w:line="148" w:lineRule="exact"/>
              <w:rPr>
                <w:sz w:val="20"/>
                <w:szCs w:val="20"/>
                <w:color w:val="auto"/>
              </w:rPr>
            </w:pPr>
            <w:r>
              <w:rPr>
                <w:rFonts w:ascii="Arial" w:cs="Arial" w:eastAsia="Arial" w:hAnsi="Arial"/>
                <w:sz w:val="15"/>
                <w:szCs w:val="15"/>
                <w:color w:val="auto"/>
              </w:rPr>
              <w:t>Advance Receivables</w:t>
            </w: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80" w:type="dxa"/>
            <w:vAlign w:val="bottom"/>
          </w:tcPr>
          <w:p>
            <w:pPr>
              <w:ind w:left="160"/>
              <w:spacing w:after="0" w:line="148" w:lineRule="exact"/>
              <w:rPr>
                <w:sz w:val="20"/>
                <w:szCs w:val="20"/>
                <w:color w:val="auto"/>
              </w:rPr>
            </w:pPr>
            <w:r>
              <w:rPr>
                <w:rFonts w:ascii="Arial" w:cs="Arial" w:eastAsia="Arial" w:hAnsi="Arial"/>
                <w:sz w:val="15"/>
                <w:szCs w:val="15"/>
                <w:color w:val="auto"/>
              </w:rPr>
              <w:t>Backed Notes, Series</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w w:val="93"/>
              </w:rPr>
              <w:t>Aug. 2051</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3"/>
              </w:rPr>
              <w:t>Aug. 2021</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55,041</w:t>
            </w:r>
          </w:p>
        </w:tc>
        <w:tc>
          <w:tcPr>
            <w:tcW w:w="1260" w:type="dxa"/>
            <w:vAlign w:val="bottom"/>
            <w:gridSpan w:val="2"/>
            <w:vMerge w:val="restart"/>
          </w:tcPr>
          <w:p>
            <w:pPr>
              <w:ind w:left="820"/>
              <w:spacing w:after="0"/>
              <w:rPr>
                <w:sz w:val="20"/>
                <w:szCs w:val="20"/>
                <w:color w:val="auto"/>
              </w:rPr>
            </w:pPr>
            <w:r>
              <w:rPr>
                <w:rFonts w:ascii="Arial" w:cs="Arial" w:eastAsia="Arial" w:hAnsi="Arial"/>
                <w:sz w:val="15"/>
                <w:szCs w:val="15"/>
                <w:color w:val="auto"/>
                <w:w w:val="89"/>
              </w:rPr>
              <w:t>3.18 %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14,959</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color w:val="auto"/>
              </w:rPr>
              <w:t>3.26 %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16,892</w:t>
            </w:r>
          </w:p>
        </w:tc>
        <w:tc>
          <w:tcPr>
            <w:tcW w:w="0" w:type="dxa"/>
            <w:vAlign w:val="bottom"/>
          </w:tcPr>
          <w:p>
            <w:pPr>
              <w:spacing w:after="0"/>
              <w:rPr>
                <w:sz w:val="1"/>
                <w:szCs w:val="1"/>
                <w:color w:val="auto"/>
              </w:rPr>
            </w:pPr>
          </w:p>
        </w:tc>
      </w:tr>
      <w:tr>
        <w:trPr>
          <w:trHeight w:val="191"/>
        </w:trPr>
        <w:tc>
          <w:tcPr>
            <w:tcW w:w="188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2015-VF1 (5)</w:t>
            </w:r>
          </w:p>
        </w:tc>
        <w:tc>
          <w:tcPr>
            <w:tcW w:w="1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94,818</w:t>
            </w: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5"/>
                <w:szCs w:val="15"/>
                <w:color w:val="auto"/>
                <w:w w:val="89"/>
              </w:rPr>
              <w:t>1.59 %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530,182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1.96 %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581,288</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269" w:right="80" w:hanging="269"/>
        <w:spacing w:after="0" w:line="241" w:lineRule="auto"/>
        <w:tabs>
          <w:tab w:leader="none" w:pos="269"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ind w:left="269" w:right="60" w:hanging="269"/>
        <w:spacing w:after="0" w:line="236" w:lineRule="auto"/>
        <w:tabs>
          <w:tab w:leader="none" w:pos="269" w:val="left"/>
        </w:tabs>
        <w:numPr>
          <w:ilvl w:val="0"/>
          <w:numId w:val="15"/>
        </w:numPr>
        <w:rPr>
          <w:rFonts w:ascii="Arial" w:cs="Arial" w:eastAsia="Arial" w:hAnsi="Arial"/>
          <w:sz w:val="14"/>
          <w:szCs w:val="14"/>
          <w:color w:val="auto"/>
        </w:rPr>
      </w:pPr>
      <w:r>
        <w:rPr>
          <w:rFonts w:ascii="Arial" w:cs="Arial" w:eastAsia="Arial" w:hAnsi="Arial"/>
          <w:sz w:val="14"/>
          <w:szCs w:val="14"/>
          <w:color w:val="auto"/>
        </w:rPr>
        <w:t>Borrowing capacity under the OMART and OFAF facilities is available to us provided that we have sufficient eligible collateral to pledge. At June 30, 2021, none of the available borrowing capacity of the OMART and OFAF advance financing notes could be used based on the amount of eligible collateral.</w:t>
      </w:r>
    </w:p>
    <w:p>
      <w:pPr>
        <w:spacing w:after="0" w:line="1" w:lineRule="exact"/>
        <w:rPr>
          <w:rFonts w:ascii="Arial" w:cs="Arial" w:eastAsia="Arial" w:hAnsi="Arial"/>
          <w:sz w:val="14"/>
          <w:szCs w:val="14"/>
          <w:color w:val="auto"/>
        </w:rPr>
      </w:pPr>
    </w:p>
    <w:p>
      <w:pPr>
        <w:ind w:left="269" w:right="400" w:hanging="269"/>
        <w:spacing w:after="0" w:line="236" w:lineRule="auto"/>
        <w:tabs>
          <w:tab w:leader="none" w:pos="269"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Interest is computed based on the lender’s cost of funds plus a margin of 200 bps. On June 30, 2021, the amortization date was extended by one year to June 30, 2022, the interest rate margin was reduced from 400 bps to 200 bps, and the borrowing capacity was reduced to $80.0 million.</w:t>
      </w:r>
    </w:p>
    <w:p>
      <w:pPr>
        <w:spacing w:after="0" w:line="1" w:lineRule="exact"/>
        <w:rPr>
          <w:rFonts w:ascii="Arial" w:cs="Arial" w:eastAsia="Arial" w:hAnsi="Arial"/>
          <w:sz w:val="14"/>
          <w:szCs w:val="14"/>
          <w:color w:val="auto"/>
        </w:rPr>
      </w:pPr>
    </w:p>
    <w:p>
      <w:pPr>
        <w:ind w:left="269" w:hanging="269"/>
        <w:spacing w:after="0" w:line="236" w:lineRule="auto"/>
        <w:tabs>
          <w:tab w:leader="none" w:pos="269"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weighted average rate of the notes at June 30, 2021 is 1.49%, with rates on the individual classes of notes ranging from 1.28% to 5.42%.</w:t>
      </w:r>
    </w:p>
    <w:p>
      <w:pPr>
        <w:ind w:left="269" w:hanging="269"/>
        <w:spacing w:after="0" w:line="236" w:lineRule="auto"/>
        <w:tabs>
          <w:tab w:leader="none" w:pos="269"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Interest is computed based on the lender’s cost of funds plus a margin of 300 bps. On June 30, 2021, the amortization date was extended to August 27, 2021.</w:t>
      </w:r>
    </w:p>
    <w:p>
      <w:pPr>
        <w:ind w:left="269" w:right="120" w:hanging="269"/>
        <w:spacing w:after="0" w:line="238" w:lineRule="auto"/>
        <w:tabs>
          <w:tab w:leader="none" w:pos="269"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weighted average interest rate, excluding the effect of the amortization of prepaid lender fees, is computed using the outstanding balance of each respective note and its interest rate at the financial statement date. At June 30, 2021 and December 31, 2020, the balance of unamortized prepaid lender fees was $2.1 million and $4.3 million, respectively, and are included in Other assets in our consolidated balance sheets.</w:t>
      </w:r>
    </w:p>
    <w:p>
      <w:pPr>
        <w:spacing w:after="0" w:line="200" w:lineRule="exact"/>
        <w:rPr>
          <w:sz w:val="20"/>
          <w:szCs w:val="20"/>
          <w:color w:val="auto"/>
        </w:rPr>
      </w:pPr>
    </w:p>
    <w:p>
      <w:pPr>
        <w:spacing w:after="0" w:line="24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1033" w:right="319" w:bottom="1440" w:gutter="0" w:footer="0" w:header="0"/>
        </w:sectPr>
      </w:pPr>
    </w:p>
    <w:bookmarkStart w:id="35" w:name="page36"/>
    <w:bookmarkEnd w:id="35"/>
    <w:tbl>
      <w:tblPr>
        <w:tblLayout w:type="fixed"/>
        <w:tblInd w:w="9" w:type="dxa"/>
        <w:tblCellMar>
          <w:top w:w="0" w:type="dxa"/>
          <w:left w:w="0" w:type="dxa"/>
          <w:bottom w:w="0" w:type="dxa"/>
          <w:right w:w="0" w:type="dxa"/>
        </w:tblCellMar>
      </w:tblPr>
      <w:tr>
        <w:trPr>
          <w:trHeight w:val="195"/>
        </w:trPr>
        <w:tc>
          <w:tcPr>
            <w:tcW w:w="3420" w:type="dxa"/>
            <w:vAlign w:val="bottom"/>
            <w:gridSpan w:val="2"/>
          </w:tcPr>
          <w:p>
            <w:pPr>
              <w:spacing w:after="0"/>
              <w:rPr>
                <w:sz w:val="20"/>
                <w:szCs w:val="20"/>
                <w:color w:val="auto"/>
              </w:rPr>
            </w:pPr>
            <w:r>
              <w:rPr>
                <w:rFonts w:ascii="Arial" w:cs="Arial" w:eastAsia="Arial" w:hAnsi="Arial"/>
                <w:sz w:val="15"/>
                <w:szCs w:val="15"/>
                <w:b w:val="1"/>
                <w:bCs w:val="1"/>
                <w:color w:val="auto"/>
              </w:rPr>
              <w:t>Mortgage Loan Warehouse Facilities</w:t>
            </w: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5"/>
                <w:szCs w:val="15"/>
                <w:b w:val="1"/>
                <w:bCs w:val="1"/>
                <w:color w:val="auto"/>
              </w:rPr>
              <w:t>Available Borrowing Capacity</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40"/>
        </w:trPr>
        <w:tc>
          <w:tcPr>
            <w:tcW w:w="226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Borrowing Type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Collateral</w:t>
            </w:r>
          </w:p>
        </w:tc>
        <w:tc>
          <w:tcPr>
            <w:tcW w:w="13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Interest Rate (1)</w:t>
            </w:r>
          </w:p>
        </w:tc>
        <w:tc>
          <w:tcPr>
            <w:tcW w:w="1040" w:type="dxa"/>
            <w:vAlign w:val="bottom"/>
            <w:vMerge w:val="restart"/>
          </w:tcPr>
          <w:p>
            <w:pPr>
              <w:jc w:val="center"/>
              <w:ind w:right="24"/>
              <w:spacing w:after="0"/>
              <w:rPr>
                <w:sz w:val="20"/>
                <w:szCs w:val="20"/>
                <w:color w:val="auto"/>
              </w:rPr>
            </w:pPr>
            <w:r>
              <w:rPr>
                <w:rFonts w:ascii="Arial" w:cs="Arial" w:eastAsia="Arial" w:hAnsi="Arial"/>
                <w:sz w:val="15"/>
                <w:szCs w:val="15"/>
                <w:b w:val="1"/>
                <w:bCs w:val="1"/>
                <w:color w:val="auto"/>
                <w:w w:val="99"/>
              </w:rPr>
              <w:t>Maturity</w:t>
            </w:r>
          </w:p>
        </w:tc>
        <w:tc>
          <w:tcPr>
            <w:tcW w:w="180" w:type="dxa"/>
            <w:vAlign w:val="bottom"/>
          </w:tcPr>
          <w:p>
            <w:pPr>
              <w:spacing w:after="0"/>
              <w:rPr>
                <w:sz w:val="12"/>
                <w:szCs w:val="12"/>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rPr>
              <w:t>Uncommitted</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w w:val="97"/>
              </w:rPr>
              <w:t>Committed (2)</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2"/>
              </w:rPr>
              <w:t>June 30, 2021</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04"/>
              <w:spacing w:after="0" w:line="140" w:lineRule="exact"/>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193"/>
        </w:trPr>
        <w:tc>
          <w:tcPr>
            <w:tcW w:w="226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28"/>
        </w:trPr>
        <w:tc>
          <w:tcPr>
            <w:tcW w:w="22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Master repurchase agreement (3)</w:t>
            </w:r>
          </w:p>
        </w:tc>
        <w:tc>
          <w:tcPr>
            <w:tcW w:w="11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9"/>
              </w:rPr>
              <w:t>Loans held for</w:t>
            </w:r>
          </w:p>
        </w:tc>
        <w:tc>
          <w:tcPr>
            <w:tcW w:w="132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1ML + 220 - 375</w:t>
            </w:r>
          </w:p>
        </w:tc>
        <w:tc>
          <w:tcPr>
            <w:tcW w:w="1040" w:type="dxa"/>
            <w:vAlign w:val="bottom"/>
            <w:vMerge w:val="restart"/>
            <w:shd w:val="clear" w:color="auto" w:fill="CCEEFF"/>
          </w:tcPr>
          <w:p>
            <w:pPr>
              <w:jc w:val="center"/>
              <w:ind w:right="24"/>
              <w:spacing w:after="0"/>
              <w:rPr>
                <w:sz w:val="20"/>
                <w:szCs w:val="20"/>
                <w:color w:val="auto"/>
              </w:rPr>
            </w:pPr>
            <w:r>
              <w:rPr>
                <w:rFonts w:ascii="Arial" w:cs="Arial" w:eastAsia="Arial" w:hAnsi="Arial"/>
                <w:sz w:val="15"/>
                <w:szCs w:val="15"/>
                <w:color w:val="auto"/>
                <w:w w:val="88"/>
              </w:rPr>
              <w:t>June 2022</w:t>
            </w:r>
          </w:p>
        </w:tc>
        <w:tc>
          <w:tcPr>
            <w:tcW w:w="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99,250</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175,750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195,773</w:t>
            </w:r>
          </w:p>
        </w:tc>
        <w:tc>
          <w:tcPr>
            <w:tcW w:w="0" w:type="dxa"/>
            <w:vAlign w:val="bottom"/>
          </w:tcPr>
          <w:p>
            <w:pPr>
              <w:spacing w:after="0"/>
              <w:rPr>
                <w:sz w:val="1"/>
                <w:szCs w:val="1"/>
                <w:color w:val="auto"/>
              </w:rPr>
            </w:pPr>
          </w:p>
        </w:tc>
      </w:tr>
      <w:tr>
        <w:trPr>
          <w:trHeight w:val="192"/>
        </w:trPr>
        <w:tc>
          <w:tcPr>
            <w:tcW w:w="2260" w:type="dxa"/>
            <w:vAlign w:val="bottom"/>
            <w:vMerge w:val="continue"/>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sale (LHFS)</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bps</w:t>
            </w:r>
          </w:p>
        </w:tc>
        <w:tc>
          <w:tcPr>
            <w:tcW w:w="104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6"/>
              </w:rPr>
              <w:t>LHFS (forward</w:t>
            </w:r>
          </w:p>
        </w:tc>
        <w:tc>
          <w:tcPr>
            <w:tcW w:w="1320" w:type="dxa"/>
            <w:vAlign w:val="bottom"/>
          </w:tcPr>
          <w:p>
            <w:pPr>
              <w:jc w:val="center"/>
              <w:spacing w:after="0" w:line="149" w:lineRule="exact"/>
              <w:rPr>
                <w:sz w:val="20"/>
                <w:szCs w:val="20"/>
                <w:color w:val="auto"/>
              </w:rPr>
            </w:pPr>
            <w:r>
              <w:rPr>
                <w:rFonts w:ascii="Arial" w:cs="Arial" w:eastAsia="Arial" w:hAnsi="Arial"/>
                <w:sz w:val="15"/>
                <w:szCs w:val="15"/>
                <w:color w:val="auto"/>
                <w:w w:val="94"/>
              </w:rPr>
              <w:t>1ML + 325 bps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vMerge w:val="restart"/>
          </w:tcPr>
          <w:p>
            <w:pPr>
              <w:spacing w:after="0"/>
              <w:rPr>
                <w:sz w:val="20"/>
                <w:szCs w:val="20"/>
                <w:color w:val="auto"/>
              </w:rPr>
            </w:pPr>
            <w:r>
              <w:rPr>
                <w:rFonts w:ascii="Arial" w:cs="Arial" w:eastAsia="Arial" w:hAnsi="Arial"/>
                <w:sz w:val="15"/>
                <w:szCs w:val="15"/>
                <w:color w:val="auto"/>
              </w:rPr>
              <w:t>Master repurchase agreement (4)</w:t>
            </w:r>
          </w:p>
        </w:tc>
        <w:tc>
          <w:tcPr>
            <w:tcW w:w="1160" w:type="dxa"/>
            <w:vAlign w:val="bottom"/>
            <w:vMerge w:val="continue"/>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5"/>
                <w:szCs w:val="15"/>
                <w:color w:val="auto"/>
                <w:w w:val="97"/>
              </w:rPr>
              <w:t>forward; 1ML +</w:t>
            </w:r>
          </w:p>
        </w:tc>
        <w:tc>
          <w:tcPr>
            <w:tcW w:w="1040" w:type="dxa"/>
            <w:vAlign w:val="bottom"/>
            <w:vMerge w:val="restart"/>
          </w:tcPr>
          <w:p>
            <w:pPr>
              <w:jc w:val="center"/>
              <w:ind w:right="24"/>
              <w:spacing w:after="0"/>
              <w:rPr>
                <w:sz w:val="20"/>
                <w:szCs w:val="20"/>
                <w:color w:val="auto"/>
              </w:rPr>
            </w:pPr>
            <w:r>
              <w:rPr>
                <w:rFonts w:ascii="Arial" w:cs="Arial" w:eastAsia="Arial" w:hAnsi="Arial"/>
                <w:sz w:val="15"/>
                <w:szCs w:val="15"/>
                <w:color w:val="auto"/>
                <w:w w:val="90"/>
              </w:rPr>
              <w:t>Nov. 2021</w:t>
            </w: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69,021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130,979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80,081</w:t>
            </w:r>
          </w:p>
        </w:tc>
        <w:tc>
          <w:tcPr>
            <w:tcW w:w="0" w:type="dxa"/>
            <w:vAlign w:val="bottom"/>
          </w:tcPr>
          <w:p>
            <w:pPr>
              <w:spacing w:after="0"/>
              <w:rPr>
                <w:sz w:val="1"/>
                <w:szCs w:val="1"/>
                <w:color w:val="auto"/>
              </w:rPr>
            </w:pPr>
          </w:p>
        </w:tc>
      </w:tr>
      <w:tr>
        <w:trPr>
          <w:trHeight w:val="191"/>
        </w:trPr>
        <w:tc>
          <w:tcPr>
            <w:tcW w:w="226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87"/>
              </w:rPr>
              <w:t>and reverse)</w:t>
            </w:r>
          </w:p>
        </w:tc>
        <w:tc>
          <w:tcPr>
            <w:tcW w:w="1320" w:type="dxa"/>
            <w:vAlign w:val="bottom"/>
          </w:tcPr>
          <w:p>
            <w:pPr>
              <w:jc w:val="center"/>
              <w:spacing w:after="0"/>
              <w:rPr>
                <w:sz w:val="20"/>
                <w:szCs w:val="20"/>
                <w:color w:val="auto"/>
              </w:rPr>
            </w:pPr>
            <w:r>
              <w:rPr>
                <w:rFonts w:ascii="Arial" w:cs="Arial" w:eastAsia="Arial" w:hAnsi="Arial"/>
                <w:sz w:val="15"/>
                <w:szCs w:val="15"/>
                <w:color w:val="auto"/>
                <w:w w:val="87"/>
              </w:rPr>
              <w:t>350 bps reverse</w:t>
            </w: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91"/>
              </w:rPr>
              <w:t>SOFR + 190 bps;</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Master repurchase agreement (5)</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5"/>
                <w:szCs w:val="15"/>
                <w:color w:val="auto"/>
                <w:w w:val="93"/>
              </w:rPr>
              <w:t>SOFR floor 25</w:t>
            </w:r>
          </w:p>
        </w:tc>
        <w:tc>
          <w:tcPr>
            <w:tcW w:w="1040" w:type="dxa"/>
            <w:vAlign w:val="bottom"/>
            <w:vMerge w:val="restart"/>
            <w:shd w:val="clear" w:color="auto" w:fill="CCEEFF"/>
          </w:tcPr>
          <w:p>
            <w:pPr>
              <w:jc w:val="center"/>
              <w:ind w:right="24"/>
              <w:spacing w:after="0"/>
              <w:rPr>
                <w:sz w:val="20"/>
                <w:szCs w:val="20"/>
                <w:color w:val="auto"/>
              </w:rPr>
            </w:pPr>
            <w:r>
              <w:rPr>
                <w:rFonts w:ascii="Arial" w:cs="Arial" w:eastAsia="Arial" w:hAnsi="Arial"/>
                <w:sz w:val="15"/>
                <w:szCs w:val="15"/>
                <w:color w:val="auto"/>
              </w:rPr>
              <w:t>N/A</w:t>
            </w:r>
          </w:p>
        </w:tc>
        <w:tc>
          <w:tcPr>
            <w:tcW w:w="1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26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bps</w:t>
            </w:r>
          </w:p>
        </w:tc>
        <w:tc>
          <w:tcPr>
            <w:tcW w:w="10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20"/>
                <w:szCs w:val="20"/>
                <w:color w:val="auto"/>
              </w:rPr>
            </w:pPr>
            <w:r>
              <w:rPr>
                <w:rFonts w:ascii="Arial" w:cs="Arial" w:eastAsia="Arial" w:hAnsi="Arial"/>
                <w:sz w:val="15"/>
                <w:szCs w:val="15"/>
                <w:color w:val="auto"/>
              </w:rPr>
              <w:t>Participation agreement (6)</w:t>
            </w:r>
          </w:p>
        </w:tc>
        <w:tc>
          <w:tcPr>
            <w:tcW w:w="1160" w:type="dxa"/>
            <w:vAlign w:val="bottom"/>
          </w:tcPr>
          <w:p>
            <w:pPr>
              <w:jc w:val="center"/>
              <w:spacing w:after="0"/>
              <w:rPr>
                <w:sz w:val="20"/>
                <w:szCs w:val="20"/>
                <w:color w:val="auto"/>
              </w:rPr>
            </w:pPr>
            <w:r>
              <w:rPr>
                <w:rFonts w:ascii="Arial" w:cs="Arial" w:eastAsia="Arial" w:hAnsi="Arial"/>
                <w:sz w:val="15"/>
                <w:szCs w:val="15"/>
                <w:color w:val="auto"/>
                <w:w w:val="93"/>
              </w:rPr>
              <w:t>LHFS</w:t>
            </w:r>
          </w:p>
        </w:tc>
        <w:tc>
          <w:tcPr>
            <w:tcW w:w="1320" w:type="dxa"/>
            <w:vAlign w:val="bottom"/>
          </w:tcPr>
          <w:p>
            <w:pPr>
              <w:jc w:val="center"/>
              <w:spacing w:after="0"/>
              <w:rPr>
                <w:sz w:val="20"/>
                <w:szCs w:val="20"/>
                <w:color w:val="auto"/>
              </w:rPr>
            </w:pPr>
            <w:r>
              <w:rPr>
                <w:rFonts w:ascii="Arial" w:cs="Arial" w:eastAsia="Arial" w:hAnsi="Arial"/>
                <w:sz w:val="15"/>
                <w:szCs w:val="15"/>
                <w:color w:val="auto"/>
                <w:w w:val="97"/>
              </w:rPr>
              <w:t>(6)</w:t>
            </w:r>
          </w:p>
        </w:tc>
        <w:tc>
          <w:tcPr>
            <w:tcW w:w="1040" w:type="dxa"/>
            <w:vAlign w:val="bottom"/>
          </w:tcPr>
          <w:p>
            <w:pPr>
              <w:jc w:val="center"/>
              <w:ind w:right="24"/>
              <w:spacing w:after="0"/>
              <w:rPr>
                <w:sz w:val="20"/>
                <w:szCs w:val="20"/>
                <w:color w:val="auto"/>
              </w:rPr>
            </w:pPr>
            <w:r>
              <w:rPr>
                <w:rFonts w:ascii="Arial" w:cs="Arial" w:eastAsia="Arial" w:hAnsi="Arial"/>
                <w:sz w:val="15"/>
                <w:szCs w:val="15"/>
                <w:color w:val="auto"/>
                <w:w w:val="88"/>
              </w:rPr>
              <w:t>June 2022</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71,740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78,260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Master repurchase agreement (6)</w:t>
            </w: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LHFS</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(6)</w:t>
            </w:r>
          </w:p>
        </w:tc>
        <w:tc>
          <w:tcPr>
            <w:tcW w:w="10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88"/>
              </w:rPr>
              <w:t>June 2022</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63,281</w:t>
            </w:r>
          </w:p>
        </w:tc>
        <w:tc>
          <w:tcPr>
            <w:tcW w:w="0" w:type="dxa"/>
            <w:vAlign w:val="bottom"/>
          </w:tcPr>
          <w:p>
            <w:pPr>
              <w:spacing w:after="0"/>
              <w:rPr>
                <w:sz w:val="1"/>
                <w:szCs w:val="1"/>
                <w:color w:val="auto"/>
              </w:rPr>
            </w:pPr>
          </w:p>
        </w:tc>
      </w:tr>
      <w:tr>
        <w:trPr>
          <w:trHeight w:val="192"/>
        </w:trPr>
        <w:tc>
          <w:tcPr>
            <w:tcW w:w="2260" w:type="dxa"/>
            <w:vAlign w:val="bottom"/>
          </w:tcPr>
          <w:p>
            <w:pPr>
              <w:spacing w:after="0"/>
              <w:rPr>
                <w:sz w:val="20"/>
                <w:szCs w:val="20"/>
                <w:color w:val="auto"/>
              </w:rPr>
            </w:pPr>
            <w:r>
              <w:rPr>
                <w:rFonts w:ascii="Arial" w:cs="Arial" w:eastAsia="Arial" w:hAnsi="Arial"/>
                <w:sz w:val="15"/>
                <w:szCs w:val="15"/>
                <w:color w:val="auto"/>
              </w:rPr>
              <w:t>Master repurchase agreement (7)</w:t>
            </w:r>
          </w:p>
        </w:tc>
        <w:tc>
          <w:tcPr>
            <w:tcW w:w="1160" w:type="dxa"/>
            <w:vAlign w:val="bottom"/>
          </w:tcPr>
          <w:p>
            <w:pPr>
              <w:jc w:val="center"/>
              <w:spacing w:after="0"/>
              <w:rPr>
                <w:sz w:val="20"/>
                <w:szCs w:val="20"/>
                <w:color w:val="auto"/>
              </w:rPr>
            </w:pPr>
            <w:r>
              <w:rPr>
                <w:rFonts w:ascii="Arial" w:cs="Arial" w:eastAsia="Arial" w:hAnsi="Arial"/>
                <w:sz w:val="15"/>
                <w:szCs w:val="15"/>
                <w:color w:val="auto"/>
                <w:w w:val="93"/>
              </w:rPr>
              <w:t>LHFS</w:t>
            </w:r>
          </w:p>
        </w:tc>
        <w:tc>
          <w:tcPr>
            <w:tcW w:w="1320" w:type="dxa"/>
            <w:vAlign w:val="bottom"/>
          </w:tcPr>
          <w:p>
            <w:pPr>
              <w:jc w:val="center"/>
              <w:spacing w:after="0"/>
              <w:rPr>
                <w:sz w:val="20"/>
                <w:szCs w:val="20"/>
                <w:color w:val="auto"/>
              </w:rPr>
            </w:pPr>
            <w:r>
              <w:rPr>
                <w:rFonts w:ascii="Arial" w:cs="Arial" w:eastAsia="Arial" w:hAnsi="Arial"/>
                <w:sz w:val="15"/>
                <w:szCs w:val="15"/>
                <w:color w:val="auto"/>
                <w:w w:val="97"/>
              </w:rPr>
              <w:t>(7)</w:t>
            </w:r>
          </w:p>
        </w:tc>
        <w:tc>
          <w:tcPr>
            <w:tcW w:w="1040" w:type="dxa"/>
            <w:vAlign w:val="bottom"/>
          </w:tcPr>
          <w:p>
            <w:pPr>
              <w:jc w:val="center"/>
              <w:ind w:right="24"/>
              <w:spacing w:after="0"/>
              <w:rPr>
                <w:sz w:val="20"/>
                <w:szCs w:val="20"/>
                <w:color w:val="auto"/>
              </w:rPr>
            </w:pPr>
            <w:r>
              <w:rPr>
                <w:rFonts w:ascii="Arial" w:cs="Arial" w:eastAsia="Arial" w:hAnsi="Arial"/>
                <w:sz w:val="15"/>
                <w:szCs w:val="15"/>
                <w:color w:val="auto"/>
                <w:w w:val="88"/>
              </w:rPr>
              <w:t>June 2022</w:t>
            </w:r>
          </w:p>
        </w:tc>
        <w:tc>
          <w:tcPr>
            <w:tcW w:w="1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2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w w:val="93"/>
              </w:rPr>
              <w:t>Mortgage warehouse agreement (8)</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LHFS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94"/>
              </w:rPr>
              <w:t>1ML + 350 bps;</w:t>
            </w:r>
          </w:p>
        </w:tc>
        <w:tc>
          <w:tcPr>
            <w:tcW w:w="1040" w:type="dxa"/>
            <w:vAlign w:val="bottom"/>
            <w:vMerge w:val="restart"/>
            <w:shd w:val="clear" w:color="auto" w:fill="CCEEFF"/>
          </w:tcPr>
          <w:p>
            <w:pPr>
              <w:jc w:val="center"/>
              <w:ind w:right="24"/>
              <w:spacing w:after="0"/>
              <w:rPr>
                <w:sz w:val="20"/>
                <w:szCs w:val="20"/>
                <w:color w:val="auto"/>
              </w:rPr>
            </w:pPr>
            <w:r>
              <w:rPr>
                <w:rFonts w:ascii="Arial" w:cs="Arial" w:eastAsia="Arial" w:hAnsi="Arial"/>
                <w:sz w:val="15"/>
                <w:szCs w:val="15"/>
                <w:color w:val="auto"/>
                <w:w w:val="87"/>
              </w:rPr>
              <w:t>Jan. 2022</w:t>
            </w:r>
          </w:p>
        </w:tc>
        <w:tc>
          <w:tcPr>
            <w:tcW w:w="18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11,715</w:t>
            </w:r>
          </w:p>
        </w:tc>
        <w:tc>
          <w:tcPr>
            <w:tcW w:w="0" w:type="dxa"/>
            <w:vAlign w:val="bottom"/>
          </w:tcPr>
          <w:p>
            <w:pPr>
              <w:spacing w:after="0"/>
              <w:rPr>
                <w:sz w:val="1"/>
                <w:szCs w:val="1"/>
                <w:color w:val="auto"/>
              </w:rPr>
            </w:pPr>
          </w:p>
        </w:tc>
      </w:tr>
      <w:tr>
        <w:trPr>
          <w:trHeight w:val="192"/>
        </w:trPr>
        <w:tc>
          <w:tcPr>
            <w:tcW w:w="226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Floor 5.25%</w:t>
            </w:r>
          </w:p>
        </w:tc>
        <w:tc>
          <w:tcPr>
            <w:tcW w:w="10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Arial" w:cs="Arial" w:eastAsia="Arial" w:hAnsi="Arial"/>
                <w:sz w:val="15"/>
                <w:szCs w:val="15"/>
                <w:color w:val="auto"/>
                <w:w w:val="93"/>
              </w:rPr>
              <w:t>Mortgage warehouse agreement (9)</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1"/>
              </w:rPr>
              <w:t>LHFS (reverse)</w:t>
            </w:r>
          </w:p>
        </w:tc>
        <w:tc>
          <w:tcPr>
            <w:tcW w:w="1320" w:type="dxa"/>
            <w:vAlign w:val="bottom"/>
          </w:tcPr>
          <w:p>
            <w:pPr>
              <w:jc w:val="center"/>
              <w:spacing w:after="0" w:line="149" w:lineRule="exact"/>
              <w:rPr>
                <w:sz w:val="20"/>
                <w:szCs w:val="20"/>
                <w:color w:val="auto"/>
              </w:rPr>
            </w:pPr>
            <w:r>
              <w:rPr>
                <w:rFonts w:ascii="Arial" w:cs="Arial" w:eastAsia="Arial" w:hAnsi="Arial"/>
                <w:sz w:val="15"/>
                <w:szCs w:val="15"/>
                <w:color w:val="auto"/>
                <w:w w:val="94"/>
              </w:rPr>
              <w:t>1ML + 250 bps;</w:t>
            </w:r>
          </w:p>
        </w:tc>
        <w:tc>
          <w:tcPr>
            <w:tcW w:w="1040" w:type="dxa"/>
            <w:vAlign w:val="bottom"/>
            <w:vMerge w:val="restart"/>
          </w:tcPr>
          <w:p>
            <w:pPr>
              <w:jc w:val="center"/>
              <w:ind w:right="4"/>
              <w:spacing w:after="0"/>
              <w:rPr>
                <w:sz w:val="20"/>
                <w:szCs w:val="20"/>
                <w:color w:val="auto"/>
              </w:rPr>
            </w:pPr>
            <w:r>
              <w:rPr>
                <w:rFonts w:ascii="Arial" w:cs="Arial" w:eastAsia="Arial" w:hAnsi="Arial"/>
                <w:sz w:val="15"/>
                <w:szCs w:val="15"/>
                <w:color w:val="auto"/>
                <w:w w:val="92"/>
              </w:rPr>
              <w:t>Oct. 2021</w:t>
            </w: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28,508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121,492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73,134</w:t>
            </w:r>
          </w:p>
        </w:tc>
        <w:tc>
          <w:tcPr>
            <w:tcW w:w="0" w:type="dxa"/>
            <w:vAlign w:val="bottom"/>
          </w:tcPr>
          <w:p>
            <w:pPr>
              <w:spacing w:after="0"/>
              <w:rPr>
                <w:sz w:val="1"/>
                <w:szCs w:val="1"/>
                <w:color w:val="auto"/>
              </w:rPr>
            </w:pPr>
          </w:p>
        </w:tc>
      </w:tr>
      <w:tr>
        <w:trPr>
          <w:trHeight w:val="191"/>
        </w:trPr>
        <w:tc>
          <w:tcPr>
            <w:tcW w:w="22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7"/>
              </w:rPr>
              <w:t>3.25% floor</w:t>
            </w: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Mortgage warehouse agreement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3"/>
              </w:rPr>
              <w:t>LHFS</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7"/>
              </w:rPr>
              <w:t>(10)</w:t>
            </w:r>
          </w:p>
        </w:tc>
        <w:tc>
          <w:tcPr>
            <w:tcW w:w="1040" w:type="dxa"/>
            <w:vAlign w:val="bottom"/>
            <w:vMerge w:val="restart"/>
            <w:shd w:val="clear" w:color="auto" w:fill="CCEEFF"/>
          </w:tcPr>
          <w:p>
            <w:pPr>
              <w:jc w:val="center"/>
              <w:ind w:right="24"/>
              <w:spacing w:after="0"/>
              <w:rPr>
                <w:sz w:val="20"/>
                <w:szCs w:val="20"/>
                <w:color w:val="auto"/>
              </w:rPr>
            </w:pPr>
            <w:r>
              <w:rPr>
                <w:rFonts w:ascii="Arial" w:cs="Arial" w:eastAsia="Arial" w:hAnsi="Arial"/>
                <w:sz w:val="15"/>
                <w:szCs w:val="15"/>
                <w:color w:val="auto"/>
              </w:rPr>
              <w:t>N/A</w:t>
            </w:r>
          </w:p>
        </w:tc>
        <w:tc>
          <w:tcPr>
            <w:tcW w:w="1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37,425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112,575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27,729</w:t>
            </w: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(10)</w:t>
            </w:r>
          </w:p>
        </w:tc>
        <w:tc>
          <w:tcPr>
            <w:tcW w:w="11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5"/>
                <w:szCs w:val="15"/>
                <w:color w:val="auto"/>
                <w:w w:val="96"/>
              </w:rPr>
              <w:t>1ML + 150 - 200</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vMerge w:val="restart"/>
          </w:tcPr>
          <w:p>
            <w:pPr>
              <w:spacing w:after="0"/>
              <w:rPr>
                <w:sz w:val="20"/>
                <w:szCs w:val="20"/>
                <w:color w:val="auto"/>
              </w:rPr>
            </w:pPr>
            <w:r>
              <w:rPr>
                <w:rFonts w:ascii="Arial" w:cs="Arial" w:eastAsia="Arial" w:hAnsi="Arial"/>
                <w:sz w:val="15"/>
                <w:szCs w:val="15"/>
                <w:color w:val="auto"/>
                <w:w w:val="96"/>
              </w:rPr>
              <w:t>Master repurchase agreement (11)</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3"/>
              </w:rPr>
              <w:t>LHFS</w:t>
            </w:r>
          </w:p>
        </w:tc>
        <w:tc>
          <w:tcPr>
            <w:tcW w:w="1320" w:type="dxa"/>
            <w:vAlign w:val="bottom"/>
          </w:tcPr>
          <w:p>
            <w:pPr>
              <w:jc w:val="center"/>
              <w:spacing w:after="0" w:line="148" w:lineRule="exact"/>
              <w:rPr>
                <w:sz w:val="20"/>
                <w:szCs w:val="20"/>
                <w:color w:val="auto"/>
              </w:rPr>
            </w:pPr>
            <w:r>
              <w:rPr>
                <w:rFonts w:ascii="Arial" w:cs="Arial" w:eastAsia="Arial" w:hAnsi="Arial"/>
                <w:sz w:val="15"/>
                <w:szCs w:val="15"/>
                <w:color w:val="auto"/>
                <w:w w:val="93"/>
              </w:rPr>
              <w:t>bps; Floor 250</w:t>
            </w:r>
          </w:p>
        </w:tc>
        <w:tc>
          <w:tcPr>
            <w:tcW w:w="1040" w:type="dxa"/>
            <w:vAlign w:val="bottom"/>
            <w:vMerge w:val="restart"/>
          </w:tcPr>
          <w:p>
            <w:pPr>
              <w:jc w:val="center"/>
              <w:ind w:right="24"/>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154,296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2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0"/>
              </w:rPr>
              <w:t>bps</w:t>
            </w: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w w:val="99"/>
              </w:rPr>
              <w:t>Loan and security agreement (12)</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9"/>
              </w:rPr>
              <w:t>HECM (ABO)</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90"/>
              </w:rPr>
              <w:t>Prime Rate + 50</w:t>
            </w:r>
          </w:p>
        </w:tc>
        <w:tc>
          <w:tcPr>
            <w:tcW w:w="1040" w:type="dxa"/>
            <w:vAlign w:val="bottom"/>
            <w:vMerge w:val="restart"/>
            <w:shd w:val="clear" w:color="auto" w:fill="CCEEFF"/>
          </w:tcPr>
          <w:p>
            <w:pPr>
              <w:jc w:val="center"/>
              <w:ind w:right="4"/>
              <w:spacing w:after="0"/>
              <w:rPr>
                <w:sz w:val="20"/>
                <w:szCs w:val="20"/>
                <w:color w:val="auto"/>
              </w:rPr>
            </w:pPr>
            <w:r>
              <w:rPr>
                <w:rFonts w:ascii="Arial" w:cs="Arial" w:eastAsia="Arial" w:hAnsi="Arial"/>
                <w:sz w:val="15"/>
                <w:szCs w:val="15"/>
                <w:color w:val="auto"/>
                <w:w w:val="92"/>
              </w:rPr>
              <w:t>Apr. 2022</w:t>
            </w:r>
          </w:p>
        </w:tc>
        <w:tc>
          <w:tcPr>
            <w:tcW w:w="18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26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bps</w:t>
            </w:r>
          </w:p>
        </w:tc>
        <w:tc>
          <w:tcPr>
            <w:tcW w:w="10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ind w:left="100"/>
              <w:spacing w:after="0"/>
              <w:rPr>
                <w:sz w:val="20"/>
                <w:szCs w:val="20"/>
                <w:color w:val="auto"/>
              </w:rPr>
            </w:pPr>
            <w:r>
              <w:rPr>
                <w:rFonts w:ascii="Arial" w:cs="Arial" w:eastAsia="Arial" w:hAnsi="Arial"/>
                <w:sz w:val="15"/>
                <w:szCs w:val="15"/>
                <w:b w:val="1"/>
                <w:bCs w:val="1"/>
                <w:color w:val="auto"/>
              </w:rPr>
              <w:t>Total mortgage loan warehouse facilities</w:t>
            </w:r>
          </w:p>
        </w:tc>
        <w:tc>
          <w:tcPr>
            <w:tcW w:w="1320" w:type="dxa"/>
            <w:vAlign w:val="bottom"/>
          </w:tcPr>
          <w:p>
            <w:pPr>
              <w:jc w:val="right"/>
              <w:ind w:right="365"/>
              <w:spacing w:after="0"/>
              <w:rPr>
                <w:sz w:val="20"/>
                <w:szCs w:val="20"/>
                <w:color w:val="auto"/>
              </w:rPr>
            </w:pPr>
            <w:r>
              <w:rPr>
                <w:rFonts w:ascii="Arial" w:cs="Arial" w:eastAsia="Arial" w:hAnsi="Arial"/>
                <w:sz w:val="15"/>
                <w:szCs w:val="15"/>
                <w:color w:val="auto"/>
              </w:rPr>
              <w:t>2.98% (13)</w:t>
            </w:r>
          </w:p>
        </w:tc>
        <w:tc>
          <w:tcPr>
            <w:tcW w:w="10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336,923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250,021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773,352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451,713</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69" w:hanging="269"/>
        <w:spacing w:after="0"/>
        <w:tabs>
          <w:tab w:leader="none" w:pos="269" w:val="left"/>
        </w:tabs>
        <w:numPr>
          <w:ilvl w:val="0"/>
          <w:numId w:val="16"/>
        </w:numPr>
        <w:rPr>
          <w:rFonts w:ascii="Arial" w:cs="Arial" w:eastAsia="Arial" w:hAnsi="Arial"/>
          <w:sz w:val="14"/>
          <w:szCs w:val="14"/>
          <w:color w:val="auto"/>
        </w:rPr>
      </w:pPr>
      <w:r>
        <w:rPr>
          <w:rFonts w:ascii="Arial" w:cs="Arial" w:eastAsia="Arial" w:hAnsi="Arial"/>
          <w:sz w:val="14"/>
          <w:szCs w:val="14"/>
          <w:color w:val="auto"/>
        </w:rPr>
        <w:t>1ML was 0.10% and 0.14% at June 30, 2021 and December 31, 2020, respectively.</w:t>
      </w:r>
    </w:p>
    <w:p>
      <w:pPr>
        <w:spacing w:after="0" w:line="9" w:lineRule="exact"/>
        <w:rPr>
          <w:rFonts w:ascii="Arial" w:cs="Arial" w:eastAsia="Arial" w:hAnsi="Arial"/>
          <w:sz w:val="14"/>
          <w:szCs w:val="14"/>
          <w:color w:val="auto"/>
        </w:rPr>
      </w:pPr>
    </w:p>
    <w:p>
      <w:pPr>
        <w:ind w:left="269" w:right="120" w:hanging="269"/>
        <w:spacing w:after="0" w:line="236" w:lineRule="auto"/>
        <w:tabs>
          <w:tab w:leader="none" w:pos="269" w:val="left"/>
        </w:tabs>
        <w:numPr>
          <w:ilvl w:val="0"/>
          <w:numId w:val="16"/>
        </w:numPr>
        <w:rPr>
          <w:rFonts w:ascii="Arial" w:cs="Arial" w:eastAsia="Arial" w:hAnsi="Arial"/>
          <w:sz w:val="14"/>
          <w:szCs w:val="14"/>
          <w:color w:val="auto"/>
        </w:rPr>
      </w:pPr>
      <w:r>
        <w:rPr>
          <w:rFonts w:ascii="Arial" w:cs="Arial" w:eastAsia="Arial" w:hAnsi="Arial"/>
          <w:sz w:val="14"/>
          <w:szCs w:val="14"/>
          <w:color w:val="auto"/>
        </w:rPr>
        <w:t>Of the borrowing capacity on mortgage loan warehouse facilities extended on a committed basis, $13.3 million of the available borrowing capacity could be used at June 30, 2021 based on the amount of eligible collateral that could be pledged.</w:t>
      </w:r>
    </w:p>
    <w:p>
      <w:pPr>
        <w:spacing w:after="0" w:line="1" w:lineRule="exact"/>
        <w:rPr>
          <w:rFonts w:ascii="Arial" w:cs="Arial" w:eastAsia="Arial" w:hAnsi="Arial"/>
          <w:sz w:val="14"/>
          <w:szCs w:val="14"/>
          <w:color w:val="auto"/>
        </w:rPr>
      </w:pPr>
    </w:p>
    <w:p>
      <w:pPr>
        <w:ind w:left="269" w:right="120" w:hanging="269"/>
        <w:spacing w:after="0" w:line="236" w:lineRule="auto"/>
        <w:tabs>
          <w:tab w:leader="none" w:pos="269"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maximum borrowing under this agreement is $275.0 million, of which $160.0 million is available on a committed basis and the remainder is available at the discretion of the lender. On March 31, 2021, we renewed the facility and the maturity date was extended to June 30, 2022.</w:t>
      </w:r>
    </w:p>
    <w:p>
      <w:pPr>
        <w:spacing w:after="0" w:line="1" w:lineRule="exact"/>
        <w:rPr>
          <w:rFonts w:ascii="Arial" w:cs="Arial" w:eastAsia="Arial" w:hAnsi="Arial"/>
          <w:sz w:val="14"/>
          <w:szCs w:val="14"/>
          <w:color w:val="auto"/>
        </w:rPr>
      </w:pPr>
    </w:p>
    <w:p>
      <w:pPr>
        <w:ind w:left="269" w:right="300" w:hanging="269"/>
        <w:spacing w:after="0" w:line="236" w:lineRule="auto"/>
        <w:tabs>
          <w:tab w:leader="none" w:pos="269"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w:t>
      </w:r>
    </w:p>
    <w:p>
      <w:pPr>
        <w:spacing w:after="0" w:line="1" w:lineRule="exact"/>
        <w:rPr>
          <w:rFonts w:ascii="Arial" w:cs="Arial" w:eastAsia="Arial" w:hAnsi="Arial"/>
          <w:sz w:val="14"/>
          <w:szCs w:val="14"/>
          <w:color w:val="auto"/>
        </w:rPr>
      </w:pPr>
    </w:p>
    <w:p>
      <w:pPr>
        <w:ind w:left="269" w:right="40" w:hanging="269"/>
        <w:spacing w:after="0" w:line="228" w:lineRule="auto"/>
        <w:tabs>
          <w:tab w:leader="none" w:pos="269"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lender provides financing for up to $50.0 million at the discretion of the lender. The agreement has no stated maturity date. Interest on this facility is based on the Secured Overnight Financing Rate (SOFR).</w:t>
      </w:r>
    </w:p>
    <w:p>
      <w:pPr>
        <w:ind w:left="269" w:hanging="269"/>
        <w:spacing w:after="0" w:line="256" w:lineRule="auto"/>
        <w:tabs>
          <w:tab w:leader="none" w:pos="269" w:val="left"/>
        </w:tabs>
        <w:numPr>
          <w:ilvl w:val="0"/>
          <w:numId w:val="16"/>
        </w:numPr>
        <w:rPr>
          <w:rFonts w:ascii="Arial" w:cs="Arial" w:eastAsia="Arial" w:hAnsi="Arial"/>
          <w:sz w:val="12"/>
          <w:szCs w:val="12"/>
          <w:color w:val="auto"/>
        </w:rPr>
      </w:pPr>
      <w:r>
        <w:rPr>
          <w:rFonts w:ascii="Arial" w:cs="Arial" w:eastAsia="Arial" w:hAnsi="Arial"/>
          <w:sz w:val="12"/>
          <w:szCs w:val="12"/>
          <w:color w:val="auto"/>
        </w:rPr>
        <w:t>On June 23, 2021, the facility was renewed for one year to June 23, 2022, the uncommitted borrowing capacity under the participation agreement was increased to $150.0 million and the committed borrowing capacity under the repurchase agreement increased to $100.0 million. The interest rate on repurchase agreement was revised to the stated interest rate of the mortgage loans, less 35 bps with a floor of 3.00% for new originations and less 10 bps with a floor of 3.25% for Ginnie Mae modifications, Ginnie Mae buyouts and RMBS bond clean up loans. The interest rate on the participation agreement was revised to the stated interest rate of the mortgage loans, less 35 bps with a floor of 3.00% for new originations. The agreements allow the lender to acquire a 100% beneficial interest in the underlying mortgage loans. On July 23, 2021, we temporarily increased the borrowing capacity under the participation agreement to $300.0 million until September 15, 2021.</w:t>
      </w:r>
    </w:p>
    <w:p>
      <w:pPr>
        <w:spacing w:after="0" w:line="1" w:lineRule="exact"/>
        <w:rPr>
          <w:rFonts w:ascii="Arial" w:cs="Arial" w:eastAsia="Arial" w:hAnsi="Arial"/>
          <w:sz w:val="12"/>
          <w:szCs w:val="12"/>
          <w:color w:val="auto"/>
        </w:rPr>
      </w:pPr>
    </w:p>
    <w:p>
      <w:pPr>
        <w:ind w:left="269" w:hanging="269"/>
        <w:spacing w:after="0" w:line="236" w:lineRule="auto"/>
        <w:tabs>
          <w:tab w:leader="none" w:pos="269"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June 20, 2021, the facility was renewed for one year to June 23, 2022.</w:t>
      </w:r>
    </w:p>
    <w:p>
      <w:pPr>
        <w:ind w:left="269" w:hanging="269"/>
        <w:spacing w:after="0"/>
        <w:tabs>
          <w:tab w:leader="none" w:pos="269"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Under this agreement, the lender provides financing for up to $50.0 million on a committed basis. On January 15, 2021, the maturity date of this facility was extended to January 15, 2022.</w:t>
      </w:r>
    </w:p>
    <w:p>
      <w:pPr>
        <w:spacing w:after="0" w:line="200" w:lineRule="exact"/>
        <w:rPr>
          <w:sz w:val="20"/>
          <w:szCs w:val="20"/>
          <w:color w:val="auto"/>
        </w:rPr>
      </w:pPr>
    </w:p>
    <w:p>
      <w:pPr>
        <w:spacing w:after="0" w:line="27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85" w:right="319" w:bottom="1440" w:gutter="0" w:footer="0" w:header="0"/>
        </w:sectPr>
      </w:pPr>
    </w:p>
    <w:bookmarkStart w:id="36" w:name="page37"/>
    <w:bookmarkEnd w:id="36"/>
    <w:p>
      <w:pPr>
        <w:ind w:left="269" w:right="180" w:hanging="269"/>
        <w:spacing w:after="0" w:line="242" w:lineRule="auto"/>
        <w:tabs>
          <w:tab w:leader="none" w:pos="269"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Under this agreement, the lender provides financing for up to $150.0 million on an uncommitted basis. On February 1, 2021, the borrowing capacity was temporarily increased from $100.0 million to $150.0 million until February 28, 2021 when it was reduced to $100.0 million. On March 30, 2021, the borrowing capacity was temporarily increased to $150.0 million effective April 1, 2021 until April 29, 2021 when the increase was made permanent.</w:t>
      </w:r>
    </w:p>
    <w:p>
      <w:pPr>
        <w:spacing w:after="0" w:line="1" w:lineRule="exact"/>
        <w:rPr>
          <w:rFonts w:ascii="Arial" w:cs="Arial" w:eastAsia="Arial" w:hAnsi="Arial"/>
          <w:sz w:val="14"/>
          <w:szCs w:val="14"/>
          <w:color w:val="auto"/>
        </w:rPr>
      </w:pPr>
    </w:p>
    <w:p>
      <w:pPr>
        <w:ind w:left="269" w:right="140" w:hanging="269"/>
        <w:spacing w:after="0" w:line="231" w:lineRule="auto"/>
        <w:tabs>
          <w:tab w:leader="none" w:pos="269"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 May 17, 2021, the total borrowing capacity of this facility, all of which is uncommitted, was increased from $100.0 million to $150.0 million through the addition of a $50.0 million participation interest. The agreement has no stated maturity date, however each transaction has a maximum duration of four years. The cost of this line is set at each transaction date and is based on the interest rate on the collateral.</w:t>
      </w:r>
    </w:p>
    <w:p>
      <w:pPr>
        <w:jc w:val="both"/>
        <w:ind w:left="269" w:right="120" w:hanging="269"/>
        <w:spacing w:after="0" w:line="256" w:lineRule="auto"/>
        <w:tabs>
          <w:tab w:leader="none" w:pos="264"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March 29, 2021, we entered into a repurchase agreement which provides borrowing at our discretion up to a certain maximum amount of capacity on a rolling 30-day committed basis. This facility is structured as a gestation repurchase facility whereby dry Agency mortgage loans are transferred to a trust which trust issues a trust certificate that is pledged as the collateral for the borrowings. See Note 2 – Securitizations and Variable Interest Entities for additional information. On March 31, 2021, the trust issued the first certificate of $50.0 million which was increased to $75.0 million on May 28, 2021 and further increased to $225.0 million on July 29, 2021. The second trust certificate of $50.0 million was issued on April 12, 2021 and increased to $100.0 million on July 13, 2021.</w:t>
      </w:r>
    </w:p>
    <w:p>
      <w:pPr>
        <w:spacing w:after="0" w:line="1" w:lineRule="exact"/>
        <w:rPr>
          <w:rFonts w:ascii="Arial" w:cs="Arial" w:eastAsia="Arial" w:hAnsi="Arial"/>
          <w:sz w:val="12"/>
          <w:szCs w:val="12"/>
          <w:color w:val="auto"/>
        </w:rPr>
      </w:pPr>
    </w:p>
    <w:p>
      <w:pPr>
        <w:ind w:left="269"/>
        <w:spacing w:after="0" w:line="236" w:lineRule="auto"/>
        <w:rPr>
          <w:rFonts w:ascii="Arial" w:cs="Arial" w:eastAsia="Arial" w:hAnsi="Arial"/>
          <w:sz w:val="12"/>
          <w:szCs w:val="12"/>
          <w:color w:val="auto"/>
        </w:rPr>
      </w:pPr>
      <w:r>
        <w:rPr>
          <w:rFonts w:ascii="Arial" w:cs="Arial" w:eastAsia="Arial" w:hAnsi="Arial"/>
          <w:sz w:val="14"/>
          <w:szCs w:val="14"/>
          <w:color w:val="auto"/>
        </w:rPr>
        <w:t>Additional trust certificates of $25.0 million and $100.0 million were issued for borrowing on June 25, 2021 and July 23, 2021, respectively, under this agreement.</w:t>
      </w:r>
    </w:p>
    <w:p>
      <w:pPr>
        <w:ind w:left="269" w:right="100" w:hanging="269"/>
        <w:spacing w:after="0" w:line="236" w:lineRule="auto"/>
        <w:tabs>
          <w:tab w:leader="none" w:pos="269"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 April 29, 2021, we entered into a revolving facility agreement which provides up to $30.0 million of committed borrowing capacity secured by eligible HECM loans that are active buyouts (ABO), as defined in the agreement.</w:t>
      </w:r>
    </w:p>
    <w:p>
      <w:pPr>
        <w:spacing w:after="0" w:line="1" w:lineRule="exact"/>
        <w:rPr>
          <w:rFonts w:ascii="Arial" w:cs="Arial" w:eastAsia="Arial" w:hAnsi="Arial"/>
          <w:sz w:val="14"/>
          <w:szCs w:val="14"/>
          <w:color w:val="auto"/>
        </w:rPr>
      </w:pPr>
    </w:p>
    <w:p>
      <w:pPr>
        <w:ind w:left="269" w:right="540" w:hanging="269"/>
        <w:spacing w:after="0" w:line="238" w:lineRule="auto"/>
        <w:tabs>
          <w:tab w:leader="none" w:pos="269"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Weighted average interest rate at June 30, 2021, excluding the effect of the amortization of prepaid lender fees. At June 30, 2021 and December 31, 2020, unamortized prepaid lender fees were $1.5 million and $2.0 million, respectively, and are included in Other assets in our consolidated balance sheets.</w:t>
      </w:r>
    </w:p>
    <w:p>
      <w:pPr>
        <w:spacing w:after="0" w:line="94"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2160" w:type="dxa"/>
            <w:vAlign w:val="bottom"/>
          </w:tcPr>
          <w:p>
            <w:pPr>
              <w:spacing w:after="0"/>
              <w:rPr>
                <w:sz w:val="20"/>
                <w:szCs w:val="20"/>
                <w:color w:val="auto"/>
              </w:rPr>
            </w:pPr>
            <w:r>
              <w:rPr>
                <w:rFonts w:ascii="Arial" w:cs="Arial" w:eastAsia="Arial" w:hAnsi="Arial"/>
                <w:sz w:val="15"/>
                <w:szCs w:val="15"/>
                <w:b w:val="1"/>
                <w:bCs w:val="1"/>
                <w:color w:val="auto"/>
              </w:rPr>
              <w:t>MSR financing facilities, net</w:t>
            </w: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84"/>
              <w:spacing w:after="0"/>
              <w:rPr>
                <w:sz w:val="20"/>
                <w:szCs w:val="20"/>
                <w:color w:val="auto"/>
              </w:rPr>
            </w:pPr>
            <w:r>
              <w:rPr>
                <w:rFonts w:ascii="Arial" w:cs="Arial" w:eastAsia="Arial" w:hAnsi="Arial"/>
                <w:sz w:val="15"/>
                <w:szCs w:val="15"/>
                <w:b w:val="1"/>
                <w:bCs w:val="1"/>
                <w:color w:val="auto"/>
                <w:w w:val="91"/>
              </w:rPr>
              <w:t>Available Borrowing Capacity</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40"/>
        </w:trPr>
        <w:tc>
          <w:tcPr>
            <w:tcW w:w="2160" w:type="dxa"/>
            <w:vAlign w:val="bottom"/>
            <w:vMerge w:val="restart"/>
          </w:tcPr>
          <w:p>
            <w:pPr>
              <w:ind w:left="540"/>
              <w:spacing w:after="0"/>
              <w:rPr>
                <w:sz w:val="20"/>
                <w:szCs w:val="20"/>
                <w:color w:val="auto"/>
              </w:rPr>
            </w:pPr>
            <w:r>
              <w:rPr>
                <w:rFonts w:ascii="Arial" w:cs="Arial" w:eastAsia="Arial" w:hAnsi="Arial"/>
                <w:sz w:val="15"/>
                <w:szCs w:val="15"/>
                <w:b w:val="1"/>
                <w:bCs w:val="1"/>
                <w:color w:val="auto"/>
              </w:rPr>
              <w:t>Borrowing Type</w:t>
            </w:r>
          </w:p>
        </w:tc>
        <w:tc>
          <w:tcPr>
            <w:tcW w:w="12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Collateral</w:t>
            </w:r>
          </w:p>
        </w:tc>
        <w:tc>
          <w:tcPr>
            <w:tcW w:w="12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Interest Rate (1)</w:t>
            </w:r>
          </w:p>
        </w:tc>
        <w:tc>
          <w:tcPr>
            <w:tcW w:w="10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Maturity</w:t>
            </w:r>
          </w:p>
        </w:tc>
        <w:tc>
          <w:tcPr>
            <w:tcW w:w="160" w:type="dxa"/>
            <w:vAlign w:val="bottom"/>
          </w:tcPr>
          <w:p>
            <w:pPr>
              <w:spacing w:after="0"/>
              <w:rPr>
                <w:sz w:val="12"/>
                <w:szCs w:val="12"/>
                <w:color w:val="auto"/>
              </w:rPr>
            </w:pPr>
          </w:p>
        </w:tc>
        <w:tc>
          <w:tcPr>
            <w:tcW w:w="1220" w:type="dxa"/>
            <w:vAlign w:val="bottom"/>
            <w:vMerge w:val="restart"/>
          </w:tcPr>
          <w:p>
            <w:pPr>
              <w:jc w:val="right"/>
              <w:ind w:right="164"/>
              <w:spacing w:after="0"/>
              <w:rPr>
                <w:sz w:val="20"/>
                <w:szCs w:val="20"/>
                <w:color w:val="auto"/>
              </w:rPr>
            </w:pPr>
            <w:r>
              <w:rPr>
                <w:rFonts w:ascii="Arial" w:cs="Arial" w:eastAsia="Arial" w:hAnsi="Arial"/>
                <w:sz w:val="15"/>
                <w:szCs w:val="15"/>
                <w:b w:val="1"/>
                <w:bCs w:val="1"/>
                <w:color w:val="auto"/>
              </w:rPr>
              <w:t>Uncommitted</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1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w w:val="95"/>
              </w:rPr>
              <w:t>Committed (2)</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2"/>
              </w:rPr>
              <w:t>June 30, 2021</w:t>
            </w:r>
          </w:p>
        </w:tc>
        <w:tc>
          <w:tcPr>
            <w:tcW w:w="2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84"/>
              <w:spacing w:after="0" w:line="140" w:lineRule="exact"/>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193"/>
        </w:trPr>
        <w:tc>
          <w:tcPr>
            <w:tcW w:w="216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28"/>
        </w:trPr>
        <w:tc>
          <w:tcPr>
            <w:tcW w:w="21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Agency MSR financing facility</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0"/>
              </w:rPr>
              <w:t>MSRs, Advances</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4"/>
              </w:rPr>
              <w:t>1ML + 325 bps</w:t>
            </w:r>
          </w:p>
        </w:tc>
        <w:tc>
          <w:tcPr>
            <w:tcW w:w="104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June 2022</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60" w:type="dxa"/>
            <w:vAlign w:val="bottom"/>
            <w:gridSpan w:val="3"/>
            <w:vMerge w:val="restart"/>
            <w:shd w:val="clear" w:color="auto" w:fill="CCEEFF"/>
          </w:tcPr>
          <w:p>
            <w:pPr>
              <w:jc w:val="center"/>
              <w:ind w:left="904"/>
              <w:spacing w:after="0"/>
              <w:rPr>
                <w:sz w:val="20"/>
                <w:szCs w:val="20"/>
                <w:color w:val="auto"/>
              </w:rPr>
            </w:pPr>
            <w:r>
              <w:rPr>
                <w:rFonts w:ascii="Arial" w:cs="Arial" w:eastAsia="Arial" w:hAnsi="Arial"/>
                <w:sz w:val="15"/>
                <w:szCs w:val="15"/>
                <w:color w:val="auto"/>
              </w:rPr>
              <w:t>—   $</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42,333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382,667</w:t>
            </w:r>
          </w:p>
        </w:tc>
        <w:tc>
          <w:tcPr>
            <w:tcW w:w="26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210,755</w:t>
            </w: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(3)</w:t>
            </w:r>
          </w:p>
        </w:tc>
        <w:tc>
          <w:tcPr>
            <w:tcW w:w="122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460" w:type="dxa"/>
            <w:vAlign w:val="bottom"/>
            <w:gridSpan w:val="3"/>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5"/>
                <w:szCs w:val="15"/>
                <w:color w:val="auto"/>
              </w:rPr>
              <w:t>Ginnie Mae MSR financing</w:t>
            </w:r>
          </w:p>
        </w:tc>
        <w:tc>
          <w:tcPr>
            <w:tcW w:w="1220" w:type="dxa"/>
            <w:vAlign w:val="bottom"/>
            <w:vMerge w:val="restart"/>
          </w:tcPr>
          <w:p>
            <w:pPr>
              <w:jc w:val="center"/>
              <w:spacing w:after="0"/>
              <w:rPr>
                <w:sz w:val="20"/>
                <w:szCs w:val="20"/>
                <w:color w:val="auto"/>
              </w:rPr>
            </w:pPr>
            <w:r>
              <w:rPr>
                <w:rFonts w:ascii="Arial" w:cs="Arial" w:eastAsia="Arial" w:hAnsi="Arial"/>
                <w:sz w:val="15"/>
                <w:szCs w:val="15"/>
                <w:color w:val="auto"/>
                <w:w w:val="90"/>
              </w:rPr>
              <w:t>MSRs, Advances</w:t>
            </w:r>
          </w:p>
        </w:tc>
        <w:tc>
          <w:tcPr>
            <w:tcW w:w="1280" w:type="dxa"/>
            <w:vAlign w:val="bottom"/>
          </w:tcPr>
          <w:p>
            <w:pPr>
              <w:jc w:val="center"/>
              <w:spacing w:after="0" w:line="149" w:lineRule="exact"/>
              <w:rPr>
                <w:sz w:val="20"/>
                <w:szCs w:val="20"/>
                <w:color w:val="auto"/>
              </w:rPr>
            </w:pPr>
            <w:r>
              <w:rPr>
                <w:rFonts w:ascii="Arial" w:cs="Arial" w:eastAsia="Arial" w:hAnsi="Arial"/>
                <w:sz w:val="15"/>
                <w:szCs w:val="15"/>
                <w:color w:val="auto"/>
                <w:w w:val="94"/>
              </w:rPr>
              <w:t>1ML + 450 bps;</w:t>
            </w:r>
          </w:p>
        </w:tc>
        <w:tc>
          <w:tcPr>
            <w:tcW w:w="1040" w:type="dxa"/>
            <w:vAlign w:val="bottom"/>
            <w:vMerge w:val="restart"/>
          </w:tcPr>
          <w:p>
            <w:pPr>
              <w:ind w:left="140"/>
              <w:spacing w:after="0"/>
              <w:rPr>
                <w:sz w:val="20"/>
                <w:szCs w:val="20"/>
                <w:color w:val="auto"/>
              </w:rPr>
            </w:pPr>
            <w:r>
              <w:rPr>
                <w:rFonts w:ascii="Arial" w:cs="Arial" w:eastAsia="Arial" w:hAnsi="Arial"/>
                <w:sz w:val="15"/>
                <w:szCs w:val="15"/>
                <w:color w:val="auto"/>
              </w:rPr>
              <w:t>Dec. 2021</w:t>
            </w: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4,345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120,655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112,022</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20"/>
                <w:szCs w:val="20"/>
                <w:color w:val="auto"/>
              </w:rPr>
            </w:pPr>
            <w:r>
              <w:rPr>
                <w:rFonts w:ascii="Arial" w:cs="Arial" w:eastAsia="Arial" w:hAnsi="Arial"/>
                <w:sz w:val="15"/>
                <w:szCs w:val="15"/>
                <w:color w:val="auto"/>
              </w:rPr>
              <w:t>facility (4)</w:t>
            </w:r>
          </w:p>
        </w:tc>
        <w:tc>
          <w:tcPr>
            <w:tcW w:w="122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7"/>
              </w:rPr>
              <w:t>1ML floor 0.50%</w:t>
            </w: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Ocwen Excess Spread-</w:t>
            </w: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60" w:type="dxa"/>
            <w:vAlign w:val="bottom"/>
            <w:shd w:val="clear" w:color="auto" w:fill="CCEEFF"/>
          </w:tcPr>
          <w:p>
            <w:pPr>
              <w:spacing w:after="0" w:line="148" w:lineRule="exact"/>
              <w:rPr>
                <w:sz w:val="20"/>
                <w:szCs w:val="20"/>
                <w:color w:val="auto"/>
              </w:rPr>
            </w:pPr>
            <w:r>
              <w:rPr>
                <w:rFonts w:ascii="Arial" w:cs="Arial" w:eastAsia="Arial" w:hAnsi="Arial"/>
                <w:sz w:val="15"/>
                <w:szCs w:val="15"/>
                <w:color w:val="auto"/>
                <w:w w:val="94"/>
              </w:rPr>
              <w:t>Collateralized Notes, Series 2019-</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MSRs</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9"/>
              </w:rPr>
              <w:t>5.07%</w:t>
            </w:r>
          </w:p>
        </w:tc>
        <w:tc>
          <w:tcPr>
            <w:tcW w:w="1040" w:type="dxa"/>
            <w:vAlign w:val="bottom"/>
            <w:vMerge w:val="restart"/>
            <w:shd w:val="clear" w:color="auto" w:fill="CCEEFF"/>
          </w:tcPr>
          <w:p>
            <w:pPr>
              <w:ind w:left="140"/>
              <w:spacing w:after="0"/>
              <w:rPr>
                <w:sz w:val="20"/>
                <w:szCs w:val="20"/>
                <w:color w:val="auto"/>
              </w:rPr>
            </w:pPr>
            <w:r>
              <w:rPr>
                <w:rFonts w:ascii="Arial" w:cs="Arial" w:eastAsia="Arial" w:hAnsi="Arial"/>
                <w:sz w:val="15"/>
                <w:szCs w:val="15"/>
                <w:color w:val="auto"/>
              </w:rPr>
              <w:t>Nov. 2024</w:t>
            </w:r>
          </w:p>
        </w:tc>
        <w:tc>
          <w:tcPr>
            <w:tcW w:w="160" w:type="dxa"/>
            <w:vAlign w:val="bottom"/>
            <w:shd w:val="clear" w:color="auto" w:fill="CCEEFF"/>
          </w:tcPr>
          <w:p>
            <w:pPr>
              <w:spacing w:after="0"/>
              <w:rPr>
                <w:sz w:val="12"/>
                <w:szCs w:val="12"/>
                <w:color w:val="auto"/>
              </w:rPr>
            </w:pPr>
          </w:p>
        </w:tc>
        <w:tc>
          <w:tcPr>
            <w:tcW w:w="146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55,116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68,313</w:t>
            </w: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PLS1 (5)</w:t>
            </w:r>
          </w:p>
        </w:tc>
        <w:tc>
          <w:tcPr>
            <w:tcW w:w="122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3"/>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5"/>
                <w:szCs w:val="15"/>
                <w:color w:val="auto"/>
              </w:rPr>
              <w:t>Secured Notes, Ocwen Asset</w:t>
            </w: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60" w:type="dxa"/>
            <w:vAlign w:val="bottom"/>
          </w:tcPr>
          <w:p>
            <w:pPr>
              <w:spacing w:after="0" w:line="148" w:lineRule="exact"/>
              <w:rPr>
                <w:sz w:val="20"/>
                <w:szCs w:val="20"/>
                <w:color w:val="auto"/>
              </w:rPr>
            </w:pPr>
            <w:r>
              <w:rPr>
                <w:rFonts w:ascii="Arial" w:cs="Arial" w:eastAsia="Arial" w:hAnsi="Arial"/>
                <w:sz w:val="15"/>
                <w:szCs w:val="15"/>
                <w:color w:val="auto"/>
              </w:rPr>
              <w:t>Servicing Income Series, Series</w:t>
            </w:r>
          </w:p>
        </w:tc>
        <w:tc>
          <w:tcPr>
            <w:tcW w:w="1220" w:type="dxa"/>
            <w:vAlign w:val="bottom"/>
            <w:vMerge w:val="restart"/>
          </w:tcPr>
          <w:p>
            <w:pPr>
              <w:jc w:val="center"/>
              <w:spacing w:after="0"/>
              <w:rPr>
                <w:sz w:val="20"/>
                <w:szCs w:val="20"/>
                <w:color w:val="auto"/>
              </w:rPr>
            </w:pPr>
            <w:r>
              <w:rPr>
                <w:rFonts w:ascii="Arial" w:cs="Arial" w:eastAsia="Arial" w:hAnsi="Arial"/>
                <w:sz w:val="15"/>
                <w:szCs w:val="15"/>
                <w:color w:val="auto"/>
                <w:w w:val="92"/>
              </w:rPr>
              <w:t>MSRs</w:t>
            </w:r>
          </w:p>
        </w:tc>
        <w:tc>
          <w:tcPr>
            <w:tcW w:w="1280" w:type="dxa"/>
            <w:vAlign w:val="bottom"/>
            <w:vMerge w:val="restart"/>
          </w:tcPr>
          <w:p>
            <w:pPr>
              <w:jc w:val="center"/>
              <w:spacing w:after="0"/>
              <w:rPr>
                <w:sz w:val="20"/>
                <w:szCs w:val="20"/>
                <w:color w:val="auto"/>
              </w:rPr>
            </w:pPr>
            <w:r>
              <w:rPr>
                <w:rFonts w:ascii="Arial" w:cs="Arial" w:eastAsia="Arial" w:hAnsi="Arial"/>
                <w:sz w:val="15"/>
                <w:szCs w:val="15"/>
                <w:color w:val="auto"/>
                <w:w w:val="97"/>
              </w:rPr>
              <w:t>(6)</w:t>
            </w:r>
          </w:p>
        </w:tc>
        <w:tc>
          <w:tcPr>
            <w:tcW w:w="1040" w:type="dxa"/>
            <w:vAlign w:val="bottom"/>
            <w:vMerge w:val="restart"/>
          </w:tcPr>
          <w:p>
            <w:pPr>
              <w:ind w:left="160"/>
              <w:spacing w:after="0"/>
              <w:rPr>
                <w:sz w:val="20"/>
                <w:szCs w:val="20"/>
                <w:color w:val="auto"/>
              </w:rPr>
            </w:pPr>
            <w:r>
              <w:rPr>
                <w:rFonts w:ascii="Arial" w:cs="Arial" w:eastAsia="Arial" w:hAnsi="Arial"/>
                <w:sz w:val="15"/>
                <w:szCs w:val="15"/>
                <w:color w:val="auto"/>
              </w:rPr>
              <w:t>Feb. 2028</w:t>
            </w:r>
          </w:p>
        </w:tc>
        <w:tc>
          <w:tcPr>
            <w:tcW w:w="160" w:type="dxa"/>
            <w:vAlign w:val="bottom"/>
          </w:tcPr>
          <w:p>
            <w:pPr>
              <w:spacing w:after="0"/>
              <w:rPr>
                <w:sz w:val="12"/>
                <w:szCs w:val="12"/>
                <w:color w:val="auto"/>
              </w:rPr>
            </w:pPr>
          </w:p>
        </w:tc>
        <w:tc>
          <w:tcPr>
            <w:tcW w:w="1460" w:type="dxa"/>
            <w:vAlign w:val="bottom"/>
            <w:gridSpan w:val="3"/>
            <w:vMerge w:val="restart"/>
          </w:tcPr>
          <w:p>
            <w:pPr>
              <w:jc w:val="right"/>
              <w:ind w:right="300"/>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43,350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47,476</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20"/>
                <w:szCs w:val="20"/>
                <w:color w:val="auto"/>
              </w:rPr>
            </w:pPr>
            <w:r>
              <w:rPr>
                <w:rFonts w:ascii="Arial" w:cs="Arial" w:eastAsia="Arial" w:hAnsi="Arial"/>
                <w:sz w:val="15"/>
                <w:szCs w:val="15"/>
                <w:color w:val="auto"/>
              </w:rPr>
              <w:t>2014-1 (6)</w:t>
            </w:r>
          </w:p>
        </w:tc>
        <w:tc>
          <w:tcPr>
            <w:tcW w:w="12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Agency MSR financing facility -</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MSRs</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92"/>
              </w:rPr>
              <w:t>1yr Swap +</w:t>
            </w:r>
          </w:p>
        </w:tc>
        <w:tc>
          <w:tcPr>
            <w:tcW w:w="104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June 2026</w:t>
            </w:r>
          </w:p>
        </w:tc>
        <w:tc>
          <w:tcPr>
            <w:tcW w:w="160" w:type="dxa"/>
            <w:vAlign w:val="bottom"/>
            <w:shd w:val="clear" w:color="auto" w:fill="CCEEFF"/>
          </w:tcPr>
          <w:p>
            <w:pPr>
              <w:spacing w:after="0"/>
              <w:rPr>
                <w:sz w:val="12"/>
                <w:szCs w:val="12"/>
                <w:color w:val="auto"/>
              </w:rPr>
            </w:pPr>
          </w:p>
        </w:tc>
        <w:tc>
          <w:tcPr>
            <w:tcW w:w="146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277,071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revolving loan (7)</w:t>
            </w:r>
          </w:p>
        </w:tc>
        <w:tc>
          <w:tcPr>
            <w:tcW w:w="1220" w:type="dxa"/>
            <w:vAlign w:val="bottom"/>
            <w:vMerge w:val="continue"/>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2.50%</w:t>
            </w: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3"/>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5"/>
                <w:szCs w:val="15"/>
                <w:color w:val="auto"/>
              </w:rPr>
              <w:t>Agency MSR financing facility -</w:t>
            </w:r>
          </w:p>
        </w:tc>
        <w:tc>
          <w:tcPr>
            <w:tcW w:w="1220" w:type="dxa"/>
            <w:vAlign w:val="bottom"/>
            <w:vMerge w:val="restart"/>
          </w:tcPr>
          <w:p>
            <w:pPr>
              <w:jc w:val="center"/>
              <w:spacing w:after="0"/>
              <w:rPr>
                <w:sz w:val="20"/>
                <w:szCs w:val="20"/>
                <w:color w:val="auto"/>
              </w:rPr>
            </w:pPr>
            <w:r>
              <w:rPr>
                <w:rFonts w:ascii="Arial" w:cs="Arial" w:eastAsia="Arial" w:hAnsi="Arial"/>
                <w:sz w:val="15"/>
                <w:szCs w:val="15"/>
                <w:color w:val="auto"/>
                <w:w w:val="92"/>
              </w:rPr>
              <w:t>MSRs</w:t>
            </w:r>
          </w:p>
        </w:tc>
        <w:tc>
          <w:tcPr>
            <w:tcW w:w="1280" w:type="dxa"/>
            <w:vAlign w:val="bottom"/>
          </w:tcPr>
          <w:p>
            <w:pPr>
              <w:jc w:val="center"/>
              <w:spacing w:after="0" w:line="149" w:lineRule="exact"/>
              <w:rPr>
                <w:sz w:val="20"/>
                <w:szCs w:val="20"/>
                <w:color w:val="auto"/>
              </w:rPr>
            </w:pPr>
            <w:r>
              <w:rPr>
                <w:rFonts w:ascii="Arial" w:cs="Arial" w:eastAsia="Arial" w:hAnsi="Arial"/>
                <w:sz w:val="15"/>
                <w:szCs w:val="15"/>
                <w:color w:val="auto"/>
                <w:w w:val="92"/>
              </w:rPr>
              <w:t>1yr Swap +</w:t>
            </w:r>
          </w:p>
        </w:tc>
        <w:tc>
          <w:tcPr>
            <w:tcW w:w="1040" w:type="dxa"/>
            <w:vAlign w:val="bottom"/>
            <w:vMerge w:val="restart"/>
          </w:tcPr>
          <w:p>
            <w:pPr>
              <w:ind w:left="160"/>
              <w:spacing w:after="0"/>
              <w:rPr>
                <w:sz w:val="20"/>
                <w:szCs w:val="20"/>
                <w:color w:val="auto"/>
              </w:rPr>
            </w:pPr>
            <w:r>
              <w:rPr>
                <w:rFonts w:ascii="Arial" w:cs="Arial" w:eastAsia="Arial" w:hAnsi="Arial"/>
                <w:sz w:val="15"/>
                <w:szCs w:val="15"/>
                <w:color w:val="auto"/>
              </w:rPr>
              <w:t>June 2023</w:t>
            </w:r>
          </w:p>
        </w:tc>
        <w:tc>
          <w:tcPr>
            <w:tcW w:w="160" w:type="dxa"/>
            <w:vAlign w:val="bottom"/>
          </w:tcPr>
          <w:p>
            <w:pPr>
              <w:spacing w:after="0"/>
              <w:rPr>
                <w:sz w:val="12"/>
                <w:szCs w:val="12"/>
                <w:color w:val="auto"/>
              </w:rPr>
            </w:pPr>
          </w:p>
        </w:tc>
        <w:tc>
          <w:tcPr>
            <w:tcW w:w="1460" w:type="dxa"/>
            <w:vAlign w:val="bottom"/>
            <w:gridSpan w:val="3"/>
            <w:vMerge w:val="restart"/>
          </w:tcPr>
          <w:p>
            <w:pPr>
              <w:jc w:val="right"/>
              <w:ind w:right="300"/>
              <w:spacing w:after="0"/>
              <w:rPr>
                <w:sz w:val="20"/>
                <w:szCs w:val="20"/>
                <w:color w:val="auto"/>
              </w:rPr>
            </w:pPr>
            <w:r>
              <w:rPr>
                <w:rFonts w:ascii="Arial" w:cs="Arial" w:eastAsia="Arial" w:hAnsi="Arial"/>
                <w:sz w:val="15"/>
                <w:szCs w:val="15"/>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135,000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20"/>
                <w:szCs w:val="20"/>
                <w:color w:val="auto"/>
              </w:rPr>
            </w:pPr>
            <w:r>
              <w:rPr>
                <w:rFonts w:ascii="Arial" w:cs="Arial" w:eastAsia="Arial" w:hAnsi="Arial"/>
                <w:sz w:val="15"/>
                <w:szCs w:val="15"/>
                <w:color w:val="auto"/>
              </w:rPr>
              <w:t>term loan (7)</w:t>
            </w:r>
          </w:p>
        </w:tc>
        <w:tc>
          <w:tcPr>
            <w:tcW w:w="122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89"/>
              </w:rPr>
              <w:t>2.50%</w:t>
            </w: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5"/>
                <w:szCs w:val="15"/>
                <w:b w:val="1"/>
                <w:bCs w:val="1"/>
                <w:color w:val="auto"/>
                <w:w w:val="97"/>
              </w:rPr>
              <w:t>Total MSR financing facilities</w:t>
            </w:r>
          </w:p>
        </w:tc>
        <w:tc>
          <w:tcPr>
            <w:tcW w:w="12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jc w:val="right"/>
              <w:ind w:right="424"/>
              <w:spacing w:after="0"/>
              <w:rPr>
                <w:sz w:val="20"/>
                <w:szCs w:val="20"/>
                <w:color w:val="auto"/>
              </w:rPr>
            </w:pPr>
            <w:r>
              <w:rPr>
                <w:rFonts w:ascii="Arial" w:cs="Arial" w:eastAsia="Arial" w:hAnsi="Arial"/>
                <w:sz w:val="15"/>
                <w:szCs w:val="15"/>
                <w:color w:val="auto"/>
              </w:rPr>
              <w:t>3.37% (8)</w:t>
            </w:r>
          </w:p>
        </w:tc>
        <w:tc>
          <w:tcPr>
            <w:tcW w:w="10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50,262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1,013,859</w:t>
            </w: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438,566</w:t>
            </w: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60" w:type="dxa"/>
            <w:vAlign w:val="bottom"/>
            <w:gridSpan w:val="3"/>
            <w:shd w:val="clear" w:color="auto" w:fill="CCEEFF"/>
          </w:tcPr>
          <w:p>
            <w:pPr>
              <w:spacing w:after="0" w:line="149" w:lineRule="exact"/>
              <w:rPr>
                <w:sz w:val="20"/>
                <w:szCs w:val="20"/>
                <w:color w:val="auto"/>
              </w:rPr>
            </w:pPr>
            <w:r>
              <w:rPr>
                <w:rFonts w:ascii="Arial" w:cs="Arial" w:eastAsia="Arial" w:hAnsi="Arial"/>
                <w:sz w:val="15"/>
                <w:szCs w:val="15"/>
                <w:color w:val="auto"/>
                <w:w w:val="94"/>
              </w:rPr>
              <w:t>Unamortized debt issuance costs - PLS Notes and Agency MSR financing</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(1,381)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(894)</w:t>
            </w:r>
          </w:p>
        </w:tc>
        <w:tc>
          <w:tcPr>
            <w:tcW w:w="0" w:type="dxa"/>
            <w:vAlign w:val="bottom"/>
          </w:tcPr>
          <w:p>
            <w:pPr>
              <w:spacing w:after="0"/>
              <w:rPr>
                <w:sz w:val="1"/>
                <w:szCs w:val="1"/>
                <w:color w:val="auto"/>
              </w:rPr>
            </w:pPr>
          </w:p>
        </w:tc>
      </w:tr>
      <w:tr>
        <w:trPr>
          <w:trHeight w:val="191"/>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 term loan (9)</w:t>
            </w:r>
          </w:p>
        </w:tc>
        <w:tc>
          <w:tcPr>
            <w:tcW w:w="1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gridSpan w:val="2"/>
          </w:tcPr>
          <w:p>
            <w:pPr>
              <w:ind w:left="100"/>
              <w:spacing w:after="0"/>
              <w:rPr>
                <w:sz w:val="20"/>
                <w:szCs w:val="20"/>
                <w:color w:val="auto"/>
              </w:rPr>
            </w:pPr>
            <w:r>
              <w:rPr>
                <w:rFonts w:ascii="Arial" w:cs="Arial" w:eastAsia="Arial" w:hAnsi="Arial"/>
                <w:sz w:val="15"/>
                <w:szCs w:val="15"/>
                <w:b w:val="1"/>
                <w:bCs w:val="1"/>
                <w:color w:val="auto"/>
              </w:rPr>
              <w:t>Total MSR financing facilities, net</w:t>
            </w: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1,012,478</w:t>
            </w:r>
          </w:p>
        </w:tc>
        <w:tc>
          <w:tcPr>
            <w:tcW w:w="2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437,672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69" w:hanging="269"/>
        <w:spacing w:after="0"/>
        <w:tabs>
          <w:tab w:leader="none" w:pos="269" w:val="left"/>
        </w:tabs>
        <w:numPr>
          <w:ilvl w:val="0"/>
          <w:numId w:val="18"/>
        </w:numPr>
        <w:rPr>
          <w:rFonts w:ascii="Arial" w:cs="Arial" w:eastAsia="Arial" w:hAnsi="Arial"/>
          <w:sz w:val="12"/>
          <w:szCs w:val="12"/>
          <w:color w:val="auto"/>
        </w:rPr>
      </w:pPr>
      <w:r>
        <w:rPr>
          <w:rFonts w:ascii="Arial" w:cs="Arial" w:eastAsia="Arial" w:hAnsi="Arial"/>
          <w:sz w:val="12"/>
          <w:szCs w:val="12"/>
          <w:color w:val="auto"/>
        </w:rPr>
        <w:t>1ML was 0.10% and 0.14% at June 30, 2021 and December 31, 2020, respectively. 1-year swap rate was 0.18% and 0.19% at June 30, 2021 and December 31, 2020, respectively.</w:t>
      </w:r>
    </w:p>
    <w:p>
      <w:pPr>
        <w:spacing w:after="0" w:line="32" w:lineRule="exact"/>
        <w:rPr>
          <w:rFonts w:ascii="Arial" w:cs="Arial" w:eastAsia="Arial" w:hAnsi="Arial"/>
          <w:sz w:val="12"/>
          <w:szCs w:val="12"/>
          <w:color w:val="auto"/>
        </w:rPr>
      </w:pPr>
    </w:p>
    <w:p>
      <w:pPr>
        <w:ind w:left="269" w:right="20" w:hanging="269"/>
        <w:spacing w:after="0" w:line="236" w:lineRule="auto"/>
        <w:tabs>
          <w:tab w:leader="none" w:pos="269" w:val="left"/>
        </w:tabs>
        <w:numPr>
          <w:ilvl w:val="0"/>
          <w:numId w:val="18"/>
        </w:numPr>
        <w:rPr>
          <w:rFonts w:ascii="Arial" w:cs="Arial" w:eastAsia="Arial" w:hAnsi="Arial"/>
          <w:sz w:val="14"/>
          <w:szCs w:val="14"/>
          <w:color w:val="auto"/>
        </w:rPr>
      </w:pPr>
      <w:r>
        <w:rPr>
          <w:rFonts w:ascii="Arial" w:cs="Arial" w:eastAsia="Arial" w:hAnsi="Arial"/>
          <w:sz w:val="14"/>
          <w:szCs w:val="14"/>
          <w:color w:val="auto"/>
        </w:rPr>
        <w:t>Of the borrowing capacity on MSR financing facilities extended on a committed basis, none of the available borrowing capacity could be used at June 30, 2021 based on the amount of eligible collateral that could be pledged.</w:t>
      </w:r>
    </w:p>
    <w:p>
      <w:pPr>
        <w:spacing w:after="0" w:line="1" w:lineRule="exact"/>
        <w:rPr>
          <w:rFonts w:ascii="Arial" w:cs="Arial" w:eastAsia="Arial" w:hAnsi="Arial"/>
          <w:sz w:val="14"/>
          <w:szCs w:val="14"/>
          <w:color w:val="auto"/>
        </w:rPr>
      </w:pPr>
    </w:p>
    <w:p>
      <w:pPr>
        <w:ind w:left="269" w:right="120" w:hanging="269"/>
        <w:spacing w:after="0" w:line="284" w:lineRule="auto"/>
        <w:tabs>
          <w:tab w:leader="none" w:pos="269" w:val="left"/>
        </w:tabs>
        <w:numPr>
          <w:ilvl w:val="0"/>
          <w:numId w:val="18"/>
        </w:numPr>
        <w:rPr>
          <w:rFonts w:ascii="Arial" w:cs="Arial" w:eastAsia="Arial" w:hAnsi="Arial"/>
          <w:sz w:val="12"/>
          <w:szCs w:val="12"/>
          <w:color w:val="auto"/>
        </w:rPr>
      </w:pPr>
      <w:r>
        <w:rPr>
          <w:rFonts w:ascii="Arial" w:cs="Arial" w:eastAsia="Arial" w:hAnsi="Arial"/>
          <w:sz w:val="12"/>
          <w:szCs w:val="12"/>
          <w:color w:val="auto"/>
        </w:rPr>
        <w:t>PMC’s obligations under this facility are secured by a lien on the related MSRs. Ocwen guarantees the obligations of PMC under this facility. The maximum amount which we may borrow pursuant to the repurchase agreements is $425.0 million on a committed basis. We also pledged the membership interest of the depositor for our OMART advance financing facility as additional collateral to this facility. See Note 2 – Securitizations and Variable Interest Entities for additional information. We are subject to daily margining requirements under the terms of our MSR financing facilities. Declines in fair value of our MSRs due to declines in market interest rates, assumption updates or other factors require that we provide additional collateral to our lenders under these facilities. On March 31, 2021, the facility was upsized to $350.0 million, the interest rate reduced to 1ML plus 325bps, and the maturity was renewed to June 30, 2022. These changes became effective on April 15, 2021. On June 2, 2021, the facility was temporarily upsized to $425.0 million for a period of 90 calendar days ending no later than September 1, 2021.</w:t>
      </w:r>
    </w:p>
    <w:p>
      <w:pPr>
        <w:spacing w:after="0" w:line="200" w:lineRule="exact"/>
        <w:rPr>
          <w:sz w:val="20"/>
          <w:szCs w:val="20"/>
          <w:color w:val="auto"/>
        </w:rPr>
      </w:pP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778" w:right="319" w:bottom="1440" w:gutter="0" w:footer="0" w:header="0"/>
        </w:sectPr>
      </w:pPr>
    </w:p>
    <w:bookmarkStart w:id="37" w:name="page38"/>
    <w:bookmarkEnd w:id="37"/>
    <w:p>
      <w:pPr>
        <w:ind w:left="269" w:hanging="269"/>
        <w:spacing w:after="0" w:line="245" w:lineRule="auto"/>
        <w:tabs>
          <w:tab w:leader="none" w:pos="269" w:val="left"/>
        </w:tabs>
        <w:numPr>
          <w:ilvl w:val="0"/>
          <w:numId w:val="19"/>
        </w:numPr>
        <w:rPr>
          <w:rFonts w:ascii="Arial" w:cs="Arial" w:eastAsia="Arial" w:hAnsi="Arial"/>
          <w:sz w:val="14"/>
          <w:szCs w:val="14"/>
          <w:color w:val="auto"/>
        </w:rPr>
      </w:pPr>
      <w:r>
        <w:rPr>
          <w:rFonts w:ascii="Arial" w:cs="Arial" w:eastAsia="Arial" w:hAnsi="Arial"/>
          <w:sz w:val="14"/>
          <w:szCs w:val="14"/>
          <w:color w:val="auto"/>
        </w:rPr>
        <w:t>PMC’s obligations under this facility are secured by a lien on the related Ginnie Mae MSRs. Ocwen guarantees the obligations of PMC under the facility. The borrowing capacity is $125.0 million on an uncommitted basis. See (3) above regarding daily margining requirements.</w:t>
      </w:r>
    </w:p>
    <w:p>
      <w:pPr>
        <w:ind w:left="269" w:right="120" w:hanging="269"/>
        <w:spacing w:after="0" w:line="236" w:lineRule="auto"/>
        <w:tabs>
          <w:tab w:leader="none" w:pos="269" w:val="left"/>
        </w:tabs>
        <w:numPr>
          <w:ilvl w:val="0"/>
          <w:numId w:val="19"/>
        </w:numPr>
        <w:rPr>
          <w:rFonts w:ascii="Arial" w:cs="Arial" w:eastAsia="Arial" w:hAnsi="Arial"/>
          <w:sz w:val="14"/>
          <w:szCs w:val="14"/>
          <w:color w:val="auto"/>
        </w:rPr>
      </w:pPr>
      <w:r>
        <w:rPr>
          <w:rFonts w:ascii="Arial" w:cs="Arial" w:eastAsia="Arial" w:hAnsi="Arial"/>
          <w:sz w:val="14"/>
          <w:szCs w:val="14"/>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amortize in accordance with a pre-determined schedule subject to modification under certain events. See Note 2 – Securitizations and Variable Interest Entities for additional information. See (3) above regarding daily margining requirements.</w:t>
      </w:r>
    </w:p>
    <w:p>
      <w:pPr>
        <w:spacing w:after="0" w:line="1" w:lineRule="exact"/>
        <w:rPr>
          <w:rFonts w:ascii="Arial" w:cs="Arial" w:eastAsia="Arial" w:hAnsi="Arial"/>
          <w:sz w:val="14"/>
          <w:szCs w:val="14"/>
          <w:color w:val="auto"/>
        </w:rPr>
      </w:pPr>
    </w:p>
    <w:p>
      <w:pPr>
        <w:ind w:left="269" w:hanging="269"/>
        <w:spacing w:after="0"/>
        <w:tabs>
          <w:tab w:leader="none" w:pos="269" w:val="left"/>
        </w:tabs>
        <w:numPr>
          <w:ilvl w:val="0"/>
          <w:numId w:val="19"/>
        </w:numPr>
        <w:rPr>
          <w:rFonts w:ascii="Arial" w:cs="Arial" w:eastAsia="Arial" w:hAnsi="Arial"/>
          <w:sz w:val="12"/>
          <w:szCs w:val="12"/>
          <w:color w:val="auto"/>
        </w:rPr>
      </w:pPr>
      <w:r>
        <w:rPr>
          <w:rFonts w:ascii="Arial" w:cs="Arial" w:eastAsia="Arial" w:hAnsi="Arial"/>
          <w:sz w:val="12"/>
          <w:szCs w:val="12"/>
          <w:color w:val="auto"/>
        </w:rPr>
        <w:t>OASIS noteholders are entitled to receive a monthly payment equal to the sum of: (a) 21 basis points of the UPB of the reference pool of Freddie Mac mortgages; (b) any termination payment amounts;</w:t>
      </w:r>
    </w:p>
    <w:p>
      <w:pPr>
        <w:spacing w:after="0" w:line="20" w:lineRule="exact"/>
        <w:rPr>
          <w:rFonts w:ascii="Arial" w:cs="Arial" w:eastAsia="Arial" w:hAnsi="Arial"/>
          <w:sz w:val="12"/>
          <w:szCs w:val="12"/>
          <w:color w:val="auto"/>
        </w:rPr>
      </w:pPr>
    </w:p>
    <w:p>
      <w:pPr>
        <w:ind w:left="269" w:right="60"/>
        <w:spacing w:after="0" w:line="236" w:lineRule="auto"/>
        <w:rPr>
          <w:rFonts w:ascii="Arial" w:cs="Arial" w:eastAsia="Arial" w:hAnsi="Arial"/>
          <w:sz w:val="12"/>
          <w:szCs w:val="12"/>
          <w:color w:val="auto"/>
        </w:rPr>
      </w:pPr>
      <w:r>
        <w:rPr>
          <w:rFonts w:ascii="Arial" w:cs="Arial" w:eastAsia="Arial" w:hAnsi="Arial"/>
          <w:sz w:val="14"/>
          <w:szCs w:val="14"/>
          <w:color w:val="auto"/>
        </w:rPr>
        <w:t>(c)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2"/>
          <w:szCs w:val="12"/>
          <w:color w:val="auto"/>
        </w:rPr>
      </w:pPr>
    </w:p>
    <w:p>
      <w:pPr>
        <w:ind w:left="269" w:right="240" w:hanging="269"/>
        <w:spacing w:after="0" w:line="236" w:lineRule="auto"/>
        <w:tabs>
          <w:tab w:leader="none" w:pos="269"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June 28, 2021, we entered into a facility which includes a $135.0 million term loan and a $285.0 million revolving loan secured by a lien on PMC’s Agency MSRs. See (3) above regarding daily margining requirements.</w:t>
      </w:r>
    </w:p>
    <w:p>
      <w:pPr>
        <w:spacing w:after="0" w:line="1" w:lineRule="exact"/>
        <w:rPr>
          <w:rFonts w:ascii="Arial" w:cs="Arial" w:eastAsia="Arial" w:hAnsi="Arial"/>
          <w:sz w:val="14"/>
          <w:szCs w:val="14"/>
          <w:color w:val="auto"/>
        </w:rPr>
      </w:pPr>
    </w:p>
    <w:p>
      <w:pPr>
        <w:ind w:left="269" w:hanging="269"/>
        <w:spacing w:after="0" w:line="236" w:lineRule="auto"/>
        <w:tabs>
          <w:tab w:leader="none" w:pos="269"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Weighted average interest rate at June 30, 2021, excluding the effect of the amortization of debt issuance costs and prepaid lender fees.</w:t>
      </w:r>
    </w:p>
    <w:p>
      <w:pPr>
        <w:ind w:left="269" w:right="360" w:hanging="269"/>
        <w:spacing w:after="0" w:line="238" w:lineRule="auto"/>
        <w:tabs>
          <w:tab w:leader="none" w:pos="269"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 June 30, 2021, unamortized debt issuance costs included $0.6 million and $0.7 million on the PLS Notes and the Agency MSR financing facility - term loan, respectively. At June 30, 2021 and December 31, 2020, unamortized prepaid lender fees related to revolving type MSR financing facilities were $6.5 million and $3.3 million, respectively, and are included in Other assets in our consolidated balance sheets.</w:t>
      </w:r>
    </w:p>
    <w:p>
      <w:pPr>
        <w:spacing w:after="0" w:line="93"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620" w:type="dxa"/>
            <w:vAlign w:val="bottom"/>
            <w:gridSpan w:val="2"/>
          </w:tcPr>
          <w:p>
            <w:pPr>
              <w:spacing w:after="0"/>
              <w:rPr>
                <w:sz w:val="20"/>
                <w:szCs w:val="20"/>
                <w:color w:val="auto"/>
              </w:rPr>
            </w:pPr>
            <w:r>
              <w:rPr>
                <w:rFonts w:ascii="Arial" w:cs="Arial" w:eastAsia="Arial" w:hAnsi="Arial"/>
                <w:sz w:val="15"/>
                <w:szCs w:val="15"/>
                <w:b w:val="1"/>
                <w:bCs w:val="1"/>
                <w:color w:val="auto"/>
              </w:rPr>
              <w:t>Senior Secured Term Loan, net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04"/>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186"/>
        </w:trPr>
        <w:tc>
          <w:tcPr>
            <w:tcW w:w="4520" w:type="dxa"/>
            <w:vAlign w:val="bottom"/>
            <w:tcBorders>
              <w:bottom w:val="single" w:sz="8" w:color="auto"/>
            </w:tcBorders>
          </w:tcPr>
          <w:p>
            <w:pPr>
              <w:ind w:left="1720"/>
              <w:spacing w:after="0"/>
              <w:rPr>
                <w:sz w:val="20"/>
                <w:szCs w:val="20"/>
                <w:color w:val="auto"/>
              </w:rPr>
            </w:pPr>
            <w:r>
              <w:rPr>
                <w:rFonts w:ascii="Arial" w:cs="Arial" w:eastAsia="Arial" w:hAnsi="Arial"/>
                <w:sz w:val="15"/>
                <w:szCs w:val="15"/>
                <w:b w:val="1"/>
                <w:bCs w:val="1"/>
                <w:color w:val="auto"/>
              </w:rPr>
              <w:t>Borrowing Type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Collateral</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Interest 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June 30, 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40"/>
        </w:trPr>
        <w:tc>
          <w:tcPr>
            <w:tcW w:w="4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line="140" w:lineRule="exact"/>
              <w:rPr>
                <w:sz w:val="20"/>
                <w:szCs w:val="20"/>
                <w:color w:val="auto"/>
              </w:rPr>
            </w:pPr>
            <w:r>
              <w:rPr>
                <w:rFonts w:ascii="Arial" w:cs="Arial" w:eastAsia="Arial" w:hAnsi="Arial"/>
                <w:sz w:val="15"/>
                <w:szCs w:val="15"/>
                <w:color w:val="auto"/>
                <w:w w:val="95"/>
              </w:rPr>
              <w:t>1-Month Euro-</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5"/>
                <w:szCs w:val="15"/>
                <w:color w:val="auto"/>
                <w:w w:val="91"/>
              </w:rPr>
              <w:t>dollar rate + 600</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line="148" w:lineRule="exact"/>
              <w:rPr>
                <w:sz w:val="20"/>
                <w:szCs w:val="20"/>
                <w:color w:val="auto"/>
              </w:rPr>
            </w:pPr>
            <w:r>
              <w:rPr>
                <w:rFonts w:ascii="Arial" w:cs="Arial" w:eastAsia="Arial" w:hAnsi="Arial"/>
                <w:sz w:val="15"/>
                <w:szCs w:val="15"/>
                <w:color w:val="auto"/>
                <w:w w:val="91"/>
              </w:rPr>
              <w:t>bps with a</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b w:val="1"/>
                <w:bCs w:val="1"/>
                <w:color w:val="auto"/>
              </w:rPr>
              <w:t>SSTL (1)</w:t>
            </w:r>
          </w:p>
        </w:tc>
        <w:tc>
          <w:tcPr>
            <w:tcW w:w="1060" w:type="dxa"/>
            <w:vAlign w:val="bottom"/>
            <w:vMerge w:val="restart"/>
            <w:shd w:val="clear" w:color="auto" w:fill="CCEEFF"/>
          </w:tcPr>
          <w:p>
            <w:pPr>
              <w:jc w:val="right"/>
              <w:ind w:right="36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80"/>
              <w:spacing w:after="0" w:line="148" w:lineRule="exact"/>
              <w:rPr>
                <w:sz w:val="20"/>
                <w:szCs w:val="20"/>
                <w:color w:val="auto"/>
              </w:rPr>
            </w:pPr>
            <w:r>
              <w:rPr>
                <w:rFonts w:ascii="Arial" w:cs="Arial" w:eastAsia="Arial" w:hAnsi="Arial"/>
                <w:sz w:val="15"/>
                <w:szCs w:val="15"/>
                <w:color w:val="auto"/>
                <w:w w:val="96"/>
              </w:rPr>
              <w:t>Eurodollar floor</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92"/>
              </w:rPr>
              <w:t>May 2022 (1)</w:t>
            </w: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gridSpan w:val="2"/>
            <w:vMerge w:val="restart"/>
            <w:shd w:val="clear" w:color="auto" w:fill="CCEEFF"/>
          </w:tcPr>
          <w:p>
            <w:pPr>
              <w:ind w:left="110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185,000</w:t>
            </w:r>
          </w:p>
        </w:tc>
        <w:tc>
          <w:tcPr>
            <w:tcW w:w="0" w:type="dxa"/>
            <w:vAlign w:val="bottom"/>
          </w:tcPr>
          <w:p>
            <w:pPr>
              <w:spacing w:after="0"/>
              <w:rPr>
                <w:sz w:val="1"/>
                <w:szCs w:val="1"/>
                <w:color w:val="auto"/>
              </w:rPr>
            </w:pPr>
          </w:p>
        </w:tc>
      </w:tr>
      <w:tr>
        <w:trPr>
          <w:trHeight w:val="192"/>
        </w:trPr>
        <w:tc>
          <w:tcPr>
            <w:tcW w:w="462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of 100 bps (1)</w:t>
            </w:r>
          </w:p>
        </w:tc>
        <w:tc>
          <w:tcPr>
            <w:tcW w:w="116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Unamortized debt issuance costs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(4,867)</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Discount</w:t>
            </w: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179,776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69" w:hanging="269"/>
        <w:spacing w:after="0" w:line="255" w:lineRule="auto"/>
        <w:tabs>
          <w:tab w:leader="none" w:pos="269"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March 4, 2021, we repaid in full the $185.0 million outstanding principal balance. The prepayment resulted in our recognition of an $8.4 million loss on debt extinguishment, including a prepayment premium of 2% of the outstanding principal balance, or $3.7 million.</w:t>
      </w:r>
    </w:p>
    <w:p>
      <w:pPr>
        <w:spacing w:after="0" w:line="200" w:lineRule="exact"/>
        <w:rPr>
          <w:sz w:val="20"/>
          <w:szCs w:val="20"/>
          <w:color w:val="auto"/>
        </w:rPr>
      </w:pPr>
    </w:p>
    <w:p>
      <w:pPr>
        <w:spacing w:after="0" w:line="23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778" w:right="319" w:bottom="1440" w:gutter="0" w:footer="0" w:header="0"/>
        </w:sectPr>
      </w:pPr>
    </w:p>
    <w:bookmarkStart w:id="38" w:name="page39"/>
    <w:bookmarkEnd w:id="38"/>
    <w:tbl>
      <w:tblPr>
        <w:tblLayout w:type="fixed"/>
        <w:tblInd w:w="9"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5"/>
                <w:szCs w:val="15"/>
                <w:b w:val="1"/>
                <w:bCs w:val="1"/>
                <w:color w:val="auto"/>
              </w:rPr>
              <w:t>Outstanding Balance</w:t>
            </w:r>
          </w:p>
        </w:tc>
        <w:tc>
          <w:tcPr>
            <w:tcW w:w="0" w:type="dxa"/>
            <w:vAlign w:val="bottom"/>
          </w:tcPr>
          <w:p>
            <w:pPr>
              <w:spacing w:after="0"/>
              <w:rPr>
                <w:sz w:val="1"/>
                <w:szCs w:val="1"/>
                <w:color w:val="auto"/>
              </w:rPr>
            </w:pPr>
          </w:p>
        </w:tc>
      </w:tr>
      <w:tr>
        <w:trPr>
          <w:trHeight w:val="343"/>
        </w:trPr>
        <w:tc>
          <w:tcPr>
            <w:tcW w:w="4900" w:type="dxa"/>
            <w:vAlign w:val="bottom"/>
          </w:tcPr>
          <w:p>
            <w:pPr>
              <w:spacing w:after="0"/>
              <w:rPr>
                <w:sz w:val="20"/>
                <w:szCs w:val="20"/>
                <w:color w:val="auto"/>
              </w:rPr>
            </w:pPr>
            <w:r>
              <w:rPr>
                <w:rFonts w:ascii="Arial" w:cs="Arial" w:eastAsia="Arial" w:hAnsi="Arial"/>
                <w:sz w:val="15"/>
                <w:szCs w:val="15"/>
                <w:b w:val="1"/>
                <w:bCs w:val="1"/>
                <w:color w:val="auto"/>
              </w:rPr>
              <w:t>Senior Notes</w:t>
            </w: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Interest Rate (1)</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20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24"/>
                <w:szCs w:val="24"/>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85"/>
        </w:trPr>
        <w:tc>
          <w:tcPr>
            <w:tcW w:w="49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PMC Senior Secured Notes</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7.875%</w:t>
            </w: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March 2026</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92"/>
              </w:rPr>
              <w:t>12% paid in cash or</w:t>
            </w: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00" w:type="dxa"/>
            <w:vAlign w:val="bottom"/>
            <w:vMerge w:val="restart"/>
          </w:tcPr>
          <w:p>
            <w:pPr>
              <w:ind w:left="80"/>
              <w:spacing w:after="0"/>
              <w:rPr>
                <w:sz w:val="20"/>
                <w:szCs w:val="20"/>
                <w:color w:val="auto"/>
              </w:rPr>
            </w:pPr>
            <w:r>
              <w:rPr>
                <w:rFonts w:ascii="Arial" w:cs="Arial" w:eastAsia="Arial" w:hAnsi="Arial"/>
                <w:sz w:val="15"/>
                <w:szCs w:val="15"/>
                <w:color w:val="auto"/>
              </w:rPr>
              <w:t>OFC Senior Secured Notes</w:t>
            </w:r>
          </w:p>
        </w:tc>
        <w:tc>
          <w:tcPr>
            <w:tcW w:w="164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w w:val="95"/>
              </w:rPr>
              <w:t>13.25% paid-in-kind</w:t>
            </w:r>
          </w:p>
        </w:tc>
        <w:tc>
          <w:tcPr>
            <w:tcW w:w="1560" w:type="dxa"/>
            <w:vAlign w:val="bottom"/>
            <w:vMerge w:val="restart"/>
          </w:tcPr>
          <w:p>
            <w:pPr>
              <w:jc w:val="center"/>
              <w:spacing w:after="0"/>
              <w:rPr>
                <w:sz w:val="20"/>
                <w:szCs w:val="20"/>
                <w:color w:val="auto"/>
              </w:rPr>
            </w:pPr>
            <w:r>
              <w:rPr>
                <w:rFonts w:ascii="Arial" w:cs="Arial" w:eastAsia="Arial" w:hAnsi="Arial"/>
                <w:sz w:val="15"/>
                <w:szCs w:val="15"/>
                <w:color w:val="auto"/>
                <w:w w:val="93"/>
              </w:rPr>
              <w:t>March 2027</w:t>
            </w:r>
          </w:p>
        </w:tc>
        <w:tc>
          <w:tcPr>
            <w:tcW w:w="2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285,000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4900" w:type="dxa"/>
            <w:vAlign w:val="bottom"/>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(see below)</w:t>
            </w:r>
          </w:p>
        </w:tc>
        <w:tc>
          <w:tcPr>
            <w:tcW w:w="1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CEEFF"/>
          </w:tcPr>
          <w:p>
            <w:pPr>
              <w:ind w:left="80"/>
              <w:spacing w:after="0"/>
              <w:rPr>
                <w:sz w:val="20"/>
                <w:szCs w:val="20"/>
                <w:color w:val="auto"/>
              </w:rPr>
            </w:pPr>
            <w:r>
              <w:rPr>
                <w:rFonts w:ascii="Arial" w:cs="Arial" w:eastAsia="Arial" w:hAnsi="Arial"/>
                <w:sz w:val="15"/>
                <w:szCs w:val="15"/>
                <w:color w:val="auto"/>
              </w:rPr>
              <w:t>PHH Corporation (PHH) Senior Notes</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6.375%</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August 2021</w:t>
            </w: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21,543</w:t>
            </w:r>
          </w:p>
        </w:tc>
        <w:tc>
          <w:tcPr>
            <w:tcW w:w="0" w:type="dxa"/>
            <w:vAlign w:val="bottom"/>
          </w:tcPr>
          <w:p>
            <w:pPr>
              <w:spacing w:after="0"/>
              <w:rPr>
                <w:sz w:val="1"/>
                <w:szCs w:val="1"/>
                <w:color w:val="auto"/>
              </w:rPr>
            </w:pPr>
          </w:p>
        </w:tc>
      </w:tr>
      <w:tr>
        <w:trPr>
          <w:trHeight w:val="192"/>
        </w:trPr>
        <w:tc>
          <w:tcPr>
            <w:tcW w:w="4900" w:type="dxa"/>
            <w:vAlign w:val="bottom"/>
          </w:tcPr>
          <w:p>
            <w:pPr>
              <w:ind w:left="80"/>
              <w:spacing w:after="0"/>
              <w:rPr>
                <w:sz w:val="20"/>
                <w:szCs w:val="20"/>
                <w:color w:val="auto"/>
              </w:rPr>
            </w:pPr>
            <w:r>
              <w:rPr>
                <w:rFonts w:ascii="Arial" w:cs="Arial" w:eastAsia="Arial" w:hAnsi="Arial"/>
                <w:sz w:val="15"/>
                <w:szCs w:val="15"/>
                <w:color w:val="auto"/>
              </w:rPr>
              <w:t>PMC Senior Secured Notes</w:t>
            </w:r>
          </w:p>
        </w:tc>
        <w:tc>
          <w:tcPr>
            <w:tcW w:w="1540" w:type="dxa"/>
            <w:vAlign w:val="bottom"/>
          </w:tcPr>
          <w:p>
            <w:pPr>
              <w:jc w:val="center"/>
              <w:spacing w:after="0"/>
              <w:rPr>
                <w:sz w:val="20"/>
                <w:szCs w:val="20"/>
                <w:color w:val="auto"/>
              </w:rPr>
            </w:pPr>
            <w:r>
              <w:rPr>
                <w:rFonts w:ascii="Arial" w:cs="Arial" w:eastAsia="Arial" w:hAnsi="Arial"/>
                <w:sz w:val="15"/>
                <w:szCs w:val="15"/>
                <w:color w:val="auto"/>
                <w:w w:val="90"/>
              </w:rPr>
              <w:t>8.375%</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5"/>
                <w:szCs w:val="15"/>
                <w:color w:val="auto"/>
                <w:w w:val="91"/>
              </w:rPr>
              <w:t>November 2022</w:t>
            </w: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291,509</w:t>
            </w:r>
          </w:p>
        </w:tc>
        <w:tc>
          <w:tcPr>
            <w:tcW w:w="0" w:type="dxa"/>
            <w:vAlign w:val="bottom"/>
          </w:tcPr>
          <w:p>
            <w:pPr>
              <w:spacing w:after="0"/>
              <w:rPr>
                <w:sz w:val="1"/>
                <w:szCs w:val="1"/>
                <w:color w:val="auto"/>
              </w:rPr>
            </w:pPr>
          </w:p>
        </w:tc>
      </w:tr>
      <w:tr>
        <w:trPr>
          <w:trHeight w:val="185"/>
        </w:trPr>
        <w:tc>
          <w:tcPr>
            <w:tcW w:w="49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Principal balance</w:t>
            </w:r>
          </w:p>
        </w:tc>
        <w:tc>
          <w:tcPr>
            <w:tcW w:w="1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313,052</w:t>
            </w:r>
          </w:p>
        </w:tc>
        <w:tc>
          <w:tcPr>
            <w:tcW w:w="0" w:type="dxa"/>
            <w:vAlign w:val="bottom"/>
          </w:tcPr>
          <w:p>
            <w:pPr>
              <w:spacing w:after="0"/>
              <w:rPr>
                <w:sz w:val="1"/>
                <w:szCs w:val="1"/>
                <w:color w:val="auto"/>
              </w:rPr>
            </w:pPr>
          </w:p>
        </w:tc>
      </w:tr>
      <w:tr>
        <w:trPr>
          <w:trHeight w:val="192"/>
        </w:trPr>
        <w:tc>
          <w:tcPr>
            <w:tcW w:w="4900" w:type="dxa"/>
            <w:vAlign w:val="bottom"/>
          </w:tcPr>
          <w:p>
            <w:pPr>
              <w:ind w:left="100"/>
              <w:spacing w:after="0"/>
              <w:rPr>
                <w:sz w:val="20"/>
                <w:szCs w:val="20"/>
                <w:color w:val="auto"/>
              </w:rPr>
            </w:pPr>
            <w:r>
              <w:rPr>
                <w:rFonts w:ascii="Arial" w:cs="Arial" w:eastAsia="Arial" w:hAnsi="Arial"/>
                <w:sz w:val="15"/>
                <w:szCs w:val="15"/>
                <w:color w:val="auto"/>
              </w:rPr>
              <w:t>Discount (2)</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PMC Senior Secured Notes</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OFC Senior Secured Notes (3)</w:t>
            </w: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9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900" w:type="dxa"/>
            <w:vAlign w:val="bottom"/>
          </w:tcPr>
          <w:p>
            <w:pPr>
              <w:ind w:left="100"/>
              <w:spacing w:after="0"/>
              <w:rPr>
                <w:sz w:val="20"/>
                <w:szCs w:val="20"/>
                <w:color w:val="auto"/>
              </w:rPr>
            </w:pPr>
            <w:r>
              <w:rPr>
                <w:rFonts w:ascii="Arial" w:cs="Arial" w:eastAsia="Arial" w:hAnsi="Arial"/>
                <w:sz w:val="15"/>
                <w:szCs w:val="15"/>
                <w:color w:val="auto"/>
              </w:rPr>
              <w:t>Unamortized debt issuance costs (2)</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PMC Senior Secured Notes</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OFC Senior Secured Notes</w:t>
            </w: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9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92"/>
        </w:trPr>
        <w:tc>
          <w:tcPr>
            <w:tcW w:w="4900" w:type="dxa"/>
            <w:vAlign w:val="bottom"/>
          </w:tcPr>
          <w:p>
            <w:pPr>
              <w:ind w:left="100"/>
              <w:spacing w:after="0"/>
              <w:rPr>
                <w:sz w:val="20"/>
                <w:szCs w:val="20"/>
                <w:color w:val="auto"/>
              </w:rPr>
            </w:pPr>
            <w:r>
              <w:rPr>
                <w:rFonts w:ascii="Arial" w:cs="Arial" w:eastAsia="Arial" w:hAnsi="Arial"/>
                <w:sz w:val="15"/>
                <w:szCs w:val="15"/>
                <w:color w:val="auto"/>
              </w:rPr>
              <w:t>Fair value adjustments</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610,600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311,898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269" w:hanging="269"/>
        <w:spacing w:after="0"/>
        <w:tabs>
          <w:tab w:leader="none" w:pos="269"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Excluding the effect of the amortization of debt issuance costs and discount.</w:t>
      </w:r>
    </w:p>
    <w:p>
      <w:pPr>
        <w:spacing w:after="0" w:line="9" w:lineRule="exact"/>
        <w:rPr>
          <w:rFonts w:ascii="Arial" w:cs="Arial" w:eastAsia="Arial" w:hAnsi="Arial"/>
          <w:sz w:val="14"/>
          <w:szCs w:val="14"/>
          <w:color w:val="auto"/>
        </w:rPr>
      </w:pPr>
    </w:p>
    <w:p>
      <w:pPr>
        <w:ind w:left="269" w:hanging="269"/>
        <w:spacing w:after="0" w:line="236" w:lineRule="auto"/>
        <w:tabs>
          <w:tab w:leader="none" w:pos="269"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discount and debt issuance costs are amortized to interest expense through the maturity of the respective notes.</w:t>
      </w:r>
    </w:p>
    <w:p>
      <w:pPr>
        <w:ind w:left="269" w:hanging="269"/>
        <w:spacing w:after="0"/>
        <w:tabs>
          <w:tab w:leader="none" w:pos="269"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original issue discount (OID) and additional discount related to the concurrent issuance of warrants and common stock. See below for additional information.</w:t>
      </w:r>
    </w:p>
    <w:p>
      <w:pPr>
        <w:spacing w:after="0" w:line="7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Redemption of 6.375% Senior Unsecured Notes due 2021 and 8.375% Senior Secured Notes due 2022</w:t>
      </w:r>
    </w:p>
    <w:p>
      <w:pPr>
        <w:spacing w:after="0" w:line="100" w:lineRule="exact"/>
        <w:rPr>
          <w:sz w:val="20"/>
          <w:szCs w:val="20"/>
          <w:color w:val="auto"/>
        </w:rPr>
      </w:pPr>
    </w:p>
    <w:p>
      <w:pPr>
        <w:ind w:left="9" w:right="160" w:firstLine="272"/>
        <w:spacing w:after="0" w:line="265" w:lineRule="auto"/>
        <w:rPr>
          <w:sz w:val="20"/>
          <w:szCs w:val="20"/>
          <w:color w:val="auto"/>
        </w:rPr>
      </w:pPr>
      <w:r>
        <w:rPr>
          <w:rFonts w:ascii="Arial" w:cs="Arial" w:eastAsia="Arial" w:hAnsi="Arial"/>
          <w:sz w:val="15"/>
          <w:szCs w:val="15"/>
          <w:color w:val="auto"/>
        </w:rPr>
        <w:t>On March 4, 2021, we redeemed all of PHH’s outstanding 6.375% Senior Notes due August 2021 at a price of 100% of the principal amount, plus accrued and unpaid interest, and all of PMC’s 8.375% Senior Secured Notes due November 2022 at a price of 102.094% of the principal amount, plus accrued and unpaid interest. The redemption resulted in our recognition of a $7.1 million loss on debt extinguishment.</w:t>
      </w:r>
    </w:p>
    <w:p>
      <w:pPr>
        <w:spacing w:after="0" w:line="64"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Issuance of 7.875% Senior Secured Notes due 2026</w:t>
      </w:r>
    </w:p>
    <w:p>
      <w:pPr>
        <w:spacing w:after="0" w:line="100" w:lineRule="exact"/>
        <w:rPr>
          <w:sz w:val="20"/>
          <w:szCs w:val="20"/>
          <w:color w:val="auto"/>
        </w:rPr>
      </w:pPr>
    </w:p>
    <w:p>
      <w:pPr>
        <w:ind w:left="9" w:right="100" w:firstLine="272"/>
        <w:spacing w:after="0" w:line="265" w:lineRule="auto"/>
        <w:rPr>
          <w:sz w:val="20"/>
          <w:szCs w:val="20"/>
          <w:color w:val="auto"/>
        </w:rPr>
      </w:pPr>
      <w:r>
        <w:rPr>
          <w:rFonts w:ascii="Arial" w:cs="Arial" w:eastAsia="Arial" w:hAnsi="Arial"/>
          <w:sz w:val="15"/>
          <w:szCs w:val="15"/>
          <w:color w:val="auto"/>
        </w:rPr>
        <w:t>On March 4, 2021, PMC completed the issuance and sale of $400.0 million aggregate principal amount of 7.875% senior secured notes due March 15, 2026 (the PMC Senior Secured Notes) at a discount of $2.1 million. The PMC Senior Secured Notes are guaranteed on a senior secured basis by Ocwen and PHH and were sold in an offering exempt from the registration requirements of the Securities Act of 1933, as amended (the Securities Act).</w:t>
      </w:r>
    </w:p>
    <w:p>
      <w:pPr>
        <w:spacing w:after="0" w:line="64" w:lineRule="exact"/>
        <w:rPr>
          <w:sz w:val="20"/>
          <w:szCs w:val="20"/>
          <w:color w:val="auto"/>
        </w:rPr>
      </w:pPr>
    </w:p>
    <w:p>
      <w:pPr>
        <w:ind w:left="9" w:right="80" w:firstLine="272"/>
        <w:spacing w:after="0" w:line="278" w:lineRule="auto"/>
        <w:rPr>
          <w:sz w:val="20"/>
          <w:szCs w:val="20"/>
          <w:color w:val="auto"/>
        </w:rPr>
      </w:pPr>
      <w:r>
        <w:rPr>
          <w:rFonts w:ascii="Arial" w:cs="Arial" w:eastAsia="Arial" w:hAnsi="Arial"/>
          <w:sz w:val="15"/>
          <w:szCs w:val="15"/>
          <w:color w:val="auto"/>
        </w:rPr>
        <w:t>Interest on the PMC Senior Secured Notes accrues at a rate of 7.875% per annum and is payable semi-annually in arrears on March 15 and September 15 of each year, beginning on September 15, 2021.</w:t>
      </w:r>
    </w:p>
    <w:p>
      <w:pPr>
        <w:spacing w:after="0" w:line="54" w:lineRule="exact"/>
        <w:rPr>
          <w:sz w:val="20"/>
          <w:szCs w:val="20"/>
          <w:color w:val="auto"/>
        </w:rPr>
      </w:pPr>
    </w:p>
    <w:p>
      <w:pPr>
        <w:ind w:left="9" w:firstLine="272"/>
        <w:spacing w:after="0" w:line="314" w:lineRule="auto"/>
        <w:rPr>
          <w:sz w:val="20"/>
          <w:szCs w:val="20"/>
          <w:color w:val="auto"/>
        </w:rPr>
      </w:pPr>
      <w:r>
        <w:rPr>
          <w:rFonts w:ascii="Arial" w:cs="Arial" w:eastAsia="Arial" w:hAnsi="Arial"/>
          <w:sz w:val="14"/>
          <w:szCs w:val="14"/>
          <w:color w:val="auto"/>
        </w:rPr>
        <w:t>On or after March 15, 2023, PMC may redeem some or all of the PMC Senior Secured Notes at its option at the following redemption prices, plus accrued and unpaid interest, if any, on the notes redeemed to, but excluding, the redemption date if redeemed during the 12-month period beginning on March 15th of the years indicated below:</w:t>
      </w:r>
    </w:p>
    <w:p>
      <w:pPr>
        <w:spacing w:after="0" w:line="17"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9340" w:type="dxa"/>
            <w:vAlign w:val="bottom"/>
            <w:gridSpan w:val="2"/>
          </w:tcPr>
          <w:p>
            <w:pPr>
              <w:spacing w:after="0"/>
              <w:rPr>
                <w:sz w:val="20"/>
                <w:szCs w:val="20"/>
                <w:color w:val="auto"/>
              </w:rPr>
            </w:pPr>
            <w:r>
              <w:rPr>
                <w:rFonts w:ascii="Arial" w:cs="Arial" w:eastAsia="Arial" w:hAnsi="Arial"/>
                <w:sz w:val="15"/>
                <w:szCs w:val="15"/>
                <w:b w:val="1"/>
                <w:bCs w:val="1"/>
                <w:color w:val="auto"/>
              </w:rPr>
              <w:t>Redemption Year</w:t>
            </w:r>
          </w:p>
        </w:tc>
        <w:tc>
          <w:tcPr>
            <w:tcW w:w="1920" w:type="dxa"/>
            <w:vAlign w:val="bottom"/>
          </w:tcPr>
          <w:p>
            <w:pPr>
              <w:ind w:left="380"/>
              <w:spacing w:after="0"/>
              <w:rPr>
                <w:sz w:val="20"/>
                <w:szCs w:val="20"/>
                <w:color w:val="auto"/>
              </w:rPr>
            </w:pPr>
            <w:r>
              <w:rPr>
                <w:rFonts w:ascii="Arial" w:cs="Arial" w:eastAsia="Arial" w:hAnsi="Arial"/>
                <w:sz w:val="15"/>
                <w:szCs w:val="15"/>
                <w:b w:val="1"/>
                <w:bCs w:val="1"/>
                <w:color w:val="auto"/>
              </w:rPr>
              <w:t>Redemption Price</w:t>
            </w:r>
          </w:p>
        </w:tc>
      </w:tr>
      <w:tr>
        <w:trPr>
          <w:trHeight w:val="185"/>
        </w:trPr>
        <w:tc>
          <w:tcPr>
            <w:tcW w:w="9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2023</w:t>
            </w:r>
          </w:p>
        </w:tc>
        <w:tc>
          <w:tcPr>
            <w:tcW w:w="1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5"/>
                <w:szCs w:val="15"/>
                <w:color w:val="auto"/>
                <w:w w:val="91"/>
              </w:rPr>
              <w:t>103.938 %</w:t>
            </w:r>
          </w:p>
        </w:tc>
      </w:tr>
      <w:tr>
        <w:trPr>
          <w:trHeight w:val="192"/>
        </w:trPr>
        <w:tc>
          <w:tcPr>
            <w:tcW w:w="9240" w:type="dxa"/>
            <w:vAlign w:val="bottom"/>
          </w:tcPr>
          <w:p>
            <w:pPr>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6"/>
                <w:szCs w:val="16"/>
                <w:color w:val="auto"/>
              </w:rPr>
            </w:pPr>
          </w:p>
        </w:tc>
        <w:tc>
          <w:tcPr>
            <w:tcW w:w="1920" w:type="dxa"/>
            <w:vAlign w:val="bottom"/>
          </w:tcPr>
          <w:p>
            <w:pPr>
              <w:ind w:left="1240"/>
              <w:spacing w:after="0"/>
              <w:rPr>
                <w:sz w:val="20"/>
                <w:szCs w:val="20"/>
                <w:color w:val="auto"/>
              </w:rPr>
            </w:pPr>
            <w:r>
              <w:rPr>
                <w:rFonts w:ascii="Arial" w:cs="Arial" w:eastAsia="Arial" w:hAnsi="Arial"/>
                <w:sz w:val="15"/>
                <w:szCs w:val="15"/>
                <w:color w:val="auto"/>
              </w:rPr>
              <w:t>101.969</w:t>
            </w:r>
          </w:p>
        </w:tc>
      </w:tr>
      <w:tr>
        <w:trPr>
          <w:trHeight w:val="194"/>
        </w:trPr>
        <w:tc>
          <w:tcPr>
            <w:tcW w:w="9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2025 and thereafter</w:t>
            </w:r>
          </w:p>
        </w:tc>
        <w:tc>
          <w:tcPr>
            <w:tcW w:w="1920" w:type="dxa"/>
            <w:vAlign w:val="bottom"/>
            <w:shd w:val="clear" w:color="auto" w:fill="CCEEFF"/>
          </w:tcPr>
          <w:p>
            <w:pPr>
              <w:ind w:left="1240"/>
              <w:spacing w:after="0"/>
              <w:rPr>
                <w:sz w:val="20"/>
                <w:szCs w:val="20"/>
                <w:color w:val="auto"/>
              </w:rPr>
            </w:pPr>
            <w:r>
              <w:rPr>
                <w:rFonts w:ascii="Arial" w:cs="Arial" w:eastAsia="Arial" w:hAnsi="Arial"/>
                <w:sz w:val="15"/>
                <w:szCs w:val="15"/>
                <w:color w:val="auto"/>
              </w:rPr>
              <w:t>100.000</w:t>
            </w:r>
          </w:p>
        </w:tc>
      </w:tr>
    </w:tbl>
    <w:p>
      <w:pPr>
        <w:spacing w:after="0" w:line="160" w:lineRule="exact"/>
        <w:rPr>
          <w:sz w:val="20"/>
          <w:szCs w:val="20"/>
          <w:color w:val="auto"/>
        </w:rPr>
      </w:pPr>
    </w:p>
    <w:p>
      <w:pPr>
        <w:ind w:left="9" w:right="100" w:firstLine="272"/>
        <w:spacing w:after="0" w:line="298" w:lineRule="auto"/>
        <w:rPr>
          <w:sz w:val="20"/>
          <w:szCs w:val="20"/>
          <w:color w:val="auto"/>
        </w:rPr>
      </w:pPr>
      <w:r>
        <w:rPr>
          <w:rFonts w:ascii="Arial" w:cs="Arial" w:eastAsia="Arial" w:hAnsi="Arial"/>
          <w:sz w:val="13"/>
          <w:szCs w:val="13"/>
          <w:color w:val="auto"/>
        </w:rPr>
        <w:t>Prior to March 15, 2023, PMC may, on any one or more occasions, redeem some or all of the PMC Senior Secured Notes at its option at a redemption price equal to 100% of the principal amount of the notes being redeemed, plus a “make-whole” premium equal to the greater of (i) 1.0% of the then outstanding principal amount of such note and (ii) the excess of</w:t>
      </w:r>
    </w:p>
    <w:p>
      <w:pPr>
        <w:spacing w:after="0" w:line="1" w:lineRule="exact"/>
        <w:rPr>
          <w:sz w:val="20"/>
          <w:szCs w:val="20"/>
          <w:color w:val="auto"/>
        </w:rPr>
      </w:pPr>
    </w:p>
    <w:p>
      <w:pPr>
        <w:jc w:val="both"/>
        <w:ind w:left="9" w:right="440" w:hanging="9"/>
        <w:spacing w:after="0" w:line="258" w:lineRule="auto"/>
        <w:tabs>
          <w:tab w:leader="none" w:pos="223"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present value at the redemption date of the sum of (A) the redemption price of the note at March 15, 2023 (such redemption price is set forth in the table above) plus (B) all required interest payments due on such notes through March 15, 2023 (excluding accrued but unpaid interest), such present value to be computed using a discount rate equal to the Treasury Rate (as</w:t>
      </w:r>
    </w:p>
    <w:p>
      <w:pPr>
        <w:spacing w:after="0" w:line="200" w:lineRule="exact"/>
        <w:rPr>
          <w:sz w:val="20"/>
          <w:szCs w:val="20"/>
          <w:color w:val="auto"/>
        </w:rPr>
      </w:pPr>
    </w:p>
    <w:p>
      <w:pPr>
        <w:spacing w:after="0" w:line="33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1010" w:right="319" w:bottom="1440" w:gutter="0" w:footer="0" w:header="0"/>
        </w:sectPr>
      </w:pPr>
    </w:p>
    <w:bookmarkStart w:id="39" w:name="page40"/>
    <w:bookmarkEnd w:id="39"/>
    <w:p>
      <w:pPr>
        <w:ind w:right="180"/>
        <w:spacing w:after="0" w:line="278" w:lineRule="auto"/>
        <w:rPr>
          <w:sz w:val="20"/>
          <w:szCs w:val="20"/>
          <w:color w:val="auto"/>
        </w:rPr>
      </w:pPr>
      <w:r>
        <w:rPr>
          <w:rFonts w:ascii="Arial" w:cs="Arial" w:eastAsia="Arial" w:hAnsi="Arial"/>
          <w:sz w:val="15"/>
          <w:szCs w:val="15"/>
          <w:color w:val="auto"/>
        </w:rPr>
        <w:t>defined in the indenture governing the PMC Senior Secured Notes (Indenture)) as of such redemption date plus 50 basis points; over (2) the then outstanding principal amount of such notes, plus accrued and unpaid interest, if any, on the notes redeemed to, but excluding, the redemption date.</w:t>
      </w:r>
    </w:p>
    <w:p>
      <w:pPr>
        <w:spacing w:after="0" w:line="54" w:lineRule="exact"/>
        <w:rPr>
          <w:sz w:val="20"/>
          <w:szCs w:val="20"/>
          <w:color w:val="auto"/>
        </w:rPr>
      </w:pPr>
    </w:p>
    <w:p>
      <w:pPr>
        <w:ind w:right="20" w:firstLine="272"/>
        <w:spacing w:after="0" w:line="257" w:lineRule="auto"/>
        <w:rPr>
          <w:sz w:val="20"/>
          <w:szCs w:val="20"/>
          <w:color w:val="auto"/>
        </w:rPr>
      </w:pPr>
      <w:r>
        <w:rPr>
          <w:rFonts w:ascii="Arial" w:cs="Arial" w:eastAsia="Arial" w:hAnsi="Arial"/>
          <w:sz w:val="15"/>
          <w:szCs w:val="15"/>
          <w:color w:val="auto"/>
        </w:rPr>
        <w:t>In addition, on or prior to March 15, 2023, PMC may also redeem up to 35.0% of the principal amount of all of the PMC Senior Secured Notes originally issued under the Indenture (including any additional PMC Senior Secured Notes issued under the Indenture) using the net proceeds of certain equity offerings at a redemption price equal to 107.875% of the principal amount thereof, plus accrued and unpaid interest to, but excluding, the date of redemption (subject to the rights of holders of notes on the relevant regular record date to receive interest due on the relevant interest payment date that is on or prior to the applicable date of redemption); provided that: (i) at least 65.0% of the principal amount of all PMC Senior Secured Notes issued under the Indenture remains outstanding immediately after any such redemption; and (ii) PMC makes such redemption not more than 120 days after the consummation of any such equity offering.</w:t>
      </w:r>
    </w:p>
    <w:p>
      <w:pPr>
        <w:spacing w:after="0" w:line="72" w:lineRule="exact"/>
        <w:rPr>
          <w:sz w:val="20"/>
          <w:szCs w:val="20"/>
          <w:color w:val="auto"/>
        </w:rPr>
      </w:pPr>
    </w:p>
    <w:p>
      <w:pPr>
        <w:jc w:val="both"/>
        <w:ind w:right="200" w:firstLine="272"/>
        <w:spacing w:after="0" w:line="265" w:lineRule="auto"/>
        <w:rPr>
          <w:sz w:val="20"/>
          <w:szCs w:val="20"/>
          <w:color w:val="auto"/>
        </w:rPr>
      </w:pPr>
      <w:r>
        <w:rPr>
          <w:rFonts w:ascii="Arial" w:cs="Arial" w:eastAsia="Arial" w:hAnsi="Arial"/>
          <w:sz w:val="15"/>
          <w:szCs w:val="15"/>
          <w:color w:val="auto"/>
        </w:rPr>
        <w:t>The Indenture contains customary covenants for debt securities of this type that limit the ability of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Issuance of OFC Senior Secured Notes</w:t>
      </w:r>
    </w:p>
    <w:p>
      <w:pPr>
        <w:spacing w:after="0" w:line="100" w:lineRule="exact"/>
        <w:rPr>
          <w:sz w:val="20"/>
          <w:szCs w:val="20"/>
          <w:color w:val="auto"/>
        </w:rPr>
      </w:pPr>
    </w:p>
    <w:p>
      <w:pPr>
        <w:ind w:firstLine="272"/>
        <w:spacing w:after="0" w:line="261" w:lineRule="auto"/>
        <w:rPr>
          <w:sz w:val="20"/>
          <w:szCs w:val="20"/>
          <w:color w:val="auto"/>
        </w:rPr>
      </w:pPr>
      <w:r>
        <w:rPr>
          <w:rFonts w:ascii="Arial" w:cs="Arial" w:eastAsia="Arial" w:hAnsi="Arial"/>
          <w:sz w:val="15"/>
          <w:szCs w:val="15"/>
          <w:color w:val="auto"/>
        </w:rPr>
        <w:t>On March 4, 2021, Ocwen completed the private placement of $199.5 million aggregate principal amount of senior secured notes (the OFC Senior Secured Notes) with an OID of $24.5 million to certain entities owned by funds and accounts managed by Oaktree Capital Management, L.P. (the Oaktree Investors). Concurrent with the issuance of the OFC Senior Secured Notes, Ocwen issued to the Oaktree Investors warrants to purchase shares of its common stock. The $158.5 million proceeds were allocated to the OFC Senior Secured Notes on a relative fair value basis resulting in an initial discount.</w:t>
      </w:r>
    </w:p>
    <w:p>
      <w:pPr>
        <w:spacing w:after="0" w:line="67" w:lineRule="exact"/>
        <w:rPr>
          <w:sz w:val="20"/>
          <w:szCs w:val="20"/>
          <w:color w:val="auto"/>
        </w:rPr>
      </w:pPr>
    </w:p>
    <w:p>
      <w:pPr>
        <w:ind w:right="40" w:firstLine="272"/>
        <w:spacing w:after="0" w:line="261" w:lineRule="auto"/>
        <w:rPr>
          <w:sz w:val="20"/>
          <w:szCs w:val="20"/>
          <w:color w:val="auto"/>
        </w:rPr>
      </w:pPr>
      <w:r>
        <w:rPr>
          <w:rFonts w:ascii="Arial" w:cs="Arial" w:eastAsia="Arial" w:hAnsi="Arial"/>
          <w:sz w:val="15"/>
          <w:szCs w:val="15"/>
          <w:color w:val="auto"/>
        </w:rPr>
        <w:t>On May 3, 2021, Ocwen issued to Oaktree the second tranche of the OFC Senior Secured Notes in an aggregate principal amount of $85.5 million with an OID of $10.5 million. Concurrent with the issuance of the second tranche of OFC Senior Secured Notes, Ocwen issued to the Oaktree Investors shares and warrants to purchase shares of its common stock. The $68.0 million proceeds were allocated to the OFC Senior Secured Notes on a relative fair value basis resulting in an initial discount. See Note 14 – Equity for additional information regarding the issuance of common stock and warrants.</w:t>
      </w:r>
    </w:p>
    <w:p>
      <w:pPr>
        <w:spacing w:after="0" w:line="67" w:lineRule="exact"/>
        <w:rPr>
          <w:sz w:val="20"/>
          <w:szCs w:val="20"/>
          <w:color w:val="auto"/>
        </w:rPr>
      </w:pPr>
    </w:p>
    <w:p>
      <w:pPr>
        <w:ind w:right="60" w:firstLine="272"/>
        <w:spacing w:after="0" w:line="257" w:lineRule="auto"/>
        <w:rPr>
          <w:sz w:val="20"/>
          <w:szCs w:val="20"/>
          <w:color w:val="auto"/>
        </w:rPr>
      </w:pPr>
      <w:r>
        <w:rPr>
          <w:rFonts w:ascii="Arial" w:cs="Arial" w:eastAsia="Arial" w:hAnsi="Arial"/>
          <w:sz w:val="15"/>
          <w:szCs w:val="15"/>
          <w:color w:val="auto"/>
        </w:rPr>
        <w:t>The OFC Senior Secured Notes mature on March 4, 2027 with no amortization of principal. Interest is payable quarterly in arrears on the last business day of each March, June, September and December and accrues at the rate of 12% per annum to the extent interest is paid in cash or 13.25% per annum to the extent interest is “paid-in-kind” through an increase in the principal amount or the issuance of additional notes (PIK Interest). Prior to March 4, 2022, all of the interest on the OFC Senior Secured Notes may, at our option, be paid as PIK Interest. On or after March 4, 2022, a minimum amount of interest will be required to be paid in cash equal to the lesser of (i) 7% per annum of the outstanding principal amount of the OFC Senior Secured Notes and (ii) the total amount of unrestricted cash of Ocwen and its subsidiaries less the greater of $125.0 million and the minimum liquidity amounts required by any agency.</w:t>
      </w:r>
    </w:p>
    <w:p>
      <w:pPr>
        <w:spacing w:after="0" w:line="72" w:lineRule="exact"/>
        <w:rPr>
          <w:sz w:val="20"/>
          <w:szCs w:val="20"/>
          <w:color w:val="auto"/>
        </w:rPr>
      </w:pPr>
    </w:p>
    <w:p>
      <w:pPr>
        <w:ind w:right="280" w:firstLine="272"/>
        <w:spacing w:after="0" w:line="261" w:lineRule="auto"/>
        <w:rPr>
          <w:sz w:val="20"/>
          <w:szCs w:val="20"/>
          <w:color w:val="auto"/>
        </w:rPr>
      </w:pPr>
      <w:r>
        <w:rPr>
          <w:rFonts w:ascii="Arial" w:cs="Arial" w:eastAsia="Arial" w:hAnsi="Arial"/>
          <w:sz w:val="15"/>
          <w:szCs w:val="15"/>
          <w:color w:val="auto"/>
        </w:rPr>
        <w:t>The OFC Senior Secured Notes are solely the obligation of Ocwen and are secured by a pledge of substantially all of the assets of Ocwen, including a pledge of the equity of Ocwen’s directly held subsidiaries. The lien on Ocwen’s assets securing the OFC Senior Secured Notes is junior to the lien securing Ocwen’s guarantee of the 7.875% PMC Senior Secured Notes described above. The OFC Senior Secured Notes are not guaranteed by any of Ocwen’s subsidiaries nor are they secured by a pledge or lien on any assets of Ocwen’s subsidiaries.</w:t>
      </w:r>
    </w:p>
    <w:p>
      <w:pPr>
        <w:spacing w:after="0" w:line="67" w:lineRule="exact"/>
        <w:rPr>
          <w:sz w:val="20"/>
          <w:szCs w:val="20"/>
          <w:color w:val="auto"/>
        </w:rPr>
      </w:pPr>
    </w:p>
    <w:p>
      <w:pPr>
        <w:jc w:val="both"/>
        <w:ind w:right="120" w:firstLine="272"/>
        <w:spacing w:after="0" w:line="265" w:lineRule="auto"/>
        <w:rPr>
          <w:sz w:val="20"/>
          <w:szCs w:val="20"/>
          <w:color w:val="auto"/>
        </w:rPr>
      </w:pPr>
      <w:r>
        <w:rPr>
          <w:rFonts w:ascii="Arial" w:cs="Arial" w:eastAsia="Arial" w:hAnsi="Arial"/>
          <w:sz w:val="15"/>
          <w:szCs w:val="15"/>
          <w:color w:val="auto"/>
        </w:rPr>
        <w:t>Prior to March 4, 2026, we are permitted to redeem the OFC Senior Secured Notes in whole or in part at any time at a redemption price equal to par, plus a make-whole premium, plus accrued and unpaid interest. On and after March 4, 2026, we will be permitted to redeem the OFC Senior Secured Notes in whole or in part at any time at a redemption price equal to par plus accrued and unpaid interest.</w:t>
      </w:r>
    </w:p>
    <w:p>
      <w:pPr>
        <w:spacing w:after="0" w:line="64" w:lineRule="exact"/>
        <w:rPr>
          <w:sz w:val="20"/>
          <w:szCs w:val="20"/>
          <w:color w:val="auto"/>
        </w:rPr>
      </w:pPr>
    </w:p>
    <w:p>
      <w:pPr>
        <w:ind w:right="240" w:firstLine="272"/>
        <w:spacing w:after="0" w:line="265" w:lineRule="auto"/>
        <w:rPr>
          <w:sz w:val="20"/>
          <w:szCs w:val="20"/>
          <w:color w:val="auto"/>
        </w:rPr>
      </w:pPr>
      <w:r>
        <w:rPr>
          <w:rFonts w:ascii="Arial" w:cs="Arial" w:eastAsia="Arial" w:hAnsi="Arial"/>
          <w:sz w:val="15"/>
          <w:szCs w:val="15"/>
          <w:color w:val="auto"/>
        </w:rPr>
        <w:t>The OFC Senior Secured Notes have two financial maintenance covenants: (1) a minimum book value of stockholders’ equity of not less than $275.0 million and (2) a minimum amount of unrestricted cash of not less than $50.0 million at any time. The OFC Senior Secured Notes also have affirmative and negative covenants and events of default that are customary for debt securities of this type.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Ratings</w:t>
      </w:r>
    </w:p>
    <w:p>
      <w:pPr>
        <w:spacing w:after="0" w:line="104" w:lineRule="exact"/>
        <w:rPr>
          <w:sz w:val="20"/>
          <w:szCs w:val="20"/>
          <w:color w:val="auto"/>
        </w:rPr>
      </w:pPr>
    </w:p>
    <w:p>
      <w:pPr>
        <w:ind w:right="160" w:firstLine="272"/>
        <w:spacing w:after="0" w:line="265" w:lineRule="auto"/>
        <w:rPr>
          <w:sz w:val="20"/>
          <w:szCs w:val="20"/>
          <w:color w:val="auto"/>
        </w:rPr>
      </w:pPr>
      <w:r>
        <w:rPr>
          <w:rFonts w:ascii="Arial" w:cs="Arial" w:eastAsia="Arial" w:hAnsi="Arial"/>
          <w:sz w:val="15"/>
          <w:szCs w:val="15"/>
          <w:color w:val="auto"/>
        </w:rPr>
        <w:t>Credit ratings are intended to be an indicator of the creditworthiness of a company’s debt obligation. At June 30, 2021, the S&amp;P issuer credit rating for Ocwen was “B-”. On February 24, 2021, concurrent with the launch of the PMC bond offering, S&amp;P reaffirmed the ratings at B- and changed the outlook from Negative to Stable. Moody’s reaffirmed their ratings of Caa1 and revised their outlook to Stable from Negative on February 24, 2021. It is possible that additional actions by credit rating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40" w:name="page41"/>
    <w:bookmarkEnd w:id="40"/>
    <w:p>
      <w:pPr>
        <w:spacing w:after="0"/>
        <w:rPr>
          <w:sz w:val="20"/>
          <w:szCs w:val="20"/>
          <w:color w:val="auto"/>
        </w:rPr>
      </w:pPr>
      <w:r>
        <w:rPr>
          <w:rFonts w:ascii="Arial" w:cs="Arial" w:eastAsia="Arial" w:hAnsi="Arial"/>
          <w:sz w:val="15"/>
          <w:szCs w:val="15"/>
          <w:color w:val="auto"/>
        </w:rPr>
        <w:t>agencies could have a material adverse impact on our liquidity and funding position, including materially changing the terms on which we may be able to borrow money.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Under the terms of our debt agreements, we are subject to various affirmative and negative covenants. Collectively, these covenants include:</w:t>
      </w:r>
    </w:p>
    <w:p>
      <w:pPr>
        <w:spacing w:after="0" w:line="100" w:lineRule="exact"/>
        <w:rPr>
          <w:sz w:val="20"/>
          <w:szCs w:val="20"/>
          <w:color w:val="auto"/>
        </w:rPr>
      </w:pPr>
    </w:p>
    <w:p>
      <w:pPr>
        <w:ind w:left="540" w:hanging="277"/>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Financial covenants, including, but not limited to, specified levels of net worth and liquidity;</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Covenants to operate in material compliance with applicable laws;</w:t>
      </w:r>
    </w:p>
    <w:p>
      <w:pPr>
        <w:spacing w:after="0" w:line="9" w:lineRule="exact"/>
        <w:rPr>
          <w:rFonts w:ascii="Arial" w:cs="Arial" w:eastAsia="Arial" w:hAnsi="Arial"/>
          <w:sz w:val="15"/>
          <w:szCs w:val="15"/>
          <w:color w:val="auto"/>
        </w:rPr>
      </w:pPr>
    </w:p>
    <w:p>
      <w:pPr>
        <w:ind w:left="540" w:right="60" w:hanging="277"/>
        <w:spacing w:after="0" w:line="252" w:lineRule="auto"/>
        <w:tabs>
          <w:tab w:leader="none" w:pos="5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spacing w:after="0" w:line="2" w:lineRule="exact"/>
        <w:rPr>
          <w:rFonts w:ascii="Arial" w:cs="Arial" w:eastAsia="Arial" w:hAnsi="Arial"/>
          <w:sz w:val="15"/>
          <w:szCs w:val="15"/>
          <w:color w:val="auto"/>
        </w:rPr>
      </w:pPr>
    </w:p>
    <w:p>
      <w:pPr>
        <w:ind w:left="540" w:hanging="277"/>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Monitoring and reporting of various specified transactions or events, including specific reporting on defined events affecting collateral underlying certain debt agreements; and</w:t>
      </w:r>
    </w:p>
    <w:p>
      <w:pPr>
        <w:spacing w:after="0" w:line="32" w:lineRule="exact"/>
        <w:rPr>
          <w:rFonts w:ascii="Arial" w:cs="Arial" w:eastAsia="Arial" w:hAnsi="Arial"/>
          <w:sz w:val="13"/>
          <w:szCs w:val="13"/>
          <w:color w:val="auto"/>
        </w:rPr>
      </w:pPr>
    </w:p>
    <w:p>
      <w:pPr>
        <w:ind w:left="540" w:right="340" w:hanging="277"/>
        <w:spacing w:after="0" w:line="265" w:lineRule="auto"/>
        <w:tabs>
          <w:tab w:leader="none" w:pos="5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Requirements to provide audited financial statements within specified timeframes, including requirements that Ocwen’s financial statements and the related audit report be unqualified as to going concern.</w:t>
      </w:r>
    </w:p>
    <w:p>
      <w:pPr>
        <w:spacing w:after="0" w:line="64" w:lineRule="exact"/>
        <w:rPr>
          <w:sz w:val="20"/>
          <w:szCs w:val="20"/>
          <w:color w:val="auto"/>
        </w:rPr>
      </w:pPr>
    </w:p>
    <w:p>
      <w:pPr>
        <w:ind w:right="200" w:firstLine="272"/>
        <w:spacing w:after="0" w:line="292" w:lineRule="auto"/>
        <w:rPr>
          <w:sz w:val="20"/>
          <w:szCs w:val="20"/>
          <w:color w:val="auto"/>
        </w:rPr>
      </w:pPr>
      <w:r>
        <w:rPr>
          <w:rFonts w:ascii="Arial" w:cs="Arial" w:eastAsia="Arial" w:hAnsi="Arial"/>
          <w:sz w:val="14"/>
          <w:szCs w:val="14"/>
          <w:color w:val="auto"/>
        </w:rPr>
        <w:t>As of June 30, 2021, the most restrictive consolidated net worth requirement contained in our debt agreements is a minimum of $275.0 million tangible net worth at Ocwen, as defined, under certain of our mortgage warehouse and MSR financing facilities agreements. The most restrictive liquidity requirement under our debt agreements is for a minimum of $125.0 million in consolidated liquidity, as defined, under certain of our advance match funded debt and MSR financing facilities agreements.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believe we were in compliance with all of the covenants in our debt agreements as of the date of these unaudited consolidated financial statements.</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Note 13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13994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6"/>
                <w:szCs w:val="16"/>
                <w:color w:val="auto"/>
              </w:rPr>
            </w:pPr>
          </w:p>
        </w:tc>
        <w:tc>
          <w:tcPr>
            <w:tcW w:w="140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December 31, 2020</w:t>
            </w:r>
          </w:p>
        </w:tc>
      </w:tr>
      <w:tr>
        <w:trPr>
          <w:trHeight w:val="185"/>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Contingent loan repurchase liability</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523,012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480,221</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Due to NRZ - Advance collections, servicing fees and other</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84,288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94,691</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MSR purchase price holdback</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20,923</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Other accrued expenses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76,215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87,898</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Accrued legal fees and settlements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38,932</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Servicing-related obligations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45,422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35,237</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Liability for indemnification obligations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41,920</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Checks held for escheat</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39,835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35,654</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Lease liability</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27,393</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Liability for uncertain tax positions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15,961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16,188</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Accrued interest payable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4,915</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Liability for unfunded pension obligation</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12,662</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Liability for unfunded India gratuity plan</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6,051</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Derivatives, at fair value</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4,039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4,638</w:t>
            </w:r>
          </w:p>
        </w:tc>
      </w:tr>
      <w:tr>
        <w:trPr>
          <w:trHeight w:val="193"/>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13,766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16,652</w:t>
            </w:r>
          </w:p>
        </w:tc>
      </w:tr>
      <w:tr>
        <w:trPr>
          <w:trHeight w:val="184"/>
        </w:trPr>
        <w:tc>
          <w:tcPr>
            <w:tcW w:w="8060" w:type="dxa"/>
            <w:vAlign w:val="bottom"/>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1,025,836</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923,975</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95261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52615" cy="6985"/>
                    </a:xfrm>
                    <a:prstGeom prst="rect">
                      <a:avLst/>
                    </a:prstGeom>
                    <a:noFill/>
                  </pic:spPr>
                </pic:pic>
              </a:graphicData>
            </a:graphic>
          </wp:anchor>
        </w:drawing>
      </w:r>
    </w:p>
    <w:p>
      <w:pPr>
        <w:spacing w:after="0" w:line="254" w:lineRule="exact"/>
        <w:rPr>
          <w:sz w:val="20"/>
          <w:szCs w:val="20"/>
          <w:color w:val="auto"/>
        </w:rPr>
      </w:pPr>
    </w:p>
    <w:p>
      <w:pPr>
        <w:jc w:val="both"/>
        <w:ind w:right="20" w:firstLine="272"/>
        <w:spacing w:after="0" w:line="278" w:lineRule="auto"/>
        <w:rPr>
          <w:sz w:val="20"/>
          <w:szCs w:val="20"/>
          <w:color w:val="auto"/>
        </w:rPr>
      </w:pPr>
      <w:r>
        <w:rPr>
          <w:rFonts w:ascii="Arial" w:cs="Arial" w:eastAsia="Arial" w:hAnsi="Arial"/>
          <w:sz w:val="15"/>
          <w:szCs w:val="15"/>
          <w:color w:val="auto"/>
        </w:rPr>
        <w:t>On February 3, 2020, Ocwen’s Board of Directors authorized a share repurchase program for an aggregate amount of up to $5.0 million of Ocwen’s issued and outstanding shares of common stock. During the three months ended March 31, 2020, we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41" w:name="page42"/>
    <w:bookmarkEnd w:id="41"/>
    <w:p>
      <w:pPr>
        <w:ind w:right="140"/>
        <w:spacing w:after="0" w:line="265" w:lineRule="auto"/>
        <w:rPr>
          <w:sz w:val="20"/>
          <w:szCs w:val="20"/>
          <w:color w:val="auto"/>
        </w:rPr>
      </w:pPr>
      <w:r>
        <w:rPr>
          <w:rFonts w:ascii="Arial" w:cs="Arial" w:eastAsia="Arial" w:hAnsi="Arial"/>
          <w:sz w:val="15"/>
          <w:szCs w:val="15"/>
          <w:color w:val="auto"/>
        </w:rPr>
        <w:t>completed the repurchase of 377,484 shares of common stock in the open market under this program at prevailing market prices for a total purchase price of $4.5 million for an average price paid per share of $11.90. In addition, Ocwen paid $0.1 million in commissions. The repurchased shares were formally retired as of March 31, 2020. No additional shares were repurchased prior to the program’s expiration on February 3, 2021.</w:t>
      </w:r>
    </w:p>
    <w:p>
      <w:pPr>
        <w:spacing w:after="0" w:line="64" w:lineRule="exact"/>
        <w:rPr>
          <w:sz w:val="20"/>
          <w:szCs w:val="20"/>
          <w:color w:val="auto"/>
        </w:rPr>
      </w:pPr>
    </w:p>
    <w:p>
      <w:pPr>
        <w:ind w:right="20" w:firstLine="272"/>
        <w:spacing w:after="0" w:line="268" w:lineRule="auto"/>
        <w:rPr>
          <w:sz w:val="20"/>
          <w:szCs w:val="20"/>
          <w:color w:val="auto"/>
        </w:rPr>
      </w:pPr>
      <w:r>
        <w:rPr>
          <w:rFonts w:ascii="Arial" w:cs="Arial" w:eastAsia="Arial" w:hAnsi="Arial"/>
          <w:sz w:val="14"/>
          <w:szCs w:val="14"/>
          <w:color w:val="auto"/>
        </w:rPr>
        <w:t>Effective August 13, 2020, Ocwen implemented a one-for-15 reverse stock split of all outstanding shares of its common stock and reduced the number of authorized shares of common stock by the same proportion. Shareholders entitled to receive fractional shares of common stock received shares rounded up to the nearest whole share in lieu of such fractional shares, with an aggregate 4,692 additional shares issued. The number of outstanding shares was reduced from 130,013,696 to 8,672,272 and the authorized shares from 200,000,000 to 13,333,333 effective August 13, 2020, with giving effect to the rounding up of fractional shares. The $0.01 par value per share of common stock remained unchanged.</w:t>
      </w:r>
    </w:p>
    <w:p>
      <w:pPr>
        <w:spacing w:after="0" w:line="52" w:lineRule="exact"/>
        <w:rPr>
          <w:sz w:val="20"/>
          <w:szCs w:val="20"/>
          <w:color w:val="auto"/>
        </w:rPr>
      </w:pPr>
    </w:p>
    <w:p>
      <w:pPr>
        <w:ind w:right="20" w:firstLine="272"/>
        <w:spacing w:after="0" w:line="257" w:lineRule="auto"/>
        <w:rPr>
          <w:sz w:val="20"/>
          <w:szCs w:val="20"/>
          <w:color w:val="auto"/>
        </w:rPr>
      </w:pPr>
      <w:r>
        <w:rPr>
          <w:rFonts w:ascii="Arial" w:cs="Arial" w:eastAsia="Arial" w:hAnsi="Arial"/>
          <w:sz w:val="15"/>
          <w:szCs w:val="15"/>
          <w:color w:val="auto"/>
        </w:rPr>
        <w:t>As disclosed in Note 12 – Borrowings, concurrent with the issuance of the OFC Senior Secured Notes on March 4, 2021, Ocwen issued to Oaktree warrants to purchase 1,184,768 shares of its common stock (which amount, upon exercise of the warrants, would be equal to 12% of Ocwen’s outstanding common stock as of the date of issuance of such warrants) at an exercise price of $26.82 per share, subject to antidilution adjustments. The warrants may be exercised at any time from the date of issuance through March 4, 2027. While the warrants will not be registered, we entered into a registration rights agreement with Oaktree pursuant to which we will register for resale the shares of common stock issuable upon exercise of the warrants within 18 months after March 4, 2021. On March 4, 2021, the $16.5 million allocated fair value of the warrants was reported as Additional Paid-in Capital in our consolidated balance sheet, net of allocated debt issuance costs of $0.8 million.</w:t>
      </w:r>
    </w:p>
    <w:p>
      <w:pPr>
        <w:spacing w:after="0" w:line="72" w:lineRule="exact"/>
        <w:rPr>
          <w:sz w:val="20"/>
          <w:szCs w:val="20"/>
          <w:color w:val="auto"/>
        </w:rPr>
      </w:pPr>
    </w:p>
    <w:p>
      <w:pPr>
        <w:ind w:firstLine="272"/>
        <w:spacing w:after="0" w:line="300" w:lineRule="auto"/>
        <w:rPr>
          <w:sz w:val="20"/>
          <w:szCs w:val="20"/>
          <w:color w:val="auto"/>
        </w:rPr>
      </w:pPr>
      <w:r>
        <w:rPr>
          <w:rFonts w:ascii="Arial" w:cs="Arial" w:eastAsia="Arial" w:hAnsi="Arial"/>
          <w:sz w:val="13"/>
          <w:szCs w:val="13"/>
          <w:color w:val="auto"/>
        </w:rPr>
        <w:t>On May 3, 2021, concurrent with the issuance of the second tranche of OFC Senior Secured Notes described above, and in connection with the closing of the Transaction Agreement dated December 21, 2020 and disclosed in Note 10 - Investment in Equity Method Investee, we issued to Oaktree 426,705 shares of our common stock, representing 4.9% of our outstanding common stock, at a price per share of $23.15 for an aggregate purchase price of $9.9 million, and warrants to purchase 261,248 shares of our common stock (which amount was equal to 3% of Ocwen’s outstanding common stock as of the date of issuance of such warrants) at a price per share of $24.31 in consideration of the transaction. The warrants may be exercised at any time from the date of issuance through May 3, 2025. The issuance of the shares of common stock, warrants, and the shares of common stock issuable upon exercise of the warrants will not be registered under the Securities Act. These securities were or will be (as applicable) issued in a private placement exempt from the registration requirements of the Securities Act. On May 3, 2021, the $12.6 million allocated fair value of the common stock and $4.3 million allocated fair value of the warrants was reported as Common Stock, for face value of common stock issued and Additional Paid-in Capital in our consolidated balance sheet, net of allocated debt issuance costs of $0.5 million.</w:t>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65" w:lineRule="exact"/>
        <w:rPr>
          <w:sz w:val="20"/>
          <w:szCs w:val="20"/>
          <w:color w:val="auto"/>
        </w:rPr>
      </w:pPr>
    </w:p>
    <w:p>
      <w:pPr>
        <w:ind w:firstLine="272"/>
        <w:spacing w:after="0" w:line="278" w:lineRule="auto"/>
        <w:rPr>
          <w:sz w:val="20"/>
          <w:szCs w:val="20"/>
          <w:color w:val="auto"/>
        </w:rPr>
      </w:pPr>
      <w:r>
        <w:rPr>
          <w:rFonts w:ascii="Arial" w:cs="Arial" w:eastAsia="Arial" w:hAnsi="Arial"/>
          <w:sz w:val="15"/>
          <w:szCs w:val="15"/>
          <w:color w:val="auto"/>
        </w:rPr>
        <w:t>The table below summarizes the fair value, notional and maturity of derivative instruments. The notional amount of our contracts does not represent our exposure to credit loss. None of the derivatives were designated as a hedge for accounting purposes as of or during the six months ended June 30, 2021 and 2020.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6"/>
              </w:rPr>
              <w:t>June 30, 2021</w:t>
            </w: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3"/>
              </w:rPr>
              <w:t>December 31, 2020</w:t>
            </w: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r>
      <w:tr>
        <w:trPr>
          <w:trHeight w:val="184"/>
        </w:trPr>
        <w:tc>
          <w:tcPr>
            <w:tcW w:w="32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Maturities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Notional</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Maturities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Notional</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Fair value</w:t>
            </w:r>
          </w:p>
        </w:tc>
      </w:tr>
      <w:tr>
        <w:trPr>
          <w:trHeight w:val="173"/>
        </w:trPr>
        <w:tc>
          <w:tcPr>
            <w:tcW w:w="3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Derivative Assets (Other assets)</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2"/>
        </w:trPr>
        <w:tc>
          <w:tcPr>
            <w:tcW w:w="3260" w:type="dxa"/>
            <w:vAlign w:val="bottom"/>
          </w:tcPr>
          <w:p>
            <w:pPr>
              <w:spacing w:after="0"/>
              <w:rPr>
                <w:sz w:val="20"/>
                <w:szCs w:val="20"/>
                <w:color w:val="auto"/>
              </w:rPr>
            </w:pPr>
            <w:r>
              <w:rPr>
                <w:rFonts w:ascii="Arial" w:cs="Arial" w:eastAsia="Arial" w:hAnsi="Arial"/>
                <w:sz w:val="15"/>
                <w:szCs w:val="15"/>
                <w:color w:val="auto"/>
              </w:rPr>
              <w:t>Forward sales of Reverse loans</w:t>
            </w:r>
          </w:p>
        </w:tc>
        <w:tc>
          <w:tcPr>
            <w:tcW w:w="1320" w:type="dxa"/>
            <w:vAlign w:val="bottom"/>
          </w:tcPr>
          <w:p>
            <w:pPr>
              <w:ind w:left="20"/>
              <w:spacing w:after="0"/>
              <w:rPr>
                <w:sz w:val="20"/>
                <w:szCs w:val="20"/>
                <w:color w:val="auto"/>
              </w:rPr>
            </w:pPr>
            <w:r>
              <w:rPr>
                <w:rFonts w:ascii="Arial" w:cs="Arial" w:eastAsia="Arial" w:hAnsi="Arial"/>
                <w:sz w:val="15"/>
                <w:szCs w:val="15"/>
                <w:color w:val="auto"/>
              </w:rPr>
              <w:t>Jul.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80,000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9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Forward loans IRLCs</w:t>
            </w: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Aug. - Oct. 2021</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995,020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 2021</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619,713</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22,224</w:t>
            </w:r>
          </w:p>
        </w:tc>
      </w:tr>
      <w:tr>
        <w:trPr>
          <w:trHeight w:val="192"/>
        </w:trPr>
        <w:tc>
          <w:tcPr>
            <w:tcW w:w="3260" w:type="dxa"/>
            <w:vAlign w:val="bottom"/>
          </w:tcPr>
          <w:p>
            <w:pPr>
              <w:spacing w:after="0"/>
              <w:rPr>
                <w:sz w:val="20"/>
                <w:szCs w:val="20"/>
                <w:color w:val="auto"/>
              </w:rPr>
            </w:pPr>
            <w:r>
              <w:rPr>
                <w:rFonts w:ascii="Arial" w:cs="Arial" w:eastAsia="Arial" w:hAnsi="Arial"/>
                <w:sz w:val="15"/>
                <w:szCs w:val="15"/>
                <w:color w:val="auto"/>
              </w:rPr>
              <w:t>Reverse loans IRLCs</w:t>
            </w:r>
          </w:p>
        </w:tc>
        <w:tc>
          <w:tcPr>
            <w:tcW w:w="1320" w:type="dxa"/>
            <w:vAlign w:val="bottom"/>
          </w:tcPr>
          <w:p>
            <w:pPr>
              <w:ind w:left="20"/>
              <w:spacing w:after="0"/>
              <w:rPr>
                <w:sz w:val="20"/>
                <w:szCs w:val="20"/>
                <w:color w:val="auto"/>
              </w:rPr>
            </w:pPr>
            <w:r>
              <w:rPr>
                <w:rFonts w:ascii="Arial" w:cs="Arial" w:eastAsia="Arial" w:hAnsi="Arial"/>
                <w:sz w:val="15"/>
                <w:szCs w:val="15"/>
                <w:color w:val="auto"/>
              </w:rPr>
              <w:t>Jul. 2021</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68,383</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11,692</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482</w:t>
            </w:r>
          </w:p>
        </w:tc>
      </w:tr>
      <w:tr>
        <w:trPr>
          <w:trHeight w:val="19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TBA forward Pipeline trades</w:t>
            </w: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 - Aug. 2021</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1,263,000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3260" w:type="dxa"/>
            <w:vAlign w:val="bottom"/>
          </w:tcPr>
          <w:p>
            <w:pPr>
              <w:spacing w:after="0"/>
              <w:rPr>
                <w:sz w:val="20"/>
                <w:szCs w:val="20"/>
                <w:color w:val="auto"/>
              </w:rPr>
            </w:pPr>
            <w:r>
              <w:rPr>
                <w:rFonts w:ascii="Arial" w:cs="Arial" w:eastAsia="Arial" w:hAnsi="Arial"/>
                <w:sz w:val="15"/>
                <w:szCs w:val="15"/>
                <w:color w:val="auto"/>
              </w:rPr>
              <w:t>TBA forward MBS trades</w:t>
            </w:r>
          </w:p>
        </w:tc>
        <w:tc>
          <w:tcPr>
            <w:tcW w:w="1320" w:type="dxa"/>
            <w:vAlign w:val="bottom"/>
          </w:tcPr>
          <w:p>
            <w:pPr>
              <w:ind w:left="20"/>
              <w:spacing w:after="0"/>
              <w:rPr>
                <w:sz w:val="20"/>
                <w:szCs w:val="20"/>
                <w:color w:val="auto"/>
              </w:rPr>
            </w:pPr>
            <w:r>
              <w:rPr>
                <w:rFonts w:ascii="Arial" w:cs="Arial" w:eastAsia="Arial" w:hAnsi="Arial"/>
                <w:sz w:val="15"/>
                <w:szCs w:val="15"/>
                <w:color w:val="auto"/>
              </w:rPr>
              <w:t>Aug. 2021</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660,000</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2,250</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N/A</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Interest rate swap futures</w:t>
            </w: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 2021</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450,000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 2021</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593,500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w:t>
            </w:r>
          </w:p>
        </w:tc>
      </w:tr>
      <w:tr>
        <w:trPr>
          <w:trHeight w:val="192"/>
        </w:trPr>
        <w:tc>
          <w:tcPr>
            <w:tcW w:w="32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N/A</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21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3,516,403</w:t>
            </w:r>
          </w:p>
        </w:tc>
        <w:tc>
          <w:tcPr>
            <w:tcW w:w="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24,585</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1,254,905</w:t>
            </w:r>
          </w:p>
        </w:tc>
        <w:tc>
          <w:tcPr>
            <w:tcW w:w="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23,246</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3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3"/>
        </w:trPr>
        <w:tc>
          <w:tcPr>
            <w:tcW w:w="3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Derivative Liabilities (Other liabilities)</w:t>
            </w: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2"/>
        </w:trPr>
        <w:tc>
          <w:tcPr>
            <w:tcW w:w="3260" w:type="dxa"/>
            <w:vAlign w:val="bottom"/>
          </w:tcPr>
          <w:p>
            <w:pPr>
              <w:spacing w:after="0"/>
              <w:rPr>
                <w:sz w:val="20"/>
                <w:szCs w:val="20"/>
                <w:color w:val="auto"/>
              </w:rPr>
            </w:pPr>
            <w:r>
              <w:rPr>
                <w:rFonts w:ascii="Arial" w:cs="Arial" w:eastAsia="Arial" w:hAnsi="Arial"/>
                <w:sz w:val="15"/>
                <w:szCs w:val="15"/>
                <w:color w:val="auto"/>
              </w:rPr>
              <w:t>Forward sales of Reverse loans</w:t>
            </w:r>
          </w:p>
        </w:tc>
        <w:tc>
          <w:tcPr>
            <w:tcW w:w="1320" w:type="dxa"/>
            <w:vAlign w:val="bottom"/>
          </w:tcPr>
          <w:p>
            <w:pPr>
              <w:ind w:left="20"/>
              <w:spacing w:after="0"/>
              <w:rPr>
                <w:sz w:val="20"/>
                <w:szCs w:val="20"/>
                <w:color w:val="auto"/>
              </w:rPr>
            </w:pPr>
            <w:r>
              <w:rPr>
                <w:rFonts w:ascii="Arial" w:cs="Arial" w:eastAsia="Arial" w:hAnsi="Arial"/>
                <w:sz w:val="15"/>
                <w:szCs w:val="15"/>
                <w:color w:val="auto"/>
              </w:rPr>
              <w:t>Aug.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20,000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20,000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19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TBA forward Pipeline trades</w:t>
            </w: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 - Aug. 2021</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1,260,000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3260" w:type="dxa"/>
            <w:vAlign w:val="bottom"/>
          </w:tcPr>
          <w:p>
            <w:pPr>
              <w:spacing w:after="0"/>
              <w:rPr>
                <w:sz w:val="20"/>
                <w:szCs w:val="20"/>
                <w:color w:val="auto"/>
              </w:rPr>
            </w:pPr>
            <w:r>
              <w:rPr>
                <w:rFonts w:ascii="Arial" w:cs="Arial" w:eastAsia="Arial" w:hAnsi="Arial"/>
                <w:sz w:val="15"/>
                <w:szCs w:val="15"/>
                <w:color w:val="auto"/>
              </w:rPr>
              <w:t>TBA forward MBS trades</w:t>
            </w:r>
          </w:p>
        </w:tc>
        <w:tc>
          <w:tcPr>
            <w:tcW w:w="1320" w:type="dxa"/>
            <w:vAlign w:val="bottom"/>
          </w:tcPr>
          <w:p>
            <w:pPr>
              <w:ind w:left="20"/>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Jan. 2021</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400,000</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(4,554)</w:t>
            </w:r>
          </w:p>
        </w:tc>
      </w:tr>
      <w:tr>
        <w:trPr>
          <w:trHeight w:val="194"/>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Interest rate swap futures</w:t>
            </w: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 2021</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32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N/A</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N/A</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1,880,000</w:t>
            </w:r>
          </w:p>
        </w:tc>
        <w:tc>
          <w:tcPr>
            <w:tcW w:w="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(4,039)</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420,000</w:t>
            </w:r>
          </w:p>
        </w:tc>
        <w:tc>
          <w:tcPr>
            <w:tcW w:w="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(4,638)</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table below summarizes the net gains and losses of our derivative instruments recognized in our consolidated statement of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3"/>
          </w:tcPr>
          <w:p>
            <w:pPr>
              <w:ind w:left="520"/>
              <w:spacing w:after="0"/>
              <w:rPr>
                <w:sz w:val="20"/>
                <w:szCs w:val="20"/>
                <w:color w:val="auto"/>
              </w:rPr>
            </w:pPr>
            <w:r>
              <w:rPr>
                <w:rFonts w:ascii="Arial" w:cs="Arial" w:eastAsia="Arial" w:hAnsi="Arial"/>
                <w:sz w:val="15"/>
                <w:szCs w:val="15"/>
                <w:b w:val="1"/>
                <w:bCs w:val="1"/>
                <w:color w:val="auto"/>
              </w:rPr>
              <w:t>Six Months Ended June 30, 2021</w:t>
            </w:r>
          </w:p>
        </w:tc>
        <w:tc>
          <w:tcPr>
            <w:tcW w:w="240" w:type="dxa"/>
            <w:vAlign w:val="bottom"/>
          </w:tcPr>
          <w:p>
            <w:pPr>
              <w:spacing w:after="0"/>
              <w:rPr>
                <w:sz w:val="16"/>
                <w:szCs w:val="16"/>
                <w:color w:val="auto"/>
              </w:rPr>
            </w:pPr>
          </w:p>
        </w:tc>
        <w:tc>
          <w:tcPr>
            <w:tcW w:w="3380" w:type="dxa"/>
            <w:vAlign w:val="bottom"/>
            <w:gridSpan w:val="2"/>
          </w:tcPr>
          <w:p>
            <w:pPr>
              <w:ind w:left="520"/>
              <w:spacing w:after="0"/>
              <w:rPr>
                <w:sz w:val="20"/>
                <w:szCs w:val="20"/>
                <w:color w:val="auto"/>
              </w:rPr>
            </w:pPr>
            <w:r>
              <w:rPr>
                <w:rFonts w:ascii="Arial" w:cs="Arial" w:eastAsia="Arial" w:hAnsi="Arial"/>
                <w:sz w:val="15"/>
                <w:szCs w:val="15"/>
                <w:b w:val="1"/>
                <w:bCs w:val="1"/>
                <w:color w:val="auto"/>
              </w:rPr>
              <w:t>Six Months Ended June 30, 2020</w:t>
            </w: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2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Gain / (Loss)</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2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Gain / (Loss)</w:t>
            </w:r>
          </w:p>
        </w:tc>
        <w:tc>
          <w:tcPr>
            <w:tcW w:w="0" w:type="dxa"/>
            <w:vAlign w:val="bottom"/>
          </w:tcPr>
          <w:p>
            <w:pPr>
              <w:spacing w:after="0"/>
              <w:rPr>
                <w:sz w:val="1"/>
                <w:szCs w:val="1"/>
                <w:color w:val="auto"/>
              </w:rPr>
            </w:pPr>
          </w:p>
        </w:tc>
      </w:tr>
      <w:tr>
        <w:trPr>
          <w:trHeight w:val="184"/>
        </w:trPr>
        <w:tc>
          <w:tcPr>
            <w:tcW w:w="3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Amount</w:t>
            </w:r>
          </w:p>
        </w:tc>
        <w:tc>
          <w:tcPr>
            <w:tcW w:w="23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Financial Statement Line</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Amount</w:t>
            </w:r>
          </w:p>
        </w:tc>
        <w:tc>
          <w:tcPr>
            <w:tcW w:w="23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Financial Statement Line</w:t>
            </w: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Derivative</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20"/>
                <w:szCs w:val="20"/>
                <w:color w:val="auto"/>
              </w:rPr>
            </w:pPr>
            <w:r>
              <w:rPr>
                <w:rFonts w:ascii="Arial" w:cs="Arial" w:eastAsia="Arial" w:hAnsi="Arial"/>
                <w:sz w:val="15"/>
                <w:szCs w:val="15"/>
                <w:color w:val="auto"/>
              </w:rPr>
              <w:t>Forward loans IRLCs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(5,074)</w:t>
            </w: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Gain on loans held for sale, net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12,088</w:t>
            </w:r>
          </w:p>
        </w:tc>
        <w:tc>
          <w:tcPr>
            <w:tcW w:w="2300" w:type="dxa"/>
            <w:vAlign w:val="bottom"/>
          </w:tcPr>
          <w:p>
            <w:pPr>
              <w:spacing w:after="0"/>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Reverse loans IRLCs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Reverse mortgage revenue, net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Reverse mortgage revenue, net</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20"/>
                <w:szCs w:val="20"/>
                <w:color w:val="auto"/>
              </w:rPr>
            </w:pPr>
            <w:r>
              <w:rPr>
                <w:rFonts w:ascii="Arial" w:cs="Arial" w:eastAsia="Arial" w:hAnsi="Arial"/>
                <w:sz w:val="15"/>
                <w:szCs w:val="15"/>
                <w:color w:val="auto"/>
              </w:rPr>
              <w:t>Forward LHFS trades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Gain on loans held for sale, net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300" w:type="dxa"/>
            <w:vAlign w:val="bottom"/>
          </w:tcPr>
          <w:p>
            <w:pPr>
              <w:spacing w:after="0"/>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49"/>
        </w:trPr>
        <w:tc>
          <w:tcPr>
            <w:tcW w:w="39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TBA forward pipeline trades</w:t>
            </w: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2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Gain on loans held for sale, net</w:t>
            </w:r>
          </w:p>
        </w:tc>
        <w:tc>
          <w:tcPr>
            <w:tcW w:w="2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92"/>
        </w:trPr>
        <w:tc>
          <w:tcPr>
            <w:tcW w:w="39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(Economic hedge)</w:t>
            </w:r>
          </w:p>
        </w:tc>
        <w:tc>
          <w:tcPr>
            <w:tcW w:w="2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(Economic hedge)</w:t>
            </w:r>
          </w:p>
        </w:tc>
        <w:tc>
          <w:tcPr>
            <w:tcW w:w="0" w:type="dxa"/>
            <w:vAlign w:val="bottom"/>
          </w:tcPr>
          <w:p>
            <w:pPr>
              <w:spacing w:after="0"/>
              <w:rPr>
                <w:sz w:val="1"/>
                <w:szCs w:val="1"/>
                <w:color w:val="auto"/>
              </w:rPr>
            </w:pPr>
          </w:p>
        </w:tc>
      </w:tr>
      <w:tr>
        <w:trPr>
          <w:trHeight w:val="148"/>
        </w:trPr>
        <w:tc>
          <w:tcPr>
            <w:tcW w:w="3940" w:type="dxa"/>
            <w:vAlign w:val="bottom"/>
            <w:vMerge w:val="restart"/>
          </w:tcPr>
          <w:p>
            <w:pPr>
              <w:spacing w:after="0"/>
              <w:rPr>
                <w:sz w:val="20"/>
                <w:szCs w:val="20"/>
                <w:color w:val="auto"/>
              </w:rPr>
            </w:pPr>
            <w:r>
              <w:rPr>
                <w:rFonts w:ascii="Arial" w:cs="Arial" w:eastAsia="Arial" w:hAnsi="Arial"/>
                <w:sz w:val="15"/>
                <w:szCs w:val="15"/>
                <w:color w:val="auto"/>
              </w:rPr>
              <w:t>Interest rate swap futures and TBA forward MBS trades</w:t>
            </w: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38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Gain on loans held for sale, net</w:t>
            </w: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(9,563)</w:t>
            </w:r>
          </w:p>
        </w:tc>
        <w:tc>
          <w:tcPr>
            <w:tcW w:w="2300" w:type="dxa"/>
            <w:vAlign w:val="bottom"/>
          </w:tcPr>
          <w:p>
            <w:pPr>
              <w:spacing w:after="0" w:line="149" w:lineRule="exact"/>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91"/>
        </w:trPr>
        <w:tc>
          <w:tcPr>
            <w:tcW w:w="3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(Economic hedge)</w:t>
            </w: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5"/>
                <w:szCs w:val="15"/>
                <w:color w:val="auto"/>
              </w:rPr>
              <w:t>(Economic hedge)</w:t>
            </w: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Interest rate swap futures and TBA forward MBS trades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9,297</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MSR valuation adjustments, net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42,811</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MSR valuation adjustments, net</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20"/>
                <w:szCs w:val="20"/>
                <w:color w:val="auto"/>
              </w:rPr>
            </w:pPr>
            <w:r>
              <w:rPr>
                <w:rFonts w:ascii="Arial" w:cs="Arial" w:eastAsia="Arial" w:hAnsi="Arial"/>
                <w:sz w:val="15"/>
                <w:szCs w:val="15"/>
                <w:color w:val="auto"/>
              </w:rPr>
              <w:t>Forward sales of Reverse loans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197</w:t>
            </w:r>
          </w:p>
        </w:tc>
        <w:tc>
          <w:tcPr>
            <w:tcW w:w="2380" w:type="dxa"/>
            <w:vAlign w:val="bottom"/>
            <w:gridSpan w:val="2"/>
          </w:tcPr>
          <w:p>
            <w:pPr>
              <w:ind w:left="20"/>
              <w:spacing w:after="0"/>
              <w:rPr>
                <w:sz w:val="20"/>
                <w:szCs w:val="20"/>
                <w:color w:val="auto"/>
              </w:rPr>
            </w:pPr>
            <w:r>
              <w:rPr>
                <w:rFonts w:ascii="Arial" w:cs="Arial" w:eastAsia="Arial" w:hAnsi="Arial"/>
                <w:sz w:val="15"/>
                <w:szCs w:val="15"/>
                <w:color w:val="auto"/>
              </w:rPr>
              <w:t>Reverse mortgage revenue, net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(168)</w:t>
            </w:r>
          </w:p>
        </w:tc>
        <w:tc>
          <w:tcPr>
            <w:tcW w:w="2300" w:type="dxa"/>
            <w:vAlign w:val="bottom"/>
          </w:tcPr>
          <w:p>
            <w:pPr>
              <w:spacing w:after="0"/>
              <w:rPr>
                <w:sz w:val="20"/>
                <w:szCs w:val="20"/>
                <w:color w:val="auto"/>
              </w:rPr>
            </w:pPr>
            <w:r>
              <w:rPr>
                <w:rFonts w:ascii="Arial" w:cs="Arial" w:eastAsia="Arial" w:hAnsi="Arial"/>
                <w:sz w:val="15"/>
                <w:szCs w:val="15"/>
                <w:color w:val="auto"/>
              </w:rPr>
              <w:t>Reverse mortgage revenue, net</w:t>
            </w:r>
          </w:p>
        </w:tc>
        <w:tc>
          <w:tcPr>
            <w:tcW w:w="0" w:type="dxa"/>
            <w:vAlign w:val="bottom"/>
          </w:tcPr>
          <w:p>
            <w:pPr>
              <w:spacing w:after="0"/>
              <w:rPr>
                <w:sz w:val="1"/>
                <w:szCs w:val="1"/>
                <w:color w:val="auto"/>
              </w:rPr>
            </w:pPr>
          </w:p>
        </w:tc>
      </w:tr>
      <w:tr>
        <w:trPr>
          <w:trHeight w:val="193"/>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Gain on loans held for sale, net</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(796)</w:t>
            </w: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Gain on loans held for sale, net</w:t>
            </w:r>
          </w:p>
        </w:tc>
        <w:tc>
          <w:tcPr>
            <w:tcW w:w="0" w:type="dxa"/>
            <w:vAlign w:val="bottom"/>
          </w:tcPr>
          <w:p>
            <w:pPr>
              <w:spacing w:after="0"/>
              <w:rPr>
                <w:sz w:val="1"/>
                <w:szCs w:val="1"/>
                <w:color w:val="auto"/>
              </w:rPr>
            </w:pPr>
          </w:p>
        </w:tc>
      </w:tr>
      <w:tr>
        <w:trPr>
          <w:trHeight w:val="185"/>
        </w:trPr>
        <w:tc>
          <w:tcPr>
            <w:tcW w:w="3940" w:type="dxa"/>
            <w:vAlign w:val="bottom"/>
          </w:tcPr>
          <w:p>
            <w:pPr>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4,030</w:t>
            </w: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45,263</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00" w:type="dxa"/>
            <w:vAlign w:val="bottom"/>
            <w:vMerge w:val="restart"/>
          </w:tcPr>
          <w:p>
            <w:pPr>
              <w:ind w:left="280"/>
              <w:spacing w:after="0"/>
              <w:rPr>
                <w:sz w:val="20"/>
                <w:szCs w:val="20"/>
                <w:color w:val="auto"/>
              </w:rPr>
            </w:pPr>
            <w:r>
              <w:rPr>
                <w:rFonts w:ascii="Arial" w:cs="Arial" w:eastAsia="Arial" w:hAnsi="Arial"/>
                <w:sz w:val="15"/>
                <w:szCs w:val="15"/>
                <w:color w:val="auto"/>
              </w:rPr>
              <w:t>40</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color w:val="auto"/>
        </w:rPr>
        <w:t>Interest Rate Risk</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MSR Hedging</w:t>
      </w:r>
    </w:p>
    <w:p>
      <w:pPr>
        <w:spacing w:after="0" w:line="100" w:lineRule="exact"/>
        <w:rPr>
          <w:sz w:val="20"/>
          <w:szCs w:val="20"/>
          <w:color w:val="auto"/>
        </w:rPr>
      </w:pPr>
    </w:p>
    <w:p>
      <w:pPr>
        <w:ind w:right="40" w:firstLine="272"/>
        <w:spacing w:after="0" w:line="278" w:lineRule="auto"/>
        <w:rPr>
          <w:sz w:val="20"/>
          <w:szCs w:val="20"/>
          <w:color w:val="auto"/>
        </w:rPr>
      </w:pPr>
      <w:r>
        <w:rPr>
          <w:rFonts w:ascii="Arial" w:cs="Arial" w:eastAsia="Arial" w:hAnsi="Arial"/>
          <w:sz w:val="15"/>
          <w:szCs w:val="15"/>
          <w:color w:val="auto"/>
        </w:rPr>
        <w:t>MSRs are carried at fair value with changes in fair value being recorded in earnings in the period in which the changes occur. The fair value of MSRs is subject to changes in market interest rates and prepayment speeds, among other factors.</w:t>
      </w:r>
    </w:p>
    <w:p>
      <w:pPr>
        <w:spacing w:after="0" w:line="54" w:lineRule="exact"/>
        <w:rPr>
          <w:sz w:val="20"/>
          <w:szCs w:val="20"/>
          <w:color w:val="auto"/>
        </w:rPr>
      </w:pPr>
    </w:p>
    <w:p>
      <w:pPr>
        <w:ind w:right="160" w:firstLine="272"/>
        <w:spacing w:after="0" w:line="261" w:lineRule="auto"/>
        <w:rPr>
          <w:sz w:val="20"/>
          <w:szCs w:val="20"/>
          <w:color w:val="auto"/>
        </w:rPr>
      </w:pPr>
      <w:r>
        <w:rPr>
          <w:rFonts w:ascii="Arial" w:cs="Arial" w:eastAsia="Arial" w:hAnsi="Arial"/>
          <w:sz w:val="15"/>
          <w:szCs w:val="15"/>
          <w:color w:val="auto"/>
        </w:rPr>
        <w:t>Through May 2021, management maintained a macro-hedging strategy to reduce the volatility of the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referred to as our net MSR portfolio exposure. We defined our net MSR portfolio exposure as follows:</w:t>
      </w:r>
    </w:p>
    <w:p>
      <w:pPr>
        <w:spacing w:after="0" w:line="67" w:lineRule="exact"/>
        <w:rPr>
          <w:sz w:val="20"/>
          <w:szCs w:val="20"/>
          <w:color w:val="auto"/>
        </w:rPr>
      </w:pPr>
    </w:p>
    <w:p>
      <w:pPr>
        <w:ind w:left="540" w:hanging="277"/>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more interest rate-sensitive Agency MSR portfolio,</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less the Agency MSRs subject to our agreements with NRZ (See Note 8 — Rights to MSRs),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less the unsecuritized reverse mortgage loans and tails classified as held for investment,</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borrowings, and</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less the net value of our held for sale loan portfolio and lock commitments (pipeline).</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the first and second quarters of 2021, we also included in our MSR portfolio the exposure related to expected future MSR bulk acquisitions subject to letters of intent.</w:t>
      </w:r>
    </w:p>
    <w:p>
      <w:pPr>
        <w:spacing w:after="0" w:line="103" w:lineRule="exact"/>
        <w:rPr>
          <w:sz w:val="20"/>
          <w:szCs w:val="20"/>
          <w:color w:val="auto"/>
        </w:rPr>
      </w:pPr>
    </w:p>
    <w:p>
      <w:pPr>
        <w:ind w:right="40" w:firstLine="272"/>
        <w:spacing w:after="0" w:line="235" w:lineRule="auto"/>
        <w:rPr>
          <w:sz w:val="20"/>
          <w:szCs w:val="20"/>
          <w:color w:val="auto"/>
        </w:rPr>
      </w:pPr>
      <w:r>
        <w:rPr>
          <w:rFonts w:ascii="Arial" w:cs="Arial" w:eastAsia="Arial" w:hAnsi="Arial"/>
          <w:sz w:val="15"/>
          <w:szCs w:val="15"/>
          <w:color w:val="auto"/>
        </w:rPr>
        <w:t>Effective May 2021, management started hedging its MSR portfolio and its pipeline separately (see below for further description of pipeline hedging</w:t>
      </w:r>
      <w:r>
        <w:rPr>
          <w:rFonts w:ascii="Arial" w:cs="Arial" w:eastAsia="Arial" w:hAnsi="Arial"/>
          <w:sz w:val="18"/>
          <w:szCs w:val="18"/>
          <w:color w:val="auto"/>
        </w:rPr>
        <w:t>)</w:t>
      </w:r>
      <w:r>
        <w:rPr>
          <w:rFonts w:ascii="Arial" w:cs="Arial" w:eastAsia="Arial" w:hAnsi="Arial"/>
          <w:sz w:val="15"/>
          <w:szCs w:val="15"/>
          <w:color w:val="auto"/>
        </w:rPr>
        <w:t>, effectively ending the macro-hedge strategy previously in place. Under the new MSR hedging strategy, the net MSR portfolio exposure is now defined as follows:</w:t>
      </w:r>
    </w:p>
    <w:p>
      <w:pPr>
        <w:ind w:left="540" w:hanging="277"/>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Agency MSR portfolio,</w:t>
      </w:r>
    </w:p>
    <w:p>
      <w:pPr>
        <w:spacing w:after="0" w:line="6" w:lineRule="exact"/>
        <w:rPr>
          <w:rFonts w:ascii="Arial" w:cs="Arial" w:eastAsia="Arial" w:hAnsi="Arial"/>
          <w:sz w:val="15"/>
          <w:szCs w:val="15"/>
          <w:color w:val="auto"/>
        </w:rPr>
      </w:pPr>
    </w:p>
    <w:p>
      <w:pPr>
        <w:ind w:left="540" w:hanging="277"/>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expected Agency MSR bulk transactions subject to letters of intent,</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less the Agency MSRs subject to our agreements with NRZ (See Note 8 — Rights to MSRs),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borrowings.</w:t>
      </w:r>
    </w:p>
    <w:p>
      <w:pPr>
        <w:spacing w:after="0" w:line="91" w:lineRule="exact"/>
        <w:rPr>
          <w:sz w:val="20"/>
          <w:szCs w:val="20"/>
          <w:color w:val="auto"/>
        </w:rPr>
      </w:pPr>
    </w:p>
    <w:p>
      <w:pPr>
        <w:ind w:right="60" w:firstLine="272"/>
        <w:spacing w:after="0" w:line="265" w:lineRule="auto"/>
        <w:rPr>
          <w:sz w:val="20"/>
          <w:szCs w:val="20"/>
          <w:color w:val="auto"/>
        </w:rPr>
      </w:pPr>
      <w:r>
        <w:rPr>
          <w:rFonts w:ascii="Arial" w:cs="Arial" w:eastAsia="Arial" w:hAnsi="Arial"/>
          <w:sz w:val="15"/>
          <w:szCs w:val="15"/>
          <w:color w:val="auto"/>
        </w:rPr>
        <w:t>We determine and monitor daily the hedge coverage based on the duration and interest rate sensitivity measures of our MSR portfolio exposure, considering market and liquidity conditions. Our MSR hedging strategy is intended to provide partial coverage of our MSR portfolio exposure. Accordingly, the changes in fair value of our hedging instruments may not fully offset the changes in fair value of our net MSR portfolio exposure attributable to interest rate changes.</w:t>
      </w:r>
    </w:p>
    <w:p>
      <w:pPr>
        <w:spacing w:after="0" w:line="64" w:lineRule="exact"/>
        <w:rPr>
          <w:sz w:val="20"/>
          <w:szCs w:val="20"/>
          <w:color w:val="auto"/>
        </w:rPr>
      </w:pPr>
    </w:p>
    <w:p>
      <w:pPr>
        <w:ind w:right="140" w:firstLine="272"/>
        <w:spacing w:after="0" w:line="324" w:lineRule="auto"/>
        <w:rPr>
          <w:sz w:val="20"/>
          <w:szCs w:val="20"/>
          <w:color w:val="auto"/>
        </w:rPr>
      </w:pPr>
      <w:r>
        <w:rPr>
          <w:rFonts w:ascii="Arial" w:cs="Arial" w:eastAsia="Arial" w:hAnsi="Arial"/>
          <w:sz w:val="13"/>
          <w:szCs w:val="13"/>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w:t>
      </w:r>
    </w:p>
    <w:p>
      <w:pPr>
        <w:spacing w:after="0" w:line="30" w:lineRule="exact"/>
        <w:rPr>
          <w:sz w:val="20"/>
          <w:szCs w:val="20"/>
          <w:color w:val="auto"/>
        </w:rPr>
      </w:pPr>
    </w:p>
    <w:p>
      <w:pPr>
        <w:ind w:right="100" w:firstLine="272"/>
        <w:spacing w:after="0" w:line="265" w:lineRule="auto"/>
        <w:rPr>
          <w:sz w:val="20"/>
          <w:szCs w:val="20"/>
          <w:color w:val="auto"/>
        </w:rPr>
      </w:pPr>
      <w:r>
        <w:rPr>
          <w:rFonts w:ascii="Arial" w:cs="Arial" w:eastAsia="Arial" w:hAnsi="Arial"/>
          <w:sz w:val="15"/>
          <w:szCs w:val="15"/>
          <w:color w:val="auto"/>
        </w:rPr>
        <w:t>The derivative instruments are subject to margin requirements, posted as either initial margin or variation margin. Ocwen may be required to post or may be entitled to receive cash collateral with its counterparties through margin calls,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Pipeline Hedging - Interest Rate Lock Commitments and Loans Held for Sale, at Fair Value</w:t>
      </w:r>
    </w:p>
    <w:p>
      <w:pPr>
        <w:spacing w:after="0" w:line="100" w:lineRule="exact"/>
        <w:rPr>
          <w:sz w:val="20"/>
          <w:szCs w:val="20"/>
          <w:color w:val="auto"/>
        </w:rPr>
      </w:pPr>
    </w:p>
    <w:p>
      <w:pPr>
        <w:ind w:firstLine="272"/>
        <w:spacing w:after="0" w:line="278" w:lineRule="auto"/>
        <w:rPr>
          <w:sz w:val="20"/>
          <w:szCs w:val="20"/>
          <w:color w:val="auto"/>
        </w:rPr>
      </w:pPr>
      <w:r>
        <w:rPr>
          <w:rFonts w:ascii="Arial" w:cs="Arial" w:eastAsia="Arial" w:hAnsi="Arial"/>
          <w:sz w:val="14"/>
          <w:szCs w:val="14"/>
          <w:color w:val="auto"/>
        </w:rPr>
        <w:t>In our Originations business, we are exposed to interest rate risk and related price risk during the period from the date of the interest rate lock commitment through (i) the commitment cancellation or expiration date or (ii) through the date of sale of the resulting loan into the secondary mortgage market. Loan commitments for forward loans generally range from 5 to 90 days, with the majority of our commitments to borrowers for 60 days and our commitments to correspondent sellers for 7 days. Loans held for sale are generally funded and sold within 5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held for sale and interest rate lock commitments is economically hedged with derivative instruments, including forward sales of Agency “to be announced” securities (TBAs). We report changes in fair value of these derivative instruments as gain or loss on economic hedge instruments within gain on loans held-for-sale in our consolidated statements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Advance Match Funded Liabilities</w:t>
      </w:r>
    </w:p>
    <w:p>
      <w:pPr>
        <w:spacing w:after="0" w:line="100" w:lineRule="exact"/>
        <w:rPr>
          <w:sz w:val="20"/>
          <w:szCs w:val="20"/>
          <w:color w:val="auto"/>
        </w:rPr>
      </w:pPr>
    </w:p>
    <w:p>
      <w:pPr>
        <w:ind w:right="320" w:firstLine="272"/>
        <w:spacing w:after="0" w:line="278" w:lineRule="auto"/>
        <w:rPr>
          <w:sz w:val="20"/>
          <w:szCs w:val="20"/>
          <w:color w:val="auto"/>
        </w:rPr>
      </w:pPr>
      <w:r>
        <w:rPr>
          <w:rFonts w:ascii="Arial" w:cs="Arial" w:eastAsia="Arial" w:hAnsi="Arial"/>
          <w:sz w:val="15"/>
          <w:szCs w:val="15"/>
          <w:color w:val="auto"/>
        </w:rPr>
        <w:t>We monitor the effect of increases in interest rates on the interest paid on our variable-rate advance financing debt. Earnings on cash and float balances are a partial offset to our exposure to changes in interest expense. We purchase interest rate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4" w:name="page45"/>
    <w:bookmarkEnd w:id="44"/>
    <w:p>
      <w:pPr>
        <w:spacing w:after="0"/>
        <w:rPr>
          <w:sz w:val="20"/>
          <w:szCs w:val="20"/>
          <w:color w:val="auto"/>
        </w:rPr>
      </w:pPr>
      <w:r>
        <w:rPr>
          <w:rFonts w:ascii="Arial" w:cs="Arial" w:eastAsia="Arial" w:hAnsi="Arial"/>
          <w:sz w:val="15"/>
          <w:szCs w:val="15"/>
          <w:color w:val="auto"/>
        </w:rPr>
        <w:t>caps as economic hedges (not designated as a hedge for accounting purposes) when required by our advance financing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Rate Risk</w:t>
      </w:r>
    </w:p>
    <w:p>
      <w:pPr>
        <w:spacing w:after="0" w:line="104" w:lineRule="exact"/>
        <w:rPr>
          <w:sz w:val="20"/>
          <w:szCs w:val="20"/>
          <w:color w:val="auto"/>
        </w:rPr>
      </w:pPr>
    </w:p>
    <w:p>
      <w:pPr>
        <w:ind w:right="120" w:firstLine="272"/>
        <w:spacing w:after="0" w:line="258" w:lineRule="auto"/>
        <w:rPr>
          <w:sz w:val="20"/>
          <w:szCs w:val="20"/>
          <w:color w:val="auto"/>
        </w:rPr>
      </w:pPr>
      <w:r>
        <w:rPr>
          <w:rFonts w:ascii="Arial" w:cs="Arial" w:eastAsia="Arial" w:hAnsi="Arial"/>
          <w:sz w:val="15"/>
          <w:szCs w:val="15"/>
          <w:color w:val="auto"/>
        </w:rPr>
        <w:t>Our operations in India and the Philippines expose us to foreign currency exchange rate risk to the extent that our foreign exchange positions remain unhedged. Depending on the magnitude and risk of our positions we may enter into any forward exchange contracts to hedge against the effect of changes in the value of the India Rupee or Philippine Peso. We currently do not hedge our foreign currency exposure with derivative instruments. Foreign currency remeasurement exchange gains (losses) were $(0.1) million and $0.1 million for the three and six months ended June 30, 2021, respectively, and $(0.1) million and $(0.9) million during the three and six months ended June 30, 2020, respectively, and are reported in Other, net in the consolidated statements of operations.</w:t>
      </w: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16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994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5"/>
                <w:szCs w:val="15"/>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207"/>
        </w:trPr>
        <w:tc>
          <w:tcPr>
            <w:tcW w:w="48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2020</w:t>
            </w:r>
          </w:p>
        </w:tc>
        <w:tc>
          <w:tcPr>
            <w:tcW w:w="540" w:type="dxa"/>
            <w:vAlign w:val="bottom"/>
            <w:tcBorders>
              <w:bottom w:val="single" w:sz="8" w:color="auto"/>
            </w:tcBorders>
          </w:tcPr>
          <w:p>
            <w:pPr>
              <w:spacing w:after="0"/>
              <w:rPr>
                <w:sz w:val="17"/>
                <w:szCs w:val="17"/>
                <w:color w:val="auto"/>
              </w:rPr>
            </w:pPr>
          </w:p>
        </w:tc>
      </w:tr>
      <w:tr>
        <w:trPr>
          <w:trHeight w:val="185"/>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Senior notes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26,450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13,319</w:t>
            </w: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Mortgage loan warehouse facilities</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6,404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3,138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11,688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6,599</w:t>
            </w:r>
          </w:p>
        </w:tc>
      </w:tr>
      <w:tr>
        <w:trPr>
          <w:trHeight w:val="194"/>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MSR financing facilities</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8,736</w:t>
            </w: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Advance match funded liabilities</w:t>
            </w: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4,265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7,311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8,761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12,976</w:t>
            </w:r>
          </w:p>
        </w:tc>
      </w:tr>
      <w:tr>
        <w:trPr>
          <w:trHeight w:val="194"/>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SSTL</w:t>
            </w:r>
          </w:p>
        </w:tc>
        <w:tc>
          <w:tcPr>
            <w:tcW w:w="10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4,796</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11,590</w:t>
            </w:r>
          </w:p>
        </w:tc>
      </w:tr>
      <w:tr>
        <w:trPr>
          <w:trHeight w:val="192"/>
        </w:trPr>
        <w:tc>
          <w:tcPr>
            <w:tcW w:w="48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2,786</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3,522</w:t>
            </w:r>
          </w:p>
        </w:tc>
      </w:tr>
      <w:tr>
        <w:trPr>
          <w:trHeight w:val="209"/>
        </w:trPr>
        <w:tc>
          <w:tcPr>
            <w:tcW w:w="48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33,516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26,760</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61,968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56,742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 17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72390</wp:posOffset>
            </wp:positionV>
            <wp:extent cx="71107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0730" cy="6985"/>
                    </a:xfrm>
                    <a:prstGeom prst="rect">
                      <a:avLst/>
                    </a:prstGeom>
                    <a:noFill/>
                  </pic:spPr>
                </pic:pic>
              </a:graphicData>
            </a:graphic>
          </wp:anchor>
        </w:drawing>
      </w:r>
    </w:p>
    <w:p>
      <w:pPr>
        <w:spacing w:after="0" w:line="265" w:lineRule="exact"/>
        <w:rPr>
          <w:sz w:val="20"/>
          <w:szCs w:val="20"/>
          <w:color w:val="auto"/>
        </w:rPr>
      </w:pPr>
    </w:p>
    <w:p>
      <w:pPr>
        <w:ind w:right="60" w:firstLine="272"/>
        <w:spacing w:after="0" w:line="261" w:lineRule="auto"/>
        <w:rPr>
          <w:sz w:val="20"/>
          <w:szCs w:val="20"/>
          <w:color w:val="auto"/>
        </w:rPr>
      </w:pPr>
      <w:r>
        <w:rPr>
          <w:rFonts w:ascii="Arial" w:cs="Arial" w:eastAsia="Arial" w:hAnsi="Arial"/>
          <w:sz w:val="15"/>
          <w:szCs w:val="15"/>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accelerated refunds of previously generated corporate Alternative Minimum Tax (AMT) credits, and adjusted the business interest expense limitation under section 163(j) from 30% to 50% of Adjusted Taxable Income (ATI) for 2019 and 2020 tax years.</w:t>
      </w:r>
    </w:p>
    <w:p>
      <w:pPr>
        <w:spacing w:after="0" w:line="67" w:lineRule="exact"/>
        <w:rPr>
          <w:sz w:val="20"/>
          <w:szCs w:val="20"/>
          <w:color w:val="auto"/>
        </w:rPr>
      </w:pPr>
    </w:p>
    <w:p>
      <w:pPr>
        <w:ind w:right="100" w:firstLine="272"/>
        <w:spacing w:after="0" w:line="265" w:lineRule="auto"/>
        <w:rPr>
          <w:sz w:val="20"/>
          <w:szCs w:val="20"/>
          <w:color w:val="auto"/>
        </w:rPr>
      </w:pPr>
      <w:r>
        <w:rPr>
          <w:rFonts w:ascii="Arial" w:cs="Arial" w:eastAsia="Arial" w:hAnsi="Arial"/>
          <w:sz w:val="15"/>
          <w:szCs w:val="15"/>
          <w:color w:val="auto"/>
        </w:rPr>
        <w:t>Based on information available at the time, we estimated that modifications to the tax rules for the carryback of NOLs and business interest expense limitations would result in U.S. and USVI federal net tax refunds of approximately $63.1 million and $1.9 million, respectively, and as such we recognized an income tax benefit of $65.0 million in our unaudited consolidated financial statements for the six months ended June 30, 2020.</w:t>
      </w:r>
    </w:p>
    <w:p>
      <w:pPr>
        <w:spacing w:after="0" w:line="64" w:lineRule="exact"/>
        <w:rPr>
          <w:sz w:val="20"/>
          <w:szCs w:val="20"/>
          <w:color w:val="auto"/>
        </w:rPr>
      </w:pPr>
    </w:p>
    <w:p>
      <w:pPr>
        <w:ind w:right="160" w:firstLine="272"/>
        <w:spacing w:after="0" w:line="265" w:lineRule="auto"/>
        <w:rPr>
          <w:sz w:val="20"/>
          <w:szCs w:val="20"/>
          <w:color w:val="auto"/>
        </w:rPr>
      </w:pPr>
      <w:r>
        <w:rPr>
          <w:rFonts w:ascii="Arial" w:cs="Arial" w:eastAsia="Arial" w:hAnsi="Arial"/>
          <w:sz w:val="15"/>
          <w:szCs w:val="15"/>
          <w:color w:val="auto"/>
        </w:rPr>
        <w:t>The income tax benefit recognized represents the release of valuation allowances against certain NOL and Section 163(j) deferred tax assets that were realized as a result of certain provisions of the CARES Act as well as permanent income tax benefit related to the carryback of NOLs created in a tax year that was subject to U.S. federal tax at 21% to a tax year subject to tax at 35%.</w:t>
      </w:r>
    </w:p>
    <w:p>
      <w:pPr>
        <w:spacing w:after="0" w:line="64" w:lineRule="exact"/>
        <w:rPr>
          <w:sz w:val="20"/>
          <w:szCs w:val="20"/>
          <w:color w:val="auto"/>
        </w:rPr>
      </w:pPr>
    </w:p>
    <w:p>
      <w:pPr>
        <w:jc w:val="both"/>
        <w:ind w:right="200" w:firstLine="272"/>
        <w:spacing w:after="0" w:line="292" w:lineRule="auto"/>
        <w:rPr>
          <w:sz w:val="20"/>
          <w:szCs w:val="20"/>
          <w:color w:val="auto"/>
        </w:rPr>
      </w:pPr>
      <w:r>
        <w:rPr>
          <w:rFonts w:ascii="Arial" w:cs="Arial" w:eastAsia="Arial" w:hAnsi="Arial"/>
          <w:sz w:val="14"/>
          <w:szCs w:val="14"/>
          <w:color w:val="auto"/>
        </w:rPr>
        <w:t>We recognized income tax benefit, exclusive of the impact of the CARES Act recognized in 2020, of $11.9 million and $7.9 million for the three months ended June 30, 2021 and 2020, respectively, and $8.8 million and $5.0 million for the six months ended June 30, 2021 and 2020, respectively, primarily due to the favorable resolution of various uncertain tax positions in both the second quarters of 2021 and 2020. Additional income tax benefit was recognized related to pre-tax losses incurred during these periods.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45" w:name="page46"/>
    <w:bookmarkEnd w:id="45"/>
    <w:p>
      <w:pPr>
        <w:ind w:left="9"/>
        <w:spacing w:after="0"/>
        <w:rPr>
          <w:sz w:val="20"/>
          <w:szCs w:val="20"/>
          <w:color w:val="auto"/>
        </w:rPr>
      </w:pPr>
      <w:r>
        <w:rPr>
          <w:rFonts w:ascii="Arial" w:cs="Arial" w:eastAsia="Arial" w:hAnsi="Arial"/>
          <w:sz w:val="15"/>
          <w:szCs w:val="15"/>
          <w:b w:val="1"/>
          <w:bCs w:val="1"/>
          <w:color w:val="auto"/>
        </w:rPr>
        <w:t>Note 18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399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175" w:lineRule="exact"/>
        <w:rPr>
          <w:sz w:val="20"/>
          <w:szCs w:val="20"/>
          <w:color w:val="auto"/>
        </w:rPr>
      </w:pPr>
    </w:p>
    <w:p>
      <w:pPr>
        <w:jc w:val="both"/>
        <w:ind w:left="9" w:right="180" w:firstLine="272"/>
        <w:spacing w:after="0" w:line="281" w:lineRule="auto"/>
        <w:rPr>
          <w:sz w:val="20"/>
          <w:szCs w:val="20"/>
          <w:color w:val="auto"/>
        </w:rPr>
      </w:pPr>
      <w:r>
        <w:rPr>
          <w:rFonts w:ascii="Arial" w:cs="Arial" w:eastAsia="Arial" w:hAnsi="Arial"/>
          <w:sz w:val="14"/>
          <w:szCs w:val="14"/>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the three and six months ended June 30, 2021, and the six months ended June 30, 2020, we have excluded the effect of all stock options, common stock awards and warrants from the computation of diluted loss per share because of the anti-dilutive effect of our reported net loss.</w:t>
      </w:r>
    </w:p>
    <w:p>
      <w:pPr>
        <w:spacing w:after="0" w:line="75"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Pr>
          <w:p>
            <w:pPr>
              <w:spacing w:after="0"/>
              <w:rPr>
                <w:sz w:val="16"/>
                <w:szCs w:val="16"/>
                <w:color w:val="auto"/>
              </w:rPr>
            </w:pPr>
          </w:p>
        </w:tc>
        <w:tc>
          <w:tcPr>
            <w:tcW w:w="282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 June 30,</w:t>
            </w:r>
          </w:p>
        </w:tc>
      </w:tr>
      <w:tr>
        <w:trPr>
          <w:trHeight w:val="207"/>
        </w:trPr>
        <w:tc>
          <w:tcPr>
            <w:tcW w:w="48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74"/>
        </w:trPr>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earnings (loss) per share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Net income (loss)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(10,322)</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1,954</w:t>
            </w:r>
          </w:p>
        </w:tc>
        <w:tc>
          <w:tcPr>
            <w:tcW w:w="12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(1,779)</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(23,535)</w:t>
            </w:r>
          </w:p>
        </w:tc>
      </w:tr>
      <w:tr>
        <w:trPr>
          <w:trHeight w:val="137"/>
        </w:trPr>
        <w:tc>
          <w:tcPr>
            <w:tcW w:w="4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Weighted average shares of common stock</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8,999,544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8,651,273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8,844,637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8,820,931</w:t>
            </w:r>
          </w:p>
        </w:tc>
      </w:tr>
      <w:tr>
        <w:trPr>
          <w:trHeight w:val="137"/>
        </w:trPr>
        <w:tc>
          <w:tcPr>
            <w:tcW w:w="4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Basic earnings (loss) per share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0.23</w:t>
            </w:r>
          </w:p>
        </w:tc>
        <w:tc>
          <w:tcPr>
            <w:tcW w:w="12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(0.20)</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(2.67)</w:t>
            </w:r>
          </w:p>
        </w:tc>
      </w:tr>
      <w:tr>
        <w:trPr>
          <w:trHeight w:val="137"/>
        </w:trPr>
        <w:tc>
          <w:tcPr>
            <w:tcW w:w="4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93"/>
        </w:trPr>
        <w:tc>
          <w:tcPr>
            <w:tcW w:w="4820" w:type="dxa"/>
            <w:vAlign w:val="bottom"/>
          </w:tcPr>
          <w:p>
            <w:pPr>
              <w:spacing w:after="0"/>
              <w:rPr>
                <w:sz w:val="20"/>
                <w:szCs w:val="20"/>
                <w:color w:val="auto"/>
              </w:rPr>
            </w:pPr>
            <w:r>
              <w:rPr>
                <w:rFonts w:ascii="Arial" w:cs="Arial" w:eastAsia="Arial" w:hAnsi="Arial"/>
                <w:sz w:val="15"/>
                <w:szCs w:val="15"/>
                <w:b w:val="1"/>
                <w:bCs w:val="1"/>
                <w:color w:val="auto"/>
              </w:rPr>
              <w:t>Diluted earnings (loss) per share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income (loss)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(23,535)</w:t>
            </w:r>
          </w:p>
        </w:tc>
      </w:tr>
      <w:tr>
        <w:trPr>
          <w:trHeight w:val="136"/>
        </w:trPr>
        <w:tc>
          <w:tcPr>
            <w:tcW w:w="4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Weighted average shares of common stock</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8,999,544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8,651,273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8,844,637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8,820,931</w:t>
            </w: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Effect of dilutive elements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3"/>
        </w:trPr>
        <w:tc>
          <w:tcPr>
            <w:tcW w:w="48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Common stock awards</w:t>
            </w: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4820" w:type="dxa"/>
            <w:vAlign w:val="bottom"/>
          </w:tcPr>
          <w:p>
            <w:pPr>
              <w:ind w:left="100"/>
              <w:spacing w:after="0"/>
              <w:rPr>
                <w:sz w:val="20"/>
                <w:szCs w:val="20"/>
                <w:color w:val="auto"/>
              </w:rPr>
            </w:pPr>
            <w:r>
              <w:rPr>
                <w:rFonts w:ascii="Arial" w:cs="Arial" w:eastAsia="Arial" w:hAnsi="Arial"/>
                <w:sz w:val="15"/>
                <w:szCs w:val="15"/>
                <w:color w:val="auto"/>
              </w:rPr>
              <w:t>Dilutive weighted average shares of common stock</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8,999,544</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8,661,490</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8,844,637</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8,820,931</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9"/>
        </w:trPr>
        <w:tc>
          <w:tcPr>
            <w:tcW w:w="48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5"/>
                <w:szCs w:val="15"/>
                <w:color w:val="auto"/>
              </w:rPr>
              <w:t>Diluted earnings (loss) per share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0.23</w:t>
            </w:r>
          </w:p>
        </w:tc>
        <w:tc>
          <w:tcPr>
            <w:tcW w:w="12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(0.20)</w:t>
            </w:r>
          </w:p>
        </w:tc>
        <w:tc>
          <w:tcPr>
            <w:tcW w:w="10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(2.67)</w:t>
            </w:r>
          </w:p>
        </w:tc>
      </w:tr>
      <w:tr>
        <w:trPr>
          <w:trHeight w:val="137"/>
        </w:trPr>
        <w:tc>
          <w:tcPr>
            <w:tcW w:w="4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47"/>
        </w:trPr>
        <w:tc>
          <w:tcPr>
            <w:tcW w:w="4820" w:type="dxa"/>
            <w:vAlign w:val="bottom"/>
          </w:tcPr>
          <w:p>
            <w:pPr>
              <w:spacing w:after="0" w:line="148" w:lineRule="exact"/>
              <w:rPr>
                <w:sz w:val="20"/>
                <w:szCs w:val="20"/>
                <w:color w:val="auto"/>
              </w:rPr>
            </w:pPr>
            <w:r>
              <w:rPr>
                <w:rFonts w:ascii="Arial" w:cs="Arial" w:eastAsia="Arial" w:hAnsi="Arial"/>
                <w:sz w:val="15"/>
                <w:szCs w:val="15"/>
                <w:b w:val="1"/>
                <w:bCs w:val="1"/>
                <w:color w:val="auto"/>
                <w:w w:val="91"/>
              </w:rPr>
              <w:t>Stock options and common stock awards excluded from the computation</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3"/>
        </w:trPr>
        <w:tc>
          <w:tcPr>
            <w:tcW w:w="4820" w:type="dxa"/>
            <w:vAlign w:val="bottom"/>
          </w:tcPr>
          <w:p>
            <w:pPr>
              <w:ind w:left="140"/>
              <w:spacing w:after="0"/>
              <w:rPr>
                <w:sz w:val="20"/>
                <w:szCs w:val="20"/>
                <w:color w:val="auto"/>
              </w:rPr>
            </w:pPr>
            <w:r>
              <w:rPr>
                <w:rFonts w:ascii="Arial" w:cs="Arial" w:eastAsia="Arial" w:hAnsi="Arial"/>
                <w:sz w:val="15"/>
                <w:szCs w:val="15"/>
                <w:b w:val="1"/>
                <w:bCs w:val="1"/>
                <w:color w:val="auto"/>
              </w:rPr>
              <w:t>of diluted earnings (loss) per share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3"/>
        </w:trPr>
        <w:tc>
          <w:tcPr>
            <w:tcW w:w="4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Anti-dilutive (1)</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119,262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211,729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149,744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245,410</w:t>
            </w:r>
          </w:p>
        </w:tc>
      </w:tr>
      <w:tr>
        <w:trPr>
          <w:trHeight w:val="191"/>
        </w:trPr>
        <w:tc>
          <w:tcPr>
            <w:tcW w:w="4820" w:type="dxa"/>
            <w:vAlign w:val="bottom"/>
          </w:tcPr>
          <w:p>
            <w:pPr>
              <w:ind w:left="100"/>
              <w:spacing w:after="0"/>
              <w:rPr>
                <w:sz w:val="20"/>
                <w:szCs w:val="20"/>
                <w:color w:val="auto"/>
              </w:rPr>
            </w:pPr>
            <w:r>
              <w:rPr>
                <w:rFonts w:ascii="Arial" w:cs="Arial" w:eastAsia="Arial" w:hAnsi="Arial"/>
                <w:sz w:val="15"/>
                <w:szCs w:val="15"/>
                <w:color w:val="auto"/>
              </w:rPr>
              <w:t>Market-based (2)</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41,528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125,397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41,528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125,397</w:t>
            </w:r>
          </w:p>
        </w:tc>
      </w:tr>
    </w:tbl>
    <w:p>
      <w:pPr>
        <w:spacing w:after="0" w:line="106" w:lineRule="exact"/>
        <w:rPr>
          <w:sz w:val="20"/>
          <w:szCs w:val="20"/>
          <w:color w:val="auto"/>
        </w:rPr>
      </w:pPr>
    </w:p>
    <w:p>
      <w:pPr>
        <w:ind w:left="269" w:right="180" w:hanging="269"/>
        <w:spacing w:after="0" w:line="245" w:lineRule="auto"/>
        <w:tabs>
          <w:tab w:leader="none" w:pos="269"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stock options that are anti-dilutive because their exercise price was greater than the average market price of Ocwen’s stock, and stock awards that are anti-dilutive based on the application of the treasury stock method.</w:t>
      </w:r>
    </w:p>
    <w:p>
      <w:pPr>
        <w:ind w:left="269" w:hanging="269"/>
        <w:spacing w:after="0"/>
        <w:tabs>
          <w:tab w:leader="none" w:pos="269" w:val="left"/>
        </w:tabs>
        <w:numPr>
          <w:ilvl w:val="0"/>
          <w:numId w:val="26"/>
        </w:numPr>
        <w:rPr>
          <w:rFonts w:ascii="Arial" w:cs="Arial" w:eastAsia="Arial" w:hAnsi="Arial"/>
          <w:sz w:val="14"/>
          <w:szCs w:val="14"/>
          <w:color w:val="auto"/>
        </w:rPr>
      </w:pPr>
      <w:r>
        <w:rPr>
          <w:rFonts w:ascii="Arial" w:cs="Arial" w:eastAsia="Arial" w:hAnsi="Arial"/>
          <w:sz w:val="14"/>
          <w:szCs w:val="14"/>
          <w:color w:val="auto"/>
        </w:rPr>
        <w:t>Shares that are issuable upon the achievement of certain market-based performance criteria related to Ocwen’s stock price.</w:t>
      </w:r>
    </w:p>
    <w:p>
      <w:pPr>
        <w:spacing w:after="0" w:line="75" w:lineRule="exact"/>
        <w:rPr>
          <w:sz w:val="20"/>
          <w:szCs w:val="20"/>
          <w:color w:val="auto"/>
        </w:rPr>
      </w:pPr>
    </w:p>
    <w:p>
      <w:pPr>
        <w:ind w:left="9" w:right="120" w:firstLine="272"/>
        <w:spacing w:after="0" w:line="265" w:lineRule="auto"/>
        <w:rPr>
          <w:sz w:val="20"/>
          <w:szCs w:val="20"/>
          <w:color w:val="auto"/>
        </w:rPr>
      </w:pPr>
      <w:r>
        <w:rPr>
          <w:rFonts w:ascii="Arial" w:cs="Arial" w:eastAsia="Arial" w:hAnsi="Arial"/>
          <w:sz w:val="15"/>
          <w:szCs w:val="15"/>
          <w:color w:val="auto"/>
        </w:rPr>
        <w:t>As disclosed in Note 14 – Equity, Ocwen implemented a reverse stock split in a ratio of one-for-15 effective on August 13, 2020. The above computations of earnings (loss) per share reflect the number of common stock shares after consideration for the reverse stock split. All common share and loss per share amounts have been adjusted retrospectively to give effect to the reverse stock split as if it occurred at the beginning of the first period presented.</w:t>
      </w:r>
    </w:p>
    <w:p>
      <w:pPr>
        <w:spacing w:after="0" w:line="32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 19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3994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20" w:lineRule="exact"/>
        <w:rPr>
          <w:sz w:val="20"/>
          <w:szCs w:val="20"/>
          <w:color w:val="auto"/>
        </w:rPr>
      </w:pPr>
    </w:p>
    <w:p>
      <w:pPr>
        <w:ind w:left="9" w:right="160" w:firstLine="272"/>
        <w:spacing w:after="0" w:line="265" w:lineRule="auto"/>
        <w:rPr>
          <w:sz w:val="20"/>
          <w:szCs w:val="20"/>
          <w:color w:val="auto"/>
        </w:rPr>
      </w:pPr>
      <w:r>
        <w:rPr>
          <w:rFonts w:ascii="Arial" w:cs="Arial" w:eastAsia="Arial" w:hAnsi="Arial"/>
          <w:sz w:val="15"/>
          <w:szCs w:val="15"/>
          <w:color w:val="auto"/>
        </w:rPr>
        <w:t>Our business segments reflect the internal reporting that we use to evaluate operating performance of services and to assess the allocation of our resources. Our reportable business segments consist of Servicing, Originations, and Corporate Items and Other. During the six months ended June 30, 2021, there have been no changes to our business segments as disclosed in our Annual Report on Form 10-K for the year ended December 31, 2020.</w:t>
      </w:r>
    </w:p>
    <w:p>
      <w:pPr>
        <w:spacing w:after="0" w:line="64" w:lineRule="exact"/>
        <w:rPr>
          <w:sz w:val="20"/>
          <w:szCs w:val="20"/>
          <w:color w:val="auto"/>
        </w:rPr>
      </w:pPr>
    </w:p>
    <w:p>
      <w:pPr>
        <w:ind w:left="9" w:firstLine="272"/>
        <w:spacing w:after="0" w:line="281" w:lineRule="auto"/>
        <w:rPr>
          <w:sz w:val="20"/>
          <w:szCs w:val="20"/>
          <w:color w:val="auto"/>
        </w:rPr>
      </w:pPr>
      <w:r>
        <w:rPr>
          <w:rFonts w:ascii="Arial" w:cs="Arial" w:eastAsia="Arial" w:hAnsi="Arial"/>
          <w:sz w:val="14"/>
          <w:szCs w:val="14"/>
          <w:color w:val="auto"/>
        </w:rPr>
        <w:t>Effective with the fourth quarter of 2020, we have reported the results of Reverse Servicing within the Servicing segment. Previously, the Reverse Servicing business was included in the reported results of the Originations segment. This alignment of our business segments is consistent with a change in the management of the business and a change in the internal management reporting to the chief operating decision maker. Segment results for 2020 have been recast to conform to the current segment presentation. Reverse Servicing generated Revenue and Income (loss) before income taxes of $(3.4) million and $(7.4) million, respectively, for the three months ended June 30, 2020, and $12.6 million and $4.7 million for the six months ended June 30, 2020. Reverse Servicing assets consist primarily of securitized Loans held for investment - Reverse Mortgages.</w:t>
      </w:r>
    </w:p>
    <w:p>
      <w:pPr>
        <w:spacing w:after="0" w:line="200" w:lineRule="exact"/>
        <w:rPr>
          <w:sz w:val="20"/>
          <w:szCs w:val="20"/>
          <w:color w:val="auto"/>
        </w:rPr>
      </w:pPr>
    </w:p>
    <w:p>
      <w:pPr>
        <w:spacing w:after="0" w:line="32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1169" w:right="319" w:bottom="1440" w:gutter="0" w:footer="0" w:header="0"/>
        </w:sectPr>
      </w:pPr>
    </w:p>
    <w:bookmarkStart w:id="46" w:name="page47"/>
    <w:bookmarkEnd w:id="46"/>
    <w:p>
      <w:pPr>
        <w:ind w:right="60" w:firstLine="272"/>
        <w:spacing w:after="0" w:line="279" w:lineRule="auto"/>
        <w:rPr>
          <w:sz w:val="20"/>
          <w:szCs w:val="20"/>
          <w:color w:val="auto"/>
        </w:rPr>
      </w:pPr>
      <w:r>
        <w:rPr>
          <w:rFonts w:ascii="Arial" w:cs="Arial" w:eastAsia="Arial" w:hAnsi="Arial"/>
          <w:sz w:val="14"/>
          <w:szCs w:val="14"/>
          <w:color w:val="auto"/>
        </w:rPr>
        <w:t>Revenues and expenses directly associated with each respective business segments are included in determining its results of operations. We allocate certain expenses incurred by corporate support services that are not directly attributable to a segment to each business segment. We allocate overhead costs incurred by corporate support services to the Servicing and Originations segments which incorporates the utilization of various measurements primarily based on time studies, personnel volumes and service consumption levels. Support services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 We allocate a portion of interest income to each business segment, including interest earned on cash balances.</w:t>
      </w:r>
    </w:p>
    <w:p>
      <w:pPr>
        <w:spacing w:after="0" w:line="57" w:lineRule="exact"/>
        <w:rPr>
          <w:sz w:val="20"/>
          <w:szCs w:val="20"/>
          <w:color w:val="auto"/>
        </w:rPr>
      </w:pPr>
    </w:p>
    <w:p>
      <w:pPr>
        <w:ind w:right="100" w:firstLine="272"/>
        <w:spacing w:after="0" w:line="281" w:lineRule="auto"/>
        <w:rPr>
          <w:sz w:val="20"/>
          <w:szCs w:val="20"/>
          <w:color w:val="auto"/>
        </w:rPr>
      </w:pPr>
      <w:r>
        <w:rPr>
          <w:rFonts w:ascii="Arial" w:cs="Arial" w:eastAsia="Arial" w:hAnsi="Arial"/>
          <w:sz w:val="14"/>
          <w:szCs w:val="14"/>
          <w:color w:val="auto"/>
        </w:rPr>
        <w:t>Interest expense on direct asset-backed financings are recorded in the respective Servicing and Originations segments. Beginning in the third quarter of 2020, we began allocating interest expense on corporate debt, including the SSTL and Senior Notes, used to fund servicing advances and other servicing assets from Corporate Items and Other to the Servicing segment (excluding Reverse Servicing). Amortization of debt issuance costs and discount are excluded from the interest expense allocation. The interest expense related to the corporate debt has been allocated to the Servicing segment for periods prior to the third quarter of 2020 to conform to the current period presentation. The interest expense allocation for the six months ended June 30, 2020 is $19.9 million, and $9.5 million for the three months ended June 30, 2020.</w:t>
      </w:r>
    </w:p>
    <w:p>
      <w:pPr>
        <w:spacing w:after="0" w:line="56" w:lineRule="exact"/>
        <w:rPr>
          <w:sz w:val="20"/>
          <w:szCs w:val="20"/>
          <w:color w:val="auto"/>
        </w:rPr>
      </w:pPr>
    </w:p>
    <w:p>
      <w:pPr>
        <w:ind w:right="80" w:firstLine="272"/>
        <w:spacing w:after="0" w:line="257" w:lineRule="auto"/>
        <w:rPr>
          <w:sz w:val="20"/>
          <w:szCs w:val="20"/>
          <w:color w:val="auto"/>
        </w:rPr>
      </w:pPr>
      <w:r>
        <w:rPr>
          <w:rFonts w:ascii="Arial" w:cs="Arial" w:eastAsia="Arial" w:hAnsi="Arial"/>
          <w:sz w:val="15"/>
          <w:szCs w:val="15"/>
          <w:color w:val="auto"/>
        </w:rPr>
        <w:t>As a result of our risk management strategy to hedge the interest rate risk of our net MSR portfolio, the fair value changes of third-party derivative instruments were reported within MSR valuation adjustments, net. For management segment reporting purposes, we established inter-segment derivative instruments to transfer the risks and allocate the associated fair value changes of derivatives between Servicing and Originations, and specifically between MSR valuation adjustments, net and Gain on loans held for sale, net (Gain/loss on economic hedge instruments). In the second quarter of 2021, we began separately hedging our MSR portfolio and pipeline. We may, from time to time, establish intersegment derivative instruments between our MSR and pipeline hedging strategies to optimize the use of third-party derivatives. The inter-segment derivative fair value changes are eliminated in the consolidated financial statements in the Corporate Elimination column in the table below.</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Financial information for our segments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5"/>
                <w:szCs w:val="15"/>
                <w:b w:val="1"/>
                <w:bCs w:val="1"/>
                <w:color w:val="auto"/>
                <w:w w:val="91"/>
              </w:rPr>
              <w:t>Three Months Ended June 30, 2021</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200" w:type="dxa"/>
            <w:vAlign w:val="bottom"/>
            <w:vMerge w:val="restart"/>
          </w:tcPr>
          <w:p>
            <w:pPr>
              <w:spacing w:after="0"/>
              <w:rPr>
                <w:sz w:val="20"/>
                <w:szCs w:val="20"/>
                <w:color w:val="auto"/>
              </w:rPr>
            </w:pPr>
            <w:r>
              <w:rPr>
                <w:rFonts w:ascii="Arial" w:cs="Arial" w:eastAsia="Arial" w:hAnsi="Arial"/>
                <w:sz w:val="15"/>
                <w:szCs w:val="15"/>
                <w:b w:val="1"/>
                <w:bCs w:val="1"/>
                <w:color w:val="auto"/>
              </w:rPr>
              <w:t>Results of Operations</w:t>
            </w:r>
          </w:p>
        </w:tc>
        <w:tc>
          <w:tcPr>
            <w:tcW w:w="280" w:type="dxa"/>
            <w:vAlign w:val="bottom"/>
          </w:tcPr>
          <w:p>
            <w:pPr>
              <w:spacing w:after="0"/>
              <w:rPr>
                <w:sz w:val="12"/>
                <w:szCs w:val="12"/>
                <w:color w:val="auto"/>
              </w:rPr>
            </w:pPr>
          </w:p>
        </w:tc>
        <w:tc>
          <w:tcPr>
            <w:tcW w:w="1240" w:type="dxa"/>
            <w:vAlign w:val="bottom"/>
            <w:vMerge w:val="restart"/>
          </w:tcPr>
          <w:p>
            <w:pPr>
              <w:jc w:val="right"/>
              <w:ind w:right="384"/>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auto"/>
              </w:rPr>
              <w:t>Originations</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200"/>
              <w:spacing w:after="0" w:line="140" w:lineRule="exact"/>
              <w:rPr>
                <w:sz w:val="20"/>
                <w:szCs w:val="20"/>
                <w:color w:val="auto"/>
              </w:rPr>
            </w:pPr>
            <w:r>
              <w:rPr>
                <w:rFonts w:ascii="Arial" w:cs="Arial" w:eastAsia="Arial" w:hAnsi="Arial"/>
                <w:sz w:val="15"/>
                <w:szCs w:val="15"/>
                <w:b w:val="1"/>
                <w:bCs w:val="1"/>
                <w:color w:val="auto"/>
                <w:w w:val="93"/>
              </w:rPr>
              <w:t>Corporate Items and</w:t>
            </w:r>
          </w:p>
        </w:tc>
        <w:tc>
          <w:tcPr>
            <w:tcW w:w="160" w:type="dxa"/>
            <w:vAlign w:val="bottom"/>
          </w:tcPr>
          <w:p>
            <w:pPr>
              <w:spacing w:after="0"/>
              <w:rPr>
                <w:sz w:val="12"/>
                <w:szCs w:val="12"/>
                <w:color w:val="auto"/>
              </w:rPr>
            </w:pPr>
          </w:p>
        </w:tc>
        <w:tc>
          <w:tcPr>
            <w:tcW w:w="1460" w:type="dxa"/>
            <w:vAlign w:val="bottom"/>
            <w:gridSpan w:val="2"/>
          </w:tcPr>
          <w:p>
            <w:pPr>
              <w:ind w:left="260"/>
              <w:spacing w:after="0" w:line="140" w:lineRule="exact"/>
              <w:rPr>
                <w:sz w:val="20"/>
                <w:szCs w:val="20"/>
                <w:color w:val="auto"/>
              </w:rPr>
            </w:pPr>
            <w:r>
              <w:rPr>
                <w:rFonts w:ascii="Arial" w:cs="Arial" w:eastAsia="Arial" w:hAnsi="Arial"/>
                <w:sz w:val="15"/>
                <w:szCs w:val="15"/>
                <w:b w:val="1"/>
                <w:bCs w:val="1"/>
                <w:color w:val="auto"/>
              </w:rPr>
              <w:t>Corporate</w:t>
            </w:r>
          </w:p>
        </w:tc>
        <w:tc>
          <w:tcPr>
            <w:tcW w:w="140" w:type="dxa"/>
            <w:vAlign w:val="bottom"/>
          </w:tcPr>
          <w:p>
            <w:pPr>
              <w:spacing w:after="0"/>
              <w:rPr>
                <w:sz w:val="12"/>
                <w:szCs w:val="12"/>
                <w:color w:val="auto"/>
              </w:rPr>
            </w:pPr>
          </w:p>
        </w:tc>
        <w:tc>
          <w:tcPr>
            <w:tcW w:w="1400" w:type="dxa"/>
            <w:vAlign w:val="bottom"/>
          </w:tcPr>
          <w:p>
            <w:pPr>
              <w:jc w:val="right"/>
              <w:ind w:right="84"/>
              <w:spacing w:after="0" w:line="140" w:lineRule="exact"/>
              <w:rPr>
                <w:sz w:val="20"/>
                <w:szCs w:val="20"/>
                <w:color w:val="auto"/>
              </w:rPr>
            </w:pPr>
            <w:r>
              <w:rPr>
                <w:rFonts w:ascii="Arial" w:cs="Arial" w:eastAsia="Arial" w:hAnsi="Arial"/>
                <w:sz w:val="15"/>
                <w:szCs w:val="15"/>
                <w:b w:val="1"/>
                <w:bCs w:val="1"/>
                <w:color w:val="auto"/>
                <w:w w:val="85"/>
              </w:rPr>
              <w:t>Business Segments</w:t>
            </w:r>
          </w:p>
        </w:tc>
        <w:tc>
          <w:tcPr>
            <w:tcW w:w="0" w:type="dxa"/>
            <w:vAlign w:val="bottom"/>
          </w:tcPr>
          <w:p>
            <w:pPr>
              <w:spacing w:after="0"/>
              <w:rPr>
                <w:sz w:val="1"/>
                <w:szCs w:val="1"/>
                <w:color w:val="auto"/>
              </w:rPr>
            </w:pPr>
          </w:p>
        </w:tc>
      </w:tr>
      <w:tr>
        <w:trPr>
          <w:trHeight w:val="193"/>
        </w:trPr>
        <w:tc>
          <w:tcPr>
            <w:tcW w:w="32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8"/>
              </w:rPr>
              <w:t>Eliminations (1)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and subservicing fees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182,141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184,441</w:t>
            </w:r>
          </w:p>
        </w:tc>
        <w:tc>
          <w:tcPr>
            <w:tcW w:w="0" w:type="dxa"/>
            <w:vAlign w:val="bottom"/>
          </w:tcPr>
          <w:p>
            <w:pPr>
              <w:spacing w:after="0"/>
              <w:rPr>
                <w:sz w:val="1"/>
                <w:szCs w:val="1"/>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5"/>
                <w:szCs w:val="15"/>
                <w:color w:val="auto"/>
              </w:rPr>
              <w:t>Reverse mortgage revenue,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10,487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18,814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29,301</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loans held for sale, net (1)</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42,713</w:t>
            </w:r>
          </w:p>
        </w:tc>
        <w:tc>
          <w:tcPr>
            <w:tcW w:w="0" w:type="dxa"/>
            <w:vAlign w:val="bottom"/>
          </w:tcPr>
          <w:p>
            <w:pPr>
              <w:spacing w:after="0"/>
              <w:rPr>
                <w:sz w:val="1"/>
                <w:szCs w:val="1"/>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5"/>
                <w:szCs w:val="15"/>
                <w:color w:val="auto"/>
              </w:rPr>
              <w:t>Other revenue,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6,986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8,990</w:t>
            </w:r>
          </w:p>
        </w:tc>
        <w:tc>
          <w:tcPr>
            <w:tcW w:w="0" w:type="dxa"/>
            <w:vAlign w:val="bottom"/>
          </w:tcPr>
          <w:p>
            <w:pPr>
              <w:spacing w:after="0"/>
              <w:rPr>
                <w:sz w:val="1"/>
                <w:szCs w:val="1"/>
                <w:color w:val="auto"/>
              </w:rPr>
            </w:pPr>
          </w:p>
        </w:tc>
      </w:tr>
      <w:tr>
        <w:trPr>
          <w:trHeight w:val="184"/>
        </w:trPr>
        <w:tc>
          <w:tcPr>
            <w:tcW w:w="3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Revenue</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197,255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55,373</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11,310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265,445</w:t>
            </w:r>
          </w:p>
        </w:tc>
        <w:tc>
          <w:tcPr>
            <w:tcW w:w="0" w:type="dxa"/>
            <w:vAlign w:val="bottom"/>
          </w:tcPr>
          <w:p>
            <w:pPr>
              <w:spacing w:after="0"/>
              <w:rPr>
                <w:sz w:val="1"/>
                <w:szCs w:val="1"/>
                <w:color w:val="auto"/>
              </w:rPr>
            </w:pPr>
          </w:p>
        </w:tc>
      </w:tr>
      <w:tr>
        <w:trPr>
          <w:trHeight w:val="71"/>
        </w:trPr>
        <w:tc>
          <w:tcPr>
            <w:tcW w:w="3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MSR valuation adjustments, net (1)</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(72,450)</w:t>
            </w:r>
          </w:p>
        </w:tc>
        <w:tc>
          <w:tcPr>
            <w:tcW w:w="0" w:type="dxa"/>
            <w:vAlign w:val="bottom"/>
          </w:tcPr>
          <w:p>
            <w:pPr>
              <w:spacing w:after="0"/>
              <w:rPr>
                <w:sz w:val="1"/>
                <w:szCs w:val="1"/>
                <w:color w:val="auto"/>
              </w:rPr>
            </w:pPr>
          </w:p>
        </w:tc>
      </w:tr>
      <w:tr>
        <w:trPr>
          <w:trHeight w:val="91"/>
        </w:trPr>
        <w:tc>
          <w:tcPr>
            <w:tcW w:w="3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Operating expenses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39,687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149,808</w:t>
            </w:r>
          </w:p>
        </w:tc>
        <w:tc>
          <w:tcPr>
            <w:tcW w:w="0" w:type="dxa"/>
            <w:vAlign w:val="bottom"/>
          </w:tcPr>
          <w:p>
            <w:pPr>
              <w:spacing w:after="0"/>
              <w:rPr>
                <w:sz w:val="1"/>
                <w:szCs w:val="1"/>
                <w:color w:val="auto"/>
              </w:rPr>
            </w:pPr>
          </w:p>
        </w:tc>
      </w:tr>
      <w:tr>
        <w:trPr>
          <w:trHeight w:val="91"/>
        </w:trPr>
        <w:tc>
          <w:tcPr>
            <w:tcW w:w="3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(expense) income: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180"/>
              <w:spacing w:after="0"/>
              <w:rPr>
                <w:sz w:val="20"/>
                <w:szCs w:val="20"/>
                <w:color w:val="auto"/>
              </w:rPr>
            </w:pPr>
            <w:r>
              <w:rPr>
                <w:rFonts w:ascii="Arial" w:cs="Arial" w:eastAsia="Arial" w:hAnsi="Arial"/>
                <w:sz w:val="15"/>
                <w:szCs w:val="15"/>
                <w:color w:val="auto"/>
              </w:rPr>
              <w:t>Interest income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2,862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4,188</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(33,516)</w:t>
            </w:r>
          </w:p>
        </w:tc>
        <w:tc>
          <w:tcPr>
            <w:tcW w:w="0" w:type="dxa"/>
            <w:vAlign w:val="bottom"/>
          </w:tcPr>
          <w:p>
            <w:pPr>
              <w:spacing w:after="0"/>
              <w:rPr>
                <w:sz w:val="1"/>
                <w:szCs w:val="1"/>
                <w:color w:val="auto"/>
              </w:rPr>
            </w:pPr>
          </w:p>
        </w:tc>
      </w:tr>
      <w:tr>
        <w:trPr>
          <w:trHeight w:val="192"/>
        </w:trPr>
        <w:tc>
          <w:tcPr>
            <w:tcW w:w="3200" w:type="dxa"/>
            <w:vAlign w:val="bottom"/>
          </w:tcPr>
          <w:p>
            <w:pPr>
              <w:ind w:left="180"/>
              <w:spacing w:after="0"/>
              <w:rPr>
                <w:sz w:val="20"/>
                <w:szCs w:val="20"/>
                <w:color w:val="auto"/>
              </w:rPr>
            </w:pPr>
            <w:r>
              <w:rPr>
                <w:rFonts w:ascii="Arial" w:cs="Arial" w:eastAsia="Arial" w:hAnsi="Arial"/>
                <w:sz w:val="15"/>
                <w:szCs w:val="15"/>
                <w:color w:val="auto"/>
              </w:rPr>
              <w:t>Pledged MSR liability expense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(39,845)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(39,810)</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Earnings of equity method investee</w:t>
            </w: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3,364</w:t>
            </w: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expense, net</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(65,424)</w:t>
            </w:r>
          </w:p>
        </w:tc>
        <w:tc>
          <w:tcPr>
            <w:tcW w:w="0" w:type="dxa"/>
            <w:vAlign w:val="bottom"/>
          </w:tcPr>
          <w:p>
            <w:pPr>
              <w:spacing w:after="0"/>
              <w:rPr>
                <w:sz w:val="1"/>
                <w:szCs w:val="1"/>
                <w:color w:val="auto"/>
              </w:rPr>
            </w:pPr>
          </w:p>
        </w:tc>
      </w:tr>
      <w:tr>
        <w:trPr>
          <w:trHeight w:val="71"/>
        </w:trPr>
        <w:tc>
          <w:tcPr>
            <w:tcW w:w="3200" w:type="dxa"/>
            <w:vAlign w:val="bottom"/>
            <w:tcBorders>
              <w:bottom w:val="single" w:sz="8" w:color="CCEEFF"/>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124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32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144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3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140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Income (loss) before income taxes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(22,237)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584"/>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8"/>
          </w:tcPr>
          <w:p>
            <w:pPr>
              <w:ind w:left="1080"/>
              <w:spacing w:after="0"/>
              <w:rPr>
                <w:sz w:val="20"/>
                <w:szCs w:val="20"/>
                <w:color w:val="auto"/>
              </w:rPr>
            </w:pPr>
            <w:r>
              <w:rPr>
                <w:rFonts w:ascii="Arial" w:cs="Arial" w:eastAsia="Arial" w:hAnsi="Arial"/>
                <w:sz w:val="15"/>
                <w:szCs w:val="15"/>
                <w:b w:val="1"/>
                <w:bCs w:val="1"/>
                <w:color w:val="auto"/>
              </w:rPr>
              <w:t>Three Months Ended June 30, 2020</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180" w:type="dxa"/>
            <w:vAlign w:val="bottom"/>
            <w:vMerge w:val="restart"/>
          </w:tcPr>
          <w:p>
            <w:pPr>
              <w:spacing w:after="0"/>
              <w:rPr>
                <w:sz w:val="20"/>
                <w:szCs w:val="20"/>
                <w:color w:val="auto"/>
              </w:rPr>
            </w:pPr>
            <w:r>
              <w:rPr>
                <w:rFonts w:ascii="Arial" w:cs="Arial" w:eastAsia="Arial" w:hAnsi="Arial"/>
                <w:sz w:val="15"/>
                <w:szCs w:val="15"/>
                <w:b w:val="1"/>
                <w:bCs w:val="1"/>
                <w:color w:val="auto"/>
              </w:rPr>
              <w:t>Results of Operations</w:t>
            </w:r>
          </w:p>
        </w:tc>
        <w:tc>
          <w:tcPr>
            <w:tcW w:w="260" w:type="dxa"/>
            <w:vAlign w:val="bottom"/>
          </w:tcPr>
          <w:p>
            <w:pPr>
              <w:spacing w:after="0"/>
              <w:rPr>
                <w:sz w:val="12"/>
                <w:szCs w:val="12"/>
                <w:color w:val="auto"/>
              </w:rPr>
            </w:pPr>
          </w:p>
        </w:tc>
        <w:tc>
          <w:tcPr>
            <w:tcW w:w="1240" w:type="dxa"/>
            <w:vAlign w:val="bottom"/>
            <w:vMerge w:val="restart"/>
          </w:tcPr>
          <w:p>
            <w:pPr>
              <w:jc w:val="right"/>
              <w:ind w:right="364"/>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Originations</w:t>
            </w:r>
          </w:p>
        </w:tc>
        <w:tc>
          <w:tcPr>
            <w:tcW w:w="220" w:type="dxa"/>
            <w:vAlign w:val="bottom"/>
          </w:tcPr>
          <w:p>
            <w:pPr>
              <w:spacing w:after="0"/>
              <w:rPr>
                <w:sz w:val="12"/>
                <w:szCs w:val="12"/>
                <w:color w:val="auto"/>
              </w:rPr>
            </w:pPr>
          </w:p>
        </w:tc>
        <w:tc>
          <w:tcPr>
            <w:tcW w:w="1620" w:type="dxa"/>
            <w:vAlign w:val="bottom"/>
            <w:gridSpan w:val="3"/>
          </w:tcPr>
          <w:p>
            <w:pPr>
              <w:jc w:val="center"/>
              <w:ind w:right="100"/>
              <w:spacing w:after="0" w:line="140" w:lineRule="exact"/>
              <w:rPr>
                <w:sz w:val="20"/>
                <w:szCs w:val="20"/>
                <w:color w:val="auto"/>
              </w:rPr>
            </w:pPr>
            <w:r>
              <w:rPr>
                <w:rFonts w:ascii="Arial" w:cs="Arial" w:eastAsia="Arial" w:hAnsi="Arial"/>
                <w:sz w:val="15"/>
                <w:szCs w:val="15"/>
                <w:b w:val="1"/>
                <w:bCs w:val="1"/>
                <w:color w:val="auto"/>
                <w:w w:val="93"/>
              </w:rPr>
              <w:t>Corporate Items and</w:t>
            </w: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0" w:lineRule="exact"/>
              <w:rPr>
                <w:sz w:val="20"/>
                <w:szCs w:val="20"/>
                <w:color w:val="auto"/>
              </w:rPr>
            </w:pPr>
            <w:r>
              <w:rPr>
                <w:rFonts w:ascii="Arial" w:cs="Arial" w:eastAsia="Arial" w:hAnsi="Arial"/>
                <w:sz w:val="15"/>
                <w:szCs w:val="15"/>
                <w:b w:val="1"/>
                <w:bCs w:val="1"/>
                <w:color w:val="auto"/>
                <w:w w:val="94"/>
              </w:rPr>
              <w:t>Corporate</w:t>
            </w:r>
          </w:p>
        </w:tc>
        <w:tc>
          <w:tcPr>
            <w:tcW w:w="120" w:type="dxa"/>
            <w:vAlign w:val="bottom"/>
          </w:tcPr>
          <w:p>
            <w:pPr>
              <w:spacing w:after="0"/>
              <w:rPr>
                <w:sz w:val="12"/>
                <w:szCs w:val="12"/>
                <w:color w:val="auto"/>
              </w:rPr>
            </w:pPr>
          </w:p>
        </w:tc>
        <w:tc>
          <w:tcPr>
            <w:tcW w:w="1400" w:type="dxa"/>
            <w:vAlign w:val="bottom"/>
          </w:tcPr>
          <w:p>
            <w:pPr>
              <w:jc w:val="center"/>
              <w:ind w:right="44"/>
              <w:spacing w:after="0" w:line="140" w:lineRule="exact"/>
              <w:rPr>
                <w:sz w:val="20"/>
                <w:szCs w:val="20"/>
                <w:color w:val="auto"/>
              </w:rPr>
            </w:pPr>
            <w:r>
              <w:rPr>
                <w:rFonts w:ascii="Arial" w:cs="Arial" w:eastAsia="Arial" w:hAnsi="Arial"/>
                <w:sz w:val="15"/>
                <w:szCs w:val="15"/>
                <w:b w:val="1"/>
                <w:bCs w:val="1"/>
                <w:color w:val="auto"/>
                <w:w w:val="84"/>
              </w:rPr>
              <w:t>Business Segments</w:t>
            </w:r>
          </w:p>
        </w:tc>
        <w:tc>
          <w:tcPr>
            <w:tcW w:w="0" w:type="dxa"/>
            <w:vAlign w:val="bottom"/>
          </w:tcPr>
          <w:p>
            <w:pPr>
              <w:spacing w:after="0"/>
              <w:rPr>
                <w:sz w:val="1"/>
                <w:szCs w:val="1"/>
                <w:color w:val="auto"/>
              </w:rPr>
            </w:pPr>
          </w:p>
        </w:tc>
      </w:tr>
      <w:tr>
        <w:trPr>
          <w:trHeight w:val="193"/>
        </w:trPr>
        <w:tc>
          <w:tcPr>
            <w:tcW w:w="31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44"/>
              <w:spacing w:after="0"/>
              <w:rPr>
                <w:sz w:val="20"/>
                <w:szCs w:val="20"/>
                <w:color w:val="auto"/>
              </w:rPr>
            </w:pPr>
            <w:r>
              <w:rPr>
                <w:rFonts w:ascii="Arial" w:cs="Arial" w:eastAsia="Arial" w:hAnsi="Arial"/>
                <w:sz w:val="15"/>
                <w:szCs w:val="15"/>
                <w:b w:val="1"/>
                <w:bCs w:val="1"/>
                <w:color w:val="auto"/>
                <w:w w:val="99"/>
              </w:rPr>
              <w:t>Other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and subservicing fees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175,188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175,240</w:t>
            </w:r>
          </w:p>
        </w:tc>
        <w:tc>
          <w:tcPr>
            <w:tcW w:w="0" w:type="dxa"/>
            <w:vAlign w:val="bottom"/>
          </w:tcPr>
          <w:p>
            <w:pPr>
              <w:spacing w:after="0"/>
              <w:rPr>
                <w:sz w:val="1"/>
                <w:szCs w:val="1"/>
                <w:color w:val="auto"/>
              </w:rPr>
            </w:pPr>
          </w:p>
        </w:tc>
      </w:tr>
      <w:tr>
        <w:trPr>
          <w:trHeight w:val="192"/>
        </w:trPr>
        <w:tc>
          <w:tcPr>
            <w:tcW w:w="3180" w:type="dxa"/>
            <w:vAlign w:val="bottom"/>
          </w:tcPr>
          <w:p>
            <w:pPr>
              <w:ind w:left="100"/>
              <w:spacing w:after="0"/>
              <w:rPr>
                <w:sz w:val="20"/>
                <w:szCs w:val="20"/>
                <w:color w:val="auto"/>
              </w:rPr>
            </w:pPr>
            <w:r>
              <w:rPr>
                <w:rFonts w:ascii="Arial" w:cs="Arial" w:eastAsia="Arial" w:hAnsi="Arial"/>
                <w:sz w:val="15"/>
                <w:szCs w:val="15"/>
                <w:color w:val="auto"/>
              </w:rPr>
              <w:t>Reverse mortgage revenue,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(2,721)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16,480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13,759</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loans held for sale,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29,766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33,547</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revenue, net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2,663</w:t>
            </w:r>
          </w:p>
        </w:tc>
        <w:tc>
          <w:tcPr>
            <w:tcW w:w="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4,478</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Revenue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48,916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227,024</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MSR valuation adjustments, net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13,640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(23,434)</w:t>
            </w: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Operating expenses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25,075</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144,809</w:t>
            </w: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(expense) income: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80" w:type="dxa"/>
            <w:vAlign w:val="bottom"/>
          </w:tcPr>
          <w:p>
            <w:pPr>
              <w:ind w:left="18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1,157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3,566</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(26,760)</w:t>
            </w:r>
          </w:p>
        </w:tc>
        <w:tc>
          <w:tcPr>
            <w:tcW w:w="0" w:type="dxa"/>
            <w:vAlign w:val="bottom"/>
          </w:tcPr>
          <w:p>
            <w:pPr>
              <w:spacing w:after="0"/>
              <w:rPr>
                <w:sz w:val="1"/>
                <w:szCs w:val="1"/>
                <w:color w:val="auto"/>
              </w:rPr>
            </w:pPr>
          </w:p>
        </w:tc>
      </w:tr>
      <w:tr>
        <w:trPr>
          <w:trHeight w:val="192"/>
        </w:trPr>
        <w:tc>
          <w:tcPr>
            <w:tcW w:w="3180" w:type="dxa"/>
            <w:vAlign w:val="bottom"/>
          </w:tcPr>
          <w:p>
            <w:pPr>
              <w:ind w:left="180"/>
              <w:spacing w:after="0"/>
              <w:rPr>
                <w:sz w:val="20"/>
                <w:szCs w:val="20"/>
                <w:color w:val="auto"/>
              </w:rPr>
            </w:pPr>
            <w:r>
              <w:rPr>
                <w:rFonts w:ascii="Arial" w:cs="Arial" w:eastAsia="Arial" w:hAnsi="Arial"/>
                <w:sz w:val="15"/>
                <w:szCs w:val="15"/>
                <w:color w:val="auto"/>
              </w:rPr>
              <w:t>Pledged MSR liability expense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(41,714)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(41,686)</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84"/>
        </w:trPr>
        <w:tc>
          <w:tcPr>
            <w:tcW w:w="3180" w:type="dxa"/>
            <w:vAlign w:val="bottom"/>
          </w:tcPr>
          <w:p>
            <w:pPr>
              <w:ind w:left="280"/>
              <w:spacing w:after="0"/>
              <w:rPr>
                <w:sz w:val="20"/>
                <w:szCs w:val="20"/>
                <w:color w:val="auto"/>
              </w:rPr>
            </w:pPr>
            <w:r>
              <w:rPr>
                <w:rFonts w:ascii="Arial" w:cs="Arial" w:eastAsia="Arial" w:hAnsi="Arial"/>
                <w:sz w:val="15"/>
                <w:szCs w:val="15"/>
                <w:color w:val="auto"/>
              </w:rPr>
              <w:t>Other expense, net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(60,090)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(602)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(64,937)</w:t>
            </w:r>
          </w:p>
        </w:tc>
        <w:tc>
          <w:tcPr>
            <w:tcW w:w="0" w:type="dxa"/>
            <w:vAlign w:val="bottom"/>
          </w:tcPr>
          <w:p>
            <w:pPr>
              <w:spacing w:after="0"/>
              <w:rPr>
                <w:sz w:val="1"/>
                <w:szCs w:val="1"/>
                <w:color w:val="auto"/>
              </w:rPr>
            </w:pPr>
          </w:p>
        </w:tc>
      </w:tr>
      <w:tr>
        <w:trPr>
          <w:trHeight w:val="125"/>
        </w:trPr>
        <w:tc>
          <w:tcPr>
            <w:tcW w:w="3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180" w:type="dxa"/>
            <w:vAlign w:val="bottom"/>
          </w:tcPr>
          <w:p>
            <w:pPr>
              <w:ind w:left="240"/>
              <w:spacing w:after="0"/>
              <w:rPr>
                <w:sz w:val="20"/>
                <w:szCs w:val="20"/>
                <w:color w:val="auto"/>
              </w:rPr>
            </w:pPr>
            <w:r>
              <w:rPr>
                <w:rFonts w:ascii="Arial" w:cs="Arial" w:eastAsia="Arial" w:hAnsi="Arial"/>
                <w:sz w:val="15"/>
                <w:szCs w:val="15"/>
                <w:color w:val="auto"/>
              </w:rPr>
              <w:t>Income (loss) before income taxes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(6,514)</w:t>
            </w:r>
          </w:p>
        </w:tc>
        <w:tc>
          <w:tcPr>
            <w:tcW w:w="10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36,879</w:t>
            </w:r>
          </w:p>
        </w:tc>
        <w:tc>
          <w:tcPr>
            <w:tcW w:w="22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(36,521)</w:t>
            </w:r>
          </w:p>
        </w:tc>
        <w:tc>
          <w:tcPr>
            <w:tcW w:w="1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(6,156)</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Six Months Ended June 30, 2021</w:t>
            </w: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80" w:type="dxa"/>
            <w:vAlign w:val="bottom"/>
            <w:vMerge w:val="restart"/>
          </w:tcPr>
          <w:p>
            <w:pPr>
              <w:spacing w:after="0"/>
              <w:rPr>
                <w:sz w:val="20"/>
                <w:szCs w:val="20"/>
                <w:color w:val="auto"/>
              </w:rPr>
            </w:pPr>
            <w:r>
              <w:rPr>
                <w:rFonts w:ascii="Arial" w:cs="Arial" w:eastAsia="Arial" w:hAnsi="Arial"/>
                <w:sz w:val="15"/>
                <w:szCs w:val="15"/>
                <w:b w:val="1"/>
                <w:bCs w:val="1"/>
                <w:color w:val="auto"/>
              </w:rPr>
              <w:t>Results of Operations</w:t>
            </w:r>
          </w:p>
        </w:tc>
        <w:tc>
          <w:tcPr>
            <w:tcW w:w="260" w:type="dxa"/>
            <w:vAlign w:val="bottom"/>
          </w:tcPr>
          <w:p>
            <w:pPr>
              <w:spacing w:after="0"/>
              <w:rPr>
                <w:sz w:val="12"/>
                <w:szCs w:val="12"/>
                <w:color w:val="auto"/>
              </w:rPr>
            </w:pPr>
          </w:p>
        </w:tc>
        <w:tc>
          <w:tcPr>
            <w:tcW w:w="1240" w:type="dxa"/>
            <w:vAlign w:val="bottom"/>
            <w:vMerge w:val="restart"/>
          </w:tcPr>
          <w:p>
            <w:pPr>
              <w:jc w:val="right"/>
              <w:ind w:right="364"/>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Originations</w:t>
            </w:r>
          </w:p>
        </w:tc>
        <w:tc>
          <w:tcPr>
            <w:tcW w:w="220" w:type="dxa"/>
            <w:vAlign w:val="bottom"/>
          </w:tcPr>
          <w:p>
            <w:pPr>
              <w:spacing w:after="0"/>
              <w:rPr>
                <w:sz w:val="12"/>
                <w:szCs w:val="12"/>
                <w:color w:val="auto"/>
              </w:rPr>
            </w:pPr>
          </w:p>
        </w:tc>
        <w:tc>
          <w:tcPr>
            <w:tcW w:w="1620" w:type="dxa"/>
            <w:vAlign w:val="bottom"/>
            <w:gridSpan w:val="3"/>
          </w:tcPr>
          <w:p>
            <w:pPr>
              <w:jc w:val="center"/>
              <w:ind w:right="100"/>
              <w:spacing w:after="0" w:line="139" w:lineRule="exact"/>
              <w:rPr>
                <w:sz w:val="20"/>
                <w:szCs w:val="20"/>
                <w:color w:val="auto"/>
              </w:rPr>
            </w:pPr>
            <w:r>
              <w:rPr>
                <w:rFonts w:ascii="Arial" w:cs="Arial" w:eastAsia="Arial" w:hAnsi="Arial"/>
                <w:sz w:val="15"/>
                <w:szCs w:val="15"/>
                <w:b w:val="1"/>
                <w:bCs w:val="1"/>
                <w:color w:val="auto"/>
                <w:w w:val="93"/>
              </w:rPr>
              <w:t>Corporate Items and</w:t>
            </w: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39" w:lineRule="exact"/>
              <w:rPr>
                <w:sz w:val="20"/>
                <w:szCs w:val="20"/>
                <w:color w:val="auto"/>
              </w:rPr>
            </w:pPr>
            <w:r>
              <w:rPr>
                <w:rFonts w:ascii="Arial" w:cs="Arial" w:eastAsia="Arial" w:hAnsi="Arial"/>
                <w:sz w:val="15"/>
                <w:szCs w:val="15"/>
                <w:b w:val="1"/>
                <w:bCs w:val="1"/>
                <w:color w:val="auto"/>
                <w:w w:val="94"/>
              </w:rPr>
              <w:t>Corporate</w:t>
            </w:r>
          </w:p>
        </w:tc>
        <w:tc>
          <w:tcPr>
            <w:tcW w:w="120" w:type="dxa"/>
            <w:vAlign w:val="bottom"/>
          </w:tcPr>
          <w:p>
            <w:pPr>
              <w:spacing w:after="0"/>
              <w:rPr>
                <w:sz w:val="12"/>
                <w:szCs w:val="12"/>
                <w:color w:val="auto"/>
              </w:rPr>
            </w:pPr>
          </w:p>
        </w:tc>
        <w:tc>
          <w:tcPr>
            <w:tcW w:w="1400" w:type="dxa"/>
            <w:vAlign w:val="bottom"/>
          </w:tcPr>
          <w:p>
            <w:pPr>
              <w:jc w:val="center"/>
              <w:ind w:right="44"/>
              <w:spacing w:after="0" w:line="139" w:lineRule="exact"/>
              <w:rPr>
                <w:sz w:val="20"/>
                <w:szCs w:val="20"/>
                <w:color w:val="auto"/>
              </w:rPr>
            </w:pPr>
            <w:r>
              <w:rPr>
                <w:rFonts w:ascii="Arial" w:cs="Arial" w:eastAsia="Arial" w:hAnsi="Arial"/>
                <w:sz w:val="15"/>
                <w:szCs w:val="15"/>
                <w:b w:val="1"/>
                <w:bCs w:val="1"/>
                <w:color w:val="auto"/>
                <w:w w:val="84"/>
              </w:rPr>
              <w:t>Business Segments</w:t>
            </w:r>
          </w:p>
        </w:tc>
        <w:tc>
          <w:tcPr>
            <w:tcW w:w="0" w:type="dxa"/>
            <w:vAlign w:val="bottom"/>
          </w:tcPr>
          <w:p>
            <w:pPr>
              <w:spacing w:after="0"/>
              <w:rPr>
                <w:sz w:val="1"/>
                <w:szCs w:val="1"/>
                <w:color w:val="auto"/>
              </w:rPr>
            </w:pPr>
          </w:p>
        </w:tc>
      </w:tr>
      <w:tr>
        <w:trPr>
          <w:trHeight w:val="193"/>
        </w:trPr>
        <w:tc>
          <w:tcPr>
            <w:tcW w:w="31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44"/>
              <w:spacing w:after="0"/>
              <w:rPr>
                <w:sz w:val="20"/>
                <w:szCs w:val="20"/>
                <w:color w:val="auto"/>
              </w:rPr>
            </w:pPr>
            <w:r>
              <w:rPr>
                <w:rFonts w:ascii="Arial" w:cs="Arial" w:eastAsia="Arial" w:hAnsi="Arial"/>
                <w:sz w:val="15"/>
                <w:szCs w:val="15"/>
                <w:b w:val="1"/>
                <w:bCs w:val="1"/>
                <w:color w:val="auto"/>
                <w:w w:val="99"/>
              </w:rPr>
              <w:t>Other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Eliminations (1)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and subservicing fees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351,496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4,683</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356,179</w:t>
            </w:r>
          </w:p>
        </w:tc>
        <w:tc>
          <w:tcPr>
            <w:tcW w:w="0" w:type="dxa"/>
            <w:vAlign w:val="bottom"/>
          </w:tcPr>
          <w:p>
            <w:pPr>
              <w:spacing w:after="0"/>
              <w:rPr>
                <w:sz w:val="1"/>
                <w:szCs w:val="1"/>
                <w:color w:val="auto"/>
              </w:rPr>
            </w:pPr>
          </w:p>
        </w:tc>
      </w:tr>
      <w:tr>
        <w:trPr>
          <w:trHeight w:val="192"/>
        </w:trPr>
        <w:tc>
          <w:tcPr>
            <w:tcW w:w="3180" w:type="dxa"/>
            <w:vAlign w:val="bottom"/>
          </w:tcPr>
          <w:p>
            <w:pPr>
              <w:ind w:left="100"/>
              <w:spacing w:after="0"/>
              <w:rPr>
                <w:sz w:val="20"/>
                <w:szCs w:val="20"/>
                <w:color w:val="auto"/>
              </w:rPr>
            </w:pPr>
            <w:r>
              <w:rPr>
                <w:rFonts w:ascii="Arial" w:cs="Arial" w:eastAsia="Arial" w:hAnsi="Arial"/>
                <w:sz w:val="15"/>
                <w:szCs w:val="15"/>
                <w:color w:val="auto"/>
              </w:rPr>
              <w:t>Reverse mortgage revenue,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12,521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38,606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51,127</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loans held for sale, net (1)</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64,866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48,434</w:t>
            </w:r>
          </w:p>
        </w:tc>
        <w:tc>
          <w:tcPr>
            <w:tcW w:w="0" w:type="dxa"/>
            <w:vAlign w:val="bottom"/>
          </w:tcPr>
          <w:p>
            <w:pPr>
              <w:spacing w:after="0"/>
              <w:rPr>
                <w:sz w:val="1"/>
                <w:szCs w:val="1"/>
                <w:color w:val="auto"/>
              </w:rPr>
            </w:pPr>
          </w:p>
        </w:tc>
      </w:tr>
      <w:tr>
        <w:trPr>
          <w:trHeight w:val="192"/>
        </w:trPr>
        <w:tc>
          <w:tcPr>
            <w:tcW w:w="3180" w:type="dxa"/>
            <w:vAlign w:val="bottom"/>
          </w:tcPr>
          <w:p>
            <w:pPr>
              <w:ind w:left="100"/>
              <w:spacing w:after="0"/>
              <w:rPr>
                <w:sz w:val="20"/>
                <w:szCs w:val="20"/>
                <w:color w:val="auto"/>
              </w:rPr>
            </w:pPr>
            <w:r>
              <w:rPr>
                <w:rFonts w:ascii="Arial" w:cs="Arial" w:eastAsia="Arial" w:hAnsi="Arial"/>
                <w:sz w:val="15"/>
                <w:szCs w:val="15"/>
                <w:color w:val="auto"/>
              </w:rPr>
              <w:t>Other revenue,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13,503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17,299</w:t>
            </w:r>
          </w:p>
        </w:tc>
        <w:tc>
          <w:tcPr>
            <w:tcW w:w="0" w:type="dxa"/>
            <w:vAlign w:val="bottom"/>
          </w:tcPr>
          <w:p>
            <w:pPr>
              <w:spacing w:after="0"/>
              <w:rPr>
                <w:sz w:val="1"/>
                <w:szCs w:val="1"/>
                <w:color w:val="auto"/>
              </w:rPr>
            </w:pPr>
          </w:p>
        </w:tc>
      </w:tr>
      <w:tr>
        <w:trPr>
          <w:trHeight w:val="184"/>
        </w:trPr>
        <w:tc>
          <w:tcPr>
            <w:tcW w:w="31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Revenue</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372,667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121,658</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(24,083)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473,039</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MSR valuation adjustments, net (1)</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17,313</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(51,242)</w:t>
            </w: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Operating expenses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166,379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77,016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289,437</w:t>
            </w: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(expense) income: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80" w:type="dxa"/>
            <w:vAlign w:val="bottom"/>
          </w:tcPr>
          <w:p>
            <w:pPr>
              <w:ind w:left="18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5,428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8,124</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(8,252)</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(61,968)</w:t>
            </w:r>
          </w:p>
        </w:tc>
        <w:tc>
          <w:tcPr>
            <w:tcW w:w="0" w:type="dxa"/>
            <w:vAlign w:val="bottom"/>
          </w:tcPr>
          <w:p>
            <w:pPr>
              <w:spacing w:after="0"/>
              <w:rPr>
                <w:sz w:val="1"/>
                <w:szCs w:val="1"/>
                <w:color w:val="auto"/>
              </w:rPr>
            </w:pPr>
          </w:p>
        </w:tc>
      </w:tr>
      <w:tr>
        <w:trPr>
          <w:trHeight w:val="192"/>
        </w:trPr>
        <w:tc>
          <w:tcPr>
            <w:tcW w:w="3180" w:type="dxa"/>
            <w:vAlign w:val="bottom"/>
          </w:tcPr>
          <w:p>
            <w:pPr>
              <w:ind w:left="180"/>
              <w:spacing w:after="0"/>
              <w:rPr>
                <w:sz w:val="20"/>
                <w:szCs w:val="20"/>
                <w:color w:val="auto"/>
              </w:rPr>
            </w:pPr>
            <w:r>
              <w:rPr>
                <w:rFonts w:ascii="Arial" w:cs="Arial" w:eastAsia="Arial" w:hAnsi="Arial"/>
                <w:sz w:val="15"/>
                <w:szCs w:val="15"/>
                <w:color w:val="auto"/>
              </w:rPr>
              <w:t>Loss on extinguishment of debt</w:t>
            </w:r>
          </w:p>
        </w:tc>
        <w:tc>
          <w:tcPr>
            <w:tcW w:w="2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(15,458)</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Pledged MSR liability expense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(77,660)</w:t>
            </w:r>
          </w:p>
        </w:tc>
        <w:tc>
          <w:tcPr>
            <w:tcW w:w="0" w:type="dxa"/>
            <w:vAlign w:val="bottom"/>
          </w:tcPr>
          <w:p>
            <w:pPr>
              <w:spacing w:after="0"/>
              <w:rPr>
                <w:sz w:val="1"/>
                <w:szCs w:val="1"/>
                <w:color w:val="auto"/>
              </w:rPr>
            </w:pPr>
          </w:p>
        </w:tc>
      </w:tr>
      <w:tr>
        <w:trPr>
          <w:trHeight w:val="192"/>
        </w:trPr>
        <w:tc>
          <w:tcPr>
            <w:tcW w:w="3180" w:type="dxa"/>
            <w:vAlign w:val="bottom"/>
          </w:tcPr>
          <w:p>
            <w:pPr>
              <w:ind w:left="180"/>
              <w:spacing w:after="0"/>
              <w:rPr>
                <w:sz w:val="20"/>
                <w:szCs w:val="20"/>
                <w:color w:val="auto"/>
              </w:rPr>
            </w:pPr>
            <w:r>
              <w:rPr>
                <w:rFonts w:ascii="Arial" w:cs="Arial" w:eastAsia="Arial" w:hAnsi="Arial"/>
                <w:sz w:val="15"/>
                <w:szCs w:val="15"/>
                <w:color w:val="auto"/>
              </w:rPr>
              <w:t>Earnings of equity method investee</w:t>
            </w:r>
          </w:p>
        </w:tc>
        <w:tc>
          <w:tcPr>
            <w:tcW w:w="2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3,654</w:t>
            </w:r>
          </w:p>
        </w:tc>
        <w:tc>
          <w:tcPr>
            <w:tcW w:w="0" w:type="dxa"/>
            <w:vAlign w:val="bottom"/>
          </w:tcPr>
          <w:p>
            <w:pPr>
              <w:spacing w:after="0"/>
              <w:rPr>
                <w:sz w:val="1"/>
                <w:szCs w:val="1"/>
                <w:color w:val="auto"/>
              </w:rPr>
            </w:pPr>
          </w:p>
        </w:tc>
      </w:tr>
      <w:tr>
        <w:trPr>
          <w:trHeight w:val="184"/>
        </w:trPr>
        <w:tc>
          <w:tcPr>
            <w:tcW w:w="3180" w:type="dxa"/>
            <w:vAlign w:val="bottom"/>
          </w:tcPr>
          <w:p>
            <w:pPr>
              <w:ind w:left="280"/>
              <w:spacing w:after="0"/>
              <w:rPr>
                <w:sz w:val="20"/>
                <w:szCs w:val="20"/>
                <w:color w:val="auto"/>
              </w:rPr>
            </w:pPr>
            <w:r>
              <w:rPr>
                <w:rFonts w:ascii="Arial" w:cs="Arial" w:eastAsia="Arial" w:hAnsi="Arial"/>
                <w:sz w:val="15"/>
                <w:szCs w:val="15"/>
                <w:color w:val="auto"/>
              </w:rPr>
              <w:t>Other expense, net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(115,512)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(2,943)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(24,503)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(142,958)</w:t>
            </w:r>
          </w:p>
        </w:tc>
        <w:tc>
          <w:tcPr>
            <w:tcW w:w="0" w:type="dxa"/>
            <w:vAlign w:val="bottom"/>
          </w:tcPr>
          <w:p>
            <w:pPr>
              <w:spacing w:after="0"/>
              <w:rPr>
                <w:sz w:val="1"/>
                <w:szCs w:val="1"/>
                <w:color w:val="auto"/>
              </w:rPr>
            </w:pPr>
          </w:p>
        </w:tc>
      </w:tr>
      <w:tr>
        <w:trPr>
          <w:trHeight w:val="117"/>
        </w:trPr>
        <w:tc>
          <w:tcPr>
            <w:tcW w:w="31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80" w:type="dxa"/>
            <w:vAlign w:val="bottom"/>
            <w:tcBorders>
              <w:top w:val="single" w:sz="8" w:color="auto"/>
              <w:bottom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2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140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180" w:type="dxa"/>
            <w:vAlign w:val="bottom"/>
          </w:tcPr>
          <w:p>
            <w:pPr>
              <w:ind w:left="100"/>
              <w:spacing w:after="0"/>
              <w:rPr>
                <w:sz w:val="20"/>
                <w:szCs w:val="20"/>
                <w:color w:val="auto"/>
              </w:rPr>
            </w:pPr>
            <w:r>
              <w:rPr>
                <w:rFonts w:ascii="Arial" w:cs="Arial" w:eastAsia="Arial" w:hAnsi="Arial"/>
                <w:sz w:val="15"/>
                <w:szCs w:val="15"/>
                <w:color w:val="auto"/>
              </w:rPr>
              <w:t>Income (loss) before income taxes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(1,862)</w:t>
            </w:r>
          </w:p>
        </w:tc>
        <w:tc>
          <w:tcPr>
            <w:tcW w:w="10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59,012</w:t>
            </w:r>
          </w:p>
        </w:tc>
        <w:tc>
          <w:tcPr>
            <w:tcW w:w="22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(67,748)</w:t>
            </w:r>
          </w:p>
        </w:tc>
        <w:tc>
          <w:tcPr>
            <w:tcW w:w="1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(10,598)</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13"/>
        </w:trPr>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504"/>
              <w:spacing w:after="0"/>
              <w:rPr>
                <w:sz w:val="20"/>
                <w:szCs w:val="20"/>
                <w:color w:val="auto"/>
              </w:rPr>
            </w:pPr>
            <w:r>
              <w:rPr>
                <w:rFonts w:ascii="Arial" w:cs="Arial" w:eastAsia="Arial" w:hAnsi="Arial"/>
                <w:sz w:val="15"/>
                <w:szCs w:val="15"/>
                <w:color w:val="auto"/>
              </w:rPr>
              <w:t>45</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48" w:name="page49"/>
    <w:bookmarkEnd w:id="48"/>
    <w:tbl>
      <w:tblPr>
        <w:tblLayout w:type="fixed"/>
        <w:tblInd w:w="10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center"/>
              <w:ind w:left="984"/>
              <w:spacing w:after="0"/>
              <w:rPr>
                <w:sz w:val="20"/>
                <w:szCs w:val="20"/>
                <w:color w:val="auto"/>
              </w:rPr>
            </w:pPr>
            <w:r>
              <w:rPr>
                <w:rFonts w:ascii="Arial" w:cs="Arial" w:eastAsia="Arial" w:hAnsi="Arial"/>
                <w:sz w:val="15"/>
                <w:szCs w:val="15"/>
                <w:b w:val="1"/>
                <w:bCs w:val="1"/>
                <w:color w:val="auto"/>
                <w:w w:val="90"/>
              </w:rPr>
              <w:t>Six Months Ended June 30, 2020</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200" w:type="dxa"/>
            <w:vAlign w:val="bottom"/>
            <w:vMerge w:val="restart"/>
          </w:tcPr>
          <w:p>
            <w:pPr>
              <w:spacing w:after="0"/>
              <w:rPr>
                <w:sz w:val="20"/>
                <w:szCs w:val="20"/>
                <w:color w:val="auto"/>
              </w:rPr>
            </w:pPr>
            <w:r>
              <w:rPr>
                <w:rFonts w:ascii="Arial" w:cs="Arial" w:eastAsia="Arial" w:hAnsi="Arial"/>
                <w:sz w:val="15"/>
                <w:szCs w:val="15"/>
                <w:b w:val="1"/>
                <w:bCs w:val="1"/>
                <w:color w:val="auto"/>
              </w:rPr>
              <w:t>Results of Operations</w:t>
            </w:r>
          </w:p>
        </w:tc>
        <w:tc>
          <w:tcPr>
            <w:tcW w:w="280" w:type="dxa"/>
            <w:vAlign w:val="bottom"/>
          </w:tcPr>
          <w:p>
            <w:pPr>
              <w:spacing w:after="0"/>
              <w:rPr>
                <w:sz w:val="12"/>
                <w:szCs w:val="12"/>
                <w:color w:val="auto"/>
              </w:rPr>
            </w:pPr>
          </w:p>
        </w:tc>
        <w:tc>
          <w:tcPr>
            <w:tcW w:w="1240" w:type="dxa"/>
            <w:vAlign w:val="bottom"/>
            <w:vMerge w:val="restart"/>
          </w:tcPr>
          <w:p>
            <w:pPr>
              <w:jc w:val="right"/>
              <w:ind w:right="384"/>
              <w:spacing w:after="0"/>
              <w:rPr>
                <w:sz w:val="20"/>
                <w:szCs w:val="20"/>
                <w:color w:val="auto"/>
              </w:rPr>
            </w:pPr>
            <w:r>
              <w:rPr>
                <w:rFonts w:ascii="Arial" w:cs="Arial" w:eastAsia="Arial" w:hAnsi="Arial"/>
                <w:sz w:val="15"/>
                <w:szCs w:val="15"/>
                <w:b w:val="1"/>
                <w:bCs w:val="1"/>
                <w:color w:val="auto"/>
              </w:rPr>
              <w:t>Servicing</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auto"/>
              </w:rPr>
              <w:t>Originations</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200"/>
              <w:spacing w:after="0" w:line="140" w:lineRule="exact"/>
              <w:rPr>
                <w:sz w:val="20"/>
                <w:szCs w:val="20"/>
                <w:color w:val="auto"/>
              </w:rPr>
            </w:pPr>
            <w:r>
              <w:rPr>
                <w:rFonts w:ascii="Arial" w:cs="Arial" w:eastAsia="Arial" w:hAnsi="Arial"/>
                <w:sz w:val="15"/>
                <w:szCs w:val="15"/>
                <w:b w:val="1"/>
                <w:bCs w:val="1"/>
                <w:color w:val="auto"/>
                <w:w w:val="93"/>
              </w:rPr>
              <w:t>Corporate Items and</w:t>
            </w:r>
          </w:p>
        </w:tc>
        <w:tc>
          <w:tcPr>
            <w:tcW w:w="260" w:type="dxa"/>
            <w:vAlign w:val="bottom"/>
          </w:tcPr>
          <w:p>
            <w:pPr>
              <w:spacing w:after="0"/>
              <w:rPr>
                <w:sz w:val="12"/>
                <w:szCs w:val="12"/>
                <w:color w:val="auto"/>
              </w:rPr>
            </w:pPr>
          </w:p>
        </w:tc>
        <w:tc>
          <w:tcPr>
            <w:tcW w:w="1360" w:type="dxa"/>
            <w:vAlign w:val="bottom"/>
            <w:gridSpan w:val="2"/>
          </w:tcPr>
          <w:p>
            <w:pPr>
              <w:ind w:left="160"/>
              <w:spacing w:after="0" w:line="140" w:lineRule="exact"/>
              <w:rPr>
                <w:sz w:val="20"/>
                <w:szCs w:val="20"/>
                <w:color w:val="auto"/>
              </w:rPr>
            </w:pPr>
            <w:r>
              <w:rPr>
                <w:rFonts w:ascii="Arial" w:cs="Arial" w:eastAsia="Arial" w:hAnsi="Arial"/>
                <w:sz w:val="15"/>
                <w:szCs w:val="15"/>
                <w:b w:val="1"/>
                <w:bCs w:val="1"/>
                <w:color w:val="auto"/>
              </w:rPr>
              <w:t>Corporate</w:t>
            </w:r>
          </w:p>
        </w:tc>
        <w:tc>
          <w:tcPr>
            <w:tcW w:w="140" w:type="dxa"/>
            <w:vAlign w:val="bottom"/>
          </w:tcPr>
          <w:p>
            <w:pPr>
              <w:spacing w:after="0"/>
              <w:rPr>
                <w:sz w:val="12"/>
                <w:szCs w:val="12"/>
                <w:color w:val="auto"/>
              </w:rPr>
            </w:pPr>
          </w:p>
        </w:tc>
        <w:tc>
          <w:tcPr>
            <w:tcW w:w="1400" w:type="dxa"/>
            <w:vAlign w:val="bottom"/>
          </w:tcPr>
          <w:p>
            <w:pPr>
              <w:jc w:val="right"/>
              <w:ind w:right="84"/>
              <w:spacing w:after="0" w:line="140" w:lineRule="exact"/>
              <w:rPr>
                <w:sz w:val="20"/>
                <w:szCs w:val="20"/>
                <w:color w:val="auto"/>
              </w:rPr>
            </w:pPr>
            <w:r>
              <w:rPr>
                <w:rFonts w:ascii="Arial" w:cs="Arial" w:eastAsia="Arial" w:hAnsi="Arial"/>
                <w:sz w:val="15"/>
                <w:szCs w:val="15"/>
                <w:b w:val="1"/>
                <w:bCs w:val="1"/>
                <w:color w:val="auto"/>
                <w:w w:val="85"/>
              </w:rPr>
              <w:t>Business Segments</w:t>
            </w:r>
          </w:p>
        </w:tc>
        <w:tc>
          <w:tcPr>
            <w:tcW w:w="0" w:type="dxa"/>
            <w:vAlign w:val="bottom"/>
          </w:tcPr>
          <w:p>
            <w:pPr>
              <w:spacing w:after="0"/>
              <w:rPr>
                <w:sz w:val="1"/>
                <w:szCs w:val="1"/>
                <w:color w:val="auto"/>
              </w:rPr>
            </w:pPr>
          </w:p>
        </w:tc>
      </w:tr>
      <w:tr>
        <w:trPr>
          <w:trHeight w:val="193"/>
        </w:trPr>
        <w:tc>
          <w:tcPr>
            <w:tcW w:w="32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Other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and subservicing fees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386,657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386,723</w:t>
            </w:r>
          </w:p>
        </w:tc>
        <w:tc>
          <w:tcPr>
            <w:tcW w:w="0" w:type="dxa"/>
            <w:vAlign w:val="bottom"/>
          </w:tcPr>
          <w:p>
            <w:pPr>
              <w:spacing w:after="0"/>
              <w:rPr>
                <w:sz w:val="1"/>
                <w:szCs w:val="1"/>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5"/>
                <w:szCs w:val="15"/>
                <w:color w:val="auto"/>
              </w:rPr>
              <w:t>Reverse mortgage revenue,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13,953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22,603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36,556</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loans held for sale, net</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42,868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46,878</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revenue, net</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10,709</w:t>
            </w: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Revenue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406,595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70,588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480,866</w:t>
            </w: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MSR valuation adjustments, net</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(211,522)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(197,554)</w:t>
            </w:r>
          </w:p>
        </w:tc>
        <w:tc>
          <w:tcPr>
            <w:tcW w:w="0" w:type="dxa"/>
            <w:vAlign w:val="bottom"/>
          </w:tcPr>
          <w:p>
            <w:pPr>
              <w:spacing w:after="0"/>
              <w:rPr>
                <w:sz w:val="1"/>
                <w:szCs w:val="1"/>
                <w:color w:val="auto"/>
              </w:rPr>
            </w:pPr>
          </w:p>
        </w:tc>
      </w:tr>
      <w:tr>
        <w:trPr>
          <w:trHeight w:val="136"/>
        </w:trPr>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Operating expenses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170,894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48,027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282,023</w:t>
            </w:r>
          </w:p>
        </w:tc>
        <w:tc>
          <w:tcPr>
            <w:tcW w:w="0" w:type="dxa"/>
            <w:vAlign w:val="bottom"/>
          </w:tcPr>
          <w:p>
            <w:pPr>
              <w:spacing w:after="0"/>
              <w:rPr>
                <w:sz w:val="1"/>
                <w:szCs w:val="1"/>
                <w:color w:val="auto"/>
              </w:rPr>
            </w:pPr>
          </w:p>
        </w:tc>
      </w:tr>
      <w:tr>
        <w:trPr>
          <w:trHeight w:val="136"/>
        </w:trPr>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(expense) income: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180"/>
              <w:spacing w:after="0"/>
              <w:rPr>
                <w:sz w:val="20"/>
                <w:szCs w:val="20"/>
                <w:color w:val="auto"/>
              </w:rPr>
            </w:pPr>
            <w:r>
              <w:rPr>
                <w:rFonts w:ascii="Arial" w:cs="Arial" w:eastAsia="Arial" w:hAnsi="Arial"/>
                <w:sz w:val="15"/>
                <w:szCs w:val="15"/>
                <w:color w:val="auto"/>
              </w:rPr>
              <w:t>Interest income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4,684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2,780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1,497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8,961</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(56,742)</w:t>
            </w:r>
          </w:p>
        </w:tc>
        <w:tc>
          <w:tcPr>
            <w:tcW w:w="0" w:type="dxa"/>
            <w:vAlign w:val="bottom"/>
          </w:tcPr>
          <w:p>
            <w:pPr>
              <w:spacing w:after="0"/>
              <w:rPr>
                <w:sz w:val="1"/>
                <w:szCs w:val="1"/>
                <w:color w:val="auto"/>
              </w:rPr>
            </w:pPr>
          </w:p>
        </w:tc>
      </w:tr>
      <w:tr>
        <w:trPr>
          <w:trHeight w:val="192"/>
        </w:trPr>
        <w:tc>
          <w:tcPr>
            <w:tcW w:w="3200" w:type="dxa"/>
            <w:vAlign w:val="bottom"/>
          </w:tcPr>
          <w:p>
            <w:pPr>
              <w:ind w:left="180"/>
              <w:spacing w:after="0"/>
              <w:rPr>
                <w:sz w:val="20"/>
                <w:szCs w:val="20"/>
                <w:color w:val="auto"/>
              </w:rPr>
            </w:pPr>
            <w:r>
              <w:rPr>
                <w:rFonts w:ascii="Arial" w:cs="Arial" w:eastAsia="Arial" w:hAnsi="Arial"/>
                <w:sz w:val="15"/>
                <w:szCs w:val="15"/>
                <w:color w:val="auto"/>
              </w:rPr>
              <w:t>Pledged MSR liability expense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(48,337)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(48,280)</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1,271</w:t>
            </w:r>
          </w:p>
        </w:tc>
        <w:tc>
          <w:tcPr>
            <w:tcW w:w="0" w:type="dxa"/>
            <w:vAlign w:val="bottom"/>
          </w:tcPr>
          <w:p>
            <w:pPr>
              <w:spacing w:after="0"/>
              <w:rPr>
                <w:sz w:val="1"/>
                <w:szCs w:val="1"/>
                <w:color w:val="auto"/>
              </w:rPr>
            </w:pPr>
          </w:p>
        </w:tc>
      </w:tr>
      <w:tr>
        <w:trPr>
          <w:trHeight w:val="184"/>
        </w:trPr>
        <w:tc>
          <w:tcPr>
            <w:tcW w:w="3200" w:type="dxa"/>
            <w:vAlign w:val="bottom"/>
          </w:tcPr>
          <w:p>
            <w:pPr>
              <w:ind w:left="280"/>
              <w:spacing w:after="0"/>
              <w:rPr>
                <w:sz w:val="20"/>
                <w:szCs w:val="20"/>
                <w:color w:val="auto"/>
              </w:rPr>
            </w:pPr>
            <w:r>
              <w:rPr>
                <w:rFonts w:ascii="Arial" w:cs="Arial" w:eastAsia="Arial" w:hAnsi="Arial"/>
                <w:sz w:val="15"/>
                <w:szCs w:val="15"/>
                <w:color w:val="auto"/>
              </w:rPr>
              <w:t>Other expense, net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(85,108)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(1,435)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(8,247)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10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(94,790)</w:t>
            </w:r>
          </w:p>
        </w:tc>
        <w:tc>
          <w:tcPr>
            <w:tcW w:w="0" w:type="dxa"/>
            <w:vAlign w:val="bottom"/>
          </w:tcPr>
          <w:p>
            <w:pPr>
              <w:spacing w:after="0"/>
              <w:rPr>
                <w:sz w:val="1"/>
                <w:szCs w:val="1"/>
                <w:color w:val="auto"/>
              </w:rPr>
            </w:pPr>
          </w:p>
        </w:tc>
      </w:tr>
      <w:tr>
        <w:trPr>
          <w:trHeight w:val="105"/>
        </w:trPr>
        <w:tc>
          <w:tcPr>
            <w:tcW w:w="32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spacing w:after="0"/>
              <w:rPr>
                <w:sz w:val="9"/>
                <w:szCs w:val="9"/>
                <w:color w:val="auto"/>
              </w:rPr>
            </w:pPr>
          </w:p>
        </w:tc>
        <w:tc>
          <w:tcPr>
            <w:tcW w:w="124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auto"/>
            </w:tcBorders>
            <w:shd w:val="clear" w:color="auto" w:fill="CCEEFF"/>
          </w:tcPr>
          <w:p>
            <w:pPr>
              <w:spacing w:after="0"/>
              <w:rPr>
                <w:sz w:val="9"/>
                <w:szCs w:val="9"/>
                <w:color w:val="auto"/>
              </w:rPr>
            </w:pPr>
          </w:p>
        </w:tc>
        <w:tc>
          <w:tcPr>
            <w:tcW w:w="13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1440" w:type="dxa"/>
            <w:vAlign w:val="bottom"/>
            <w:tcBorders>
              <w:top w:val="single" w:sz="8" w:color="auto"/>
              <w:bottom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spacing w:after="0"/>
              <w:rPr>
                <w:sz w:val="9"/>
                <w:szCs w:val="9"/>
                <w:color w:val="auto"/>
              </w:rPr>
            </w:pPr>
          </w:p>
        </w:tc>
        <w:tc>
          <w:tcPr>
            <w:tcW w:w="126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rPr>
                <w:sz w:val="9"/>
                <w:szCs w:val="9"/>
                <w:color w:val="auto"/>
              </w:rPr>
            </w:pPr>
          </w:p>
        </w:tc>
        <w:tc>
          <w:tcPr>
            <w:tcW w:w="1400" w:type="dxa"/>
            <w:vAlign w:val="bottom"/>
            <w:tcBorders>
              <w:top w:val="single" w:sz="8" w:color="auto"/>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40"/>
              <w:spacing w:after="0"/>
              <w:rPr>
                <w:sz w:val="20"/>
                <w:szCs w:val="20"/>
                <w:color w:val="auto"/>
              </w:rPr>
            </w:pPr>
            <w:r>
              <w:rPr>
                <w:rFonts w:ascii="Arial" w:cs="Arial" w:eastAsia="Arial" w:hAnsi="Arial"/>
                <w:sz w:val="15"/>
                <w:szCs w:val="15"/>
                <w:color w:val="auto"/>
              </w:rPr>
              <w:t>Income (loss) before income taxes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(60,929)</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35,094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(67,666)</w:t>
            </w:r>
          </w:p>
        </w:tc>
        <w:tc>
          <w:tcPr>
            <w:tcW w:w="12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10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(93,501)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360" w:right="120" w:hanging="269"/>
        <w:spacing w:after="0" w:line="255"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Corporate Eliminations for the three and six months ended June 30, 2021 includes an inter-segment derivatives elimination of $11.3 million and $24.1 million, respectively, with a corresponding offset in MSR valuation adjustments, net; nil for the three and six months ended June 30,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tal Assets</w:t>
            </w:r>
          </w:p>
        </w:tc>
        <w:tc>
          <w:tcPr>
            <w:tcW w:w="196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Servicing</w:t>
            </w:r>
          </w:p>
        </w:tc>
        <w:tc>
          <w:tcPr>
            <w:tcW w:w="148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auto"/>
              </w:rPr>
              <w:t>Originations</w:t>
            </w:r>
          </w:p>
        </w:tc>
        <w:tc>
          <w:tcPr>
            <w:tcW w:w="1700" w:type="dxa"/>
            <w:vAlign w:val="bottom"/>
            <w:gridSpan w:val="3"/>
          </w:tcPr>
          <w:p>
            <w:pPr>
              <w:ind w:left="40"/>
              <w:spacing w:after="0"/>
              <w:rPr>
                <w:sz w:val="20"/>
                <w:szCs w:val="20"/>
                <w:color w:val="auto"/>
              </w:rPr>
            </w:pPr>
            <w:r>
              <w:rPr>
                <w:rFonts w:ascii="Arial" w:cs="Arial" w:eastAsia="Arial" w:hAnsi="Arial"/>
                <w:sz w:val="15"/>
                <w:szCs w:val="15"/>
                <w:b w:val="1"/>
                <w:bCs w:val="1"/>
                <w:color w:val="auto"/>
              </w:rPr>
              <w:t>Corporate Items and</w:t>
            </w:r>
          </w:p>
        </w:tc>
        <w:tc>
          <w:tcPr>
            <w:tcW w:w="1500" w:type="dxa"/>
            <w:vAlign w:val="bottom"/>
          </w:tcPr>
          <w:p>
            <w:pPr>
              <w:jc w:val="right"/>
              <w:ind w:right="204"/>
              <w:spacing w:after="0"/>
              <w:rPr>
                <w:sz w:val="20"/>
                <w:szCs w:val="20"/>
                <w:color w:val="auto"/>
              </w:rPr>
            </w:pPr>
            <w:r>
              <w:rPr>
                <w:rFonts w:ascii="Arial" w:cs="Arial" w:eastAsia="Arial" w:hAnsi="Arial"/>
                <w:sz w:val="15"/>
                <w:szCs w:val="15"/>
                <w:b w:val="1"/>
                <w:bCs w:val="1"/>
                <w:color w:val="auto"/>
                <w:w w:val="84"/>
              </w:rPr>
              <w:t>Business Segments</w:t>
            </w:r>
          </w:p>
        </w:tc>
        <w:tc>
          <w:tcPr>
            <w:tcW w:w="0" w:type="dxa"/>
            <w:vAlign w:val="bottom"/>
          </w:tcPr>
          <w:p>
            <w:pPr>
              <w:spacing w:after="0"/>
              <w:rPr>
                <w:sz w:val="1"/>
                <w:szCs w:val="1"/>
                <w:color w:val="auto"/>
              </w:rPr>
            </w:pPr>
          </w:p>
        </w:tc>
      </w:tr>
      <w:tr>
        <w:trPr>
          <w:trHeight w:val="193"/>
        </w:trPr>
        <w:tc>
          <w:tcPr>
            <w:tcW w:w="2840" w:type="dxa"/>
            <w:vAlign w:val="bottom"/>
            <w:gridSpan w:val="2"/>
            <w:vMerge w:val="continue"/>
          </w:tcPr>
          <w:p>
            <w:pPr>
              <w:spacing w:after="0"/>
              <w:rPr>
                <w:sz w:val="16"/>
                <w:szCs w:val="16"/>
                <w:color w:val="auto"/>
              </w:rPr>
            </w:pPr>
          </w:p>
        </w:tc>
        <w:tc>
          <w:tcPr>
            <w:tcW w:w="19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560"/>
              <w:spacing w:after="0"/>
              <w:rPr>
                <w:sz w:val="20"/>
                <w:szCs w:val="20"/>
                <w:color w:val="auto"/>
              </w:rPr>
            </w:pPr>
            <w:r>
              <w:rPr>
                <w:rFonts w:ascii="Arial" w:cs="Arial" w:eastAsia="Arial" w:hAnsi="Arial"/>
                <w:sz w:val="15"/>
                <w:szCs w:val="15"/>
                <w:b w:val="1"/>
                <w:bCs w:val="1"/>
                <w:color w:val="auto"/>
              </w:rPr>
              <w:t>Other</w:t>
            </w:r>
          </w:p>
        </w:tc>
        <w:tc>
          <w:tcPr>
            <w:tcW w:w="1500" w:type="dxa"/>
            <w:vAlign w:val="bottom"/>
          </w:tcPr>
          <w:p>
            <w:pPr>
              <w:jc w:val="right"/>
              <w:ind w:right="244"/>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gridSpan w:val="2"/>
          </w:tcPr>
          <w:p>
            <w:pPr>
              <w:spacing w:after="0"/>
              <w:rPr>
                <w:sz w:val="20"/>
                <w:szCs w:val="20"/>
                <w:color w:val="auto"/>
              </w:rPr>
            </w:pPr>
            <w:r>
              <w:rPr>
                <w:rFonts w:ascii="Arial" w:cs="Arial" w:eastAsia="Arial" w:hAnsi="Arial"/>
                <w:sz w:val="15"/>
                <w:szCs w:val="15"/>
                <w:color w:val="auto"/>
              </w:rPr>
              <w:t>June 30, 2021</w:t>
            </w:r>
          </w:p>
        </w:tc>
        <w:tc>
          <w:tcPr>
            <w:tcW w:w="19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10,747,791$</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641,931$</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377,988$</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11,767,710</w:t>
            </w:r>
          </w:p>
        </w:tc>
        <w:tc>
          <w:tcPr>
            <w:tcW w:w="0" w:type="dxa"/>
            <w:vAlign w:val="bottom"/>
          </w:tcPr>
          <w:p>
            <w:pPr>
              <w:spacing w:after="0"/>
              <w:rPr>
                <w:sz w:val="1"/>
                <w:szCs w:val="1"/>
                <w:color w:val="auto"/>
              </w:rPr>
            </w:pPr>
          </w:p>
        </w:tc>
      </w:tr>
      <w:tr>
        <w:trPr>
          <w:trHeight w:val="138"/>
        </w:trPr>
        <w:tc>
          <w:tcPr>
            <w:tcW w:w="2840" w:type="dxa"/>
            <w:vAlign w:val="bottom"/>
            <w:gridSpan w:val="2"/>
          </w:tcPr>
          <w:p>
            <w:pPr>
              <w:spacing w:after="0"/>
              <w:rPr>
                <w:sz w:val="11"/>
                <w:szCs w:val="11"/>
                <w:color w:val="auto"/>
              </w:rPr>
            </w:pPr>
          </w:p>
        </w:tc>
        <w:tc>
          <w:tcPr>
            <w:tcW w:w="19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19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9,847,603$</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379,233$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424,291$</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10,651,127</w:t>
            </w:r>
          </w:p>
        </w:tc>
        <w:tc>
          <w:tcPr>
            <w:tcW w:w="0" w:type="dxa"/>
            <w:vAlign w:val="bottom"/>
          </w:tcPr>
          <w:p>
            <w:pPr>
              <w:spacing w:after="0"/>
              <w:rPr>
                <w:sz w:val="1"/>
                <w:szCs w:val="1"/>
                <w:color w:val="auto"/>
              </w:rPr>
            </w:pPr>
          </w:p>
        </w:tc>
      </w:tr>
      <w:tr>
        <w:trPr>
          <w:trHeight w:val="328"/>
        </w:trPr>
        <w:tc>
          <w:tcPr>
            <w:tcW w:w="2840" w:type="dxa"/>
            <w:vAlign w:val="bottom"/>
            <w:gridSpan w:val="2"/>
          </w:tcPr>
          <w:p>
            <w:pPr>
              <w:spacing w:after="0"/>
              <w:rPr>
                <w:sz w:val="20"/>
                <w:szCs w:val="20"/>
                <w:color w:val="auto"/>
              </w:rPr>
            </w:pPr>
            <w:r>
              <w:rPr>
                <w:rFonts w:ascii="Arial" w:cs="Arial" w:eastAsia="Arial" w:hAnsi="Arial"/>
                <w:sz w:val="15"/>
                <w:szCs w:val="15"/>
                <w:color w:val="auto"/>
              </w:rPr>
              <w:t>June 30, 2020</w:t>
            </w:r>
          </w:p>
        </w:tc>
        <w:tc>
          <w:tcPr>
            <w:tcW w:w="19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9,510,084$</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291,085$</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509,269$</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10,310,438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-546100</wp:posOffset>
            </wp:positionV>
            <wp:extent cx="6938010" cy="129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8010" cy="12954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-120650</wp:posOffset>
            </wp:positionV>
            <wp:extent cx="6938010" cy="1225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3801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57150</wp:posOffset>
            </wp:positionV>
            <wp:extent cx="717931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360"/>
          </w:cols>
          <w:pgMar w:left="220" w:top="885"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2"/>
        </w:trPr>
        <w:tc>
          <w:tcPr>
            <w:tcW w:w="392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and Amortization Expense</w:t>
            </w:r>
          </w:p>
        </w:tc>
        <w:tc>
          <w:tcPr>
            <w:tcW w:w="1120" w:type="dxa"/>
            <w:vAlign w:val="bottom"/>
          </w:tcPr>
          <w:p>
            <w:pPr>
              <w:spacing w:after="0"/>
              <w:rPr>
                <w:sz w:val="14"/>
                <w:szCs w:val="14"/>
                <w:color w:val="auto"/>
              </w:rPr>
            </w:pPr>
          </w:p>
        </w:tc>
        <w:tc>
          <w:tcPr>
            <w:tcW w:w="1280" w:type="dxa"/>
            <w:vAlign w:val="bottom"/>
            <w:vMerge w:val="restart"/>
          </w:tcPr>
          <w:p>
            <w:pPr>
              <w:jc w:val="right"/>
              <w:ind w:right="424"/>
              <w:spacing w:after="0"/>
              <w:rPr>
                <w:sz w:val="20"/>
                <w:szCs w:val="20"/>
                <w:color w:val="auto"/>
              </w:rPr>
            </w:pPr>
            <w:r>
              <w:rPr>
                <w:rFonts w:ascii="Arial" w:cs="Arial" w:eastAsia="Arial" w:hAnsi="Arial"/>
                <w:sz w:val="15"/>
                <w:szCs w:val="15"/>
                <w:b w:val="1"/>
                <w:bCs w:val="1"/>
                <w:color w:val="auto"/>
              </w:rPr>
              <w:t>Servicing</w:t>
            </w:r>
          </w:p>
        </w:tc>
        <w:tc>
          <w:tcPr>
            <w:tcW w:w="300" w:type="dxa"/>
            <w:vAlign w:val="bottom"/>
          </w:tcPr>
          <w:p>
            <w:pPr>
              <w:spacing w:after="0"/>
              <w:rPr>
                <w:sz w:val="14"/>
                <w:szCs w:val="14"/>
                <w:color w:val="auto"/>
              </w:rPr>
            </w:pPr>
          </w:p>
        </w:tc>
        <w:tc>
          <w:tcPr>
            <w:tcW w:w="13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Originations</w:t>
            </w:r>
          </w:p>
        </w:tc>
        <w:tc>
          <w:tcPr>
            <w:tcW w:w="160" w:type="dxa"/>
            <w:vAlign w:val="bottom"/>
          </w:tcPr>
          <w:p>
            <w:pPr>
              <w:spacing w:after="0"/>
              <w:rPr>
                <w:sz w:val="14"/>
                <w:szCs w:val="14"/>
                <w:color w:val="auto"/>
              </w:rPr>
            </w:pPr>
          </w:p>
        </w:tc>
        <w:tc>
          <w:tcPr>
            <w:tcW w:w="146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Corporate Items and</w:t>
            </w:r>
          </w:p>
        </w:tc>
        <w:tc>
          <w:tcPr>
            <w:tcW w:w="200" w:type="dxa"/>
            <w:vAlign w:val="bottom"/>
          </w:tcPr>
          <w:p>
            <w:pPr>
              <w:spacing w:after="0"/>
              <w:rPr>
                <w:sz w:val="14"/>
                <w:szCs w:val="14"/>
                <w:color w:val="auto"/>
              </w:rPr>
            </w:pPr>
          </w:p>
        </w:tc>
        <w:tc>
          <w:tcPr>
            <w:tcW w:w="1400" w:type="dxa"/>
            <w:vAlign w:val="bottom"/>
          </w:tcPr>
          <w:p>
            <w:pPr>
              <w:jc w:val="right"/>
              <w:ind w:right="84"/>
              <w:spacing w:after="0"/>
              <w:rPr>
                <w:sz w:val="20"/>
                <w:szCs w:val="20"/>
                <w:color w:val="auto"/>
              </w:rPr>
            </w:pPr>
            <w:r>
              <w:rPr>
                <w:rFonts w:ascii="Arial" w:cs="Arial" w:eastAsia="Arial" w:hAnsi="Arial"/>
                <w:sz w:val="15"/>
                <w:szCs w:val="15"/>
                <w:b w:val="1"/>
                <w:bCs w:val="1"/>
                <w:color w:val="auto"/>
                <w:w w:val="85"/>
              </w:rPr>
              <w:t>Business Segments</w:t>
            </w:r>
          </w:p>
        </w:tc>
        <w:tc>
          <w:tcPr>
            <w:tcW w:w="0" w:type="dxa"/>
            <w:vAlign w:val="bottom"/>
          </w:tcPr>
          <w:p>
            <w:pPr>
              <w:spacing w:after="0"/>
              <w:rPr>
                <w:sz w:val="1"/>
                <w:szCs w:val="1"/>
                <w:color w:val="auto"/>
              </w:rPr>
            </w:pPr>
          </w:p>
        </w:tc>
      </w:tr>
      <w:tr>
        <w:trPr>
          <w:trHeight w:val="193"/>
        </w:trPr>
        <w:tc>
          <w:tcPr>
            <w:tcW w:w="39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Other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Three months ended June 30, 2021</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tcPr>
          <w:p>
            <w:pPr>
              <w:ind w:left="100"/>
              <w:spacing w:after="0"/>
              <w:rPr>
                <w:sz w:val="20"/>
                <w:szCs w:val="20"/>
                <w:color w:val="auto"/>
              </w:rPr>
            </w:pPr>
            <w:r>
              <w:rPr>
                <w:rFonts w:ascii="Arial" w:cs="Arial" w:eastAsia="Arial" w:hAnsi="Arial"/>
                <w:sz w:val="15"/>
                <w:szCs w:val="15"/>
                <w:color w:val="auto"/>
              </w:rPr>
              <w:t>Depreciation expense</w:t>
            </w: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168</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26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2,015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2,209</w:t>
            </w: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Amortization of debt issuance costs and discount</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129</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1,480</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1,609</w:t>
            </w:r>
          </w:p>
        </w:tc>
        <w:tc>
          <w:tcPr>
            <w:tcW w:w="0" w:type="dxa"/>
            <w:vAlign w:val="bottom"/>
          </w:tcPr>
          <w:p>
            <w:pPr>
              <w:spacing w:after="0"/>
              <w:rPr>
                <w:sz w:val="1"/>
                <w:szCs w:val="1"/>
                <w:color w:val="auto"/>
              </w:rPr>
            </w:pPr>
          </w:p>
        </w:tc>
      </w:tr>
      <w:tr>
        <w:trPr>
          <w:trHeight w:val="136"/>
        </w:trPr>
        <w:tc>
          <w:tcPr>
            <w:tcW w:w="3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Three months ended June 30, 2020</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tcPr>
          <w:p>
            <w:pPr>
              <w:ind w:left="100"/>
              <w:spacing w:after="0"/>
              <w:rPr>
                <w:sz w:val="20"/>
                <w:szCs w:val="20"/>
                <w:color w:val="auto"/>
              </w:rPr>
            </w:pPr>
            <w:r>
              <w:rPr>
                <w:rFonts w:ascii="Arial" w:cs="Arial" w:eastAsia="Arial" w:hAnsi="Arial"/>
                <w:sz w:val="15"/>
                <w:szCs w:val="15"/>
                <w:color w:val="auto"/>
              </w:rPr>
              <w:t>Depreciation expense</w:t>
            </w: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218</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34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6,844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7,096</w:t>
            </w: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Amortization of debt issuance costs and discount</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116</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1,403</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1,519</w:t>
            </w:r>
          </w:p>
        </w:tc>
        <w:tc>
          <w:tcPr>
            <w:tcW w:w="0" w:type="dxa"/>
            <w:vAlign w:val="bottom"/>
          </w:tcPr>
          <w:p>
            <w:pPr>
              <w:spacing w:after="0"/>
              <w:rPr>
                <w:sz w:val="1"/>
                <w:szCs w:val="1"/>
                <w:color w:val="auto"/>
              </w:rPr>
            </w:pPr>
          </w:p>
        </w:tc>
      </w:tr>
      <w:tr>
        <w:trPr>
          <w:trHeight w:val="136"/>
        </w:trPr>
        <w:tc>
          <w:tcPr>
            <w:tcW w:w="3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Six Months Ended June 30, 2021</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tcPr>
          <w:p>
            <w:pPr>
              <w:ind w:left="100"/>
              <w:spacing w:after="0"/>
              <w:rPr>
                <w:sz w:val="20"/>
                <w:szCs w:val="20"/>
                <w:color w:val="auto"/>
              </w:rPr>
            </w:pPr>
            <w:r>
              <w:rPr>
                <w:rFonts w:ascii="Arial" w:cs="Arial" w:eastAsia="Arial" w:hAnsi="Arial"/>
                <w:sz w:val="15"/>
                <w:szCs w:val="15"/>
                <w:color w:val="auto"/>
              </w:rPr>
              <w:t>Depreciation expense</w:t>
            </w: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376</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49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4,641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5,066</w:t>
            </w: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Amortization of debt issuance costs and discount</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258</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2,974</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3,232</w:t>
            </w:r>
          </w:p>
        </w:tc>
        <w:tc>
          <w:tcPr>
            <w:tcW w:w="0" w:type="dxa"/>
            <w:vAlign w:val="bottom"/>
          </w:tcPr>
          <w:p>
            <w:pPr>
              <w:spacing w:after="0"/>
              <w:rPr>
                <w:sz w:val="1"/>
                <w:szCs w:val="1"/>
                <w:color w:val="auto"/>
              </w:rPr>
            </w:pPr>
          </w:p>
        </w:tc>
      </w:tr>
      <w:tr>
        <w:trPr>
          <w:trHeight w:val="136"/>
        </w:trPr>
        <w:tc>
          <w:tcPr>
            <w:tcW w:w="3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Six months ended June 30, 2020</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tcPr>
          <w:p>
            <w:pPr>
              <w:ind w:left="100"/>
              <w:spacing w:after="0"/>
              <w:rPr>
                <w:sz w:val="20"/>
                <w:szCs w:val="20"/>
                <w:color w:val="auto"/>
              </w:rPr>
            </w:pPr>
            <w:r>
              <w:rPr>
                <w:rFonts w:ascii="Arial" w:cs="Arial" w:eastAsia="Arial" w:hAnsi="Arial"/>
                <w:sz w:val="15"/>
                <w:szCs w:val="15"/>
                <w:color w:val="auto"/>
              </w:rPr>
              <w:t>Depreciation expense</w:t>
            </w: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433</w:t>
            </w:r>
          </w:p>
        </w:tc>
        <w:tc>
          <w:tcPr>
            <w:tcW w:w="3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71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10,589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11,093</w:t>
            </w: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Amortization of debt issuance costs and discount</w:t>
            </w:r>
          </w:p>
        </w:tc>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228</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3,953</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20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65" w:lineRule="exact"/>
        <w:rPr>
          <w:sz w:val="20"/>
          <w:szCs w:val="20"/>
          <w:color w:val="auto"/>
        </w:rPr>
      </w:pPr>
    </w:p>
    <w:p>
      <w:pPr>
        <w:jc w:val="both"/>
        <w:ind w:right="200" w:firstLine="272"/>
        <w:spacing w:after="0" w:line="257" w:lineRule="auto"/>
        <w:rPr>
          <w:sz w:val="20"/>
          <w:szCs w:val="20"/>
          <w:color w:val="auto"/>
        </w:rPr>
      </w:pPr>
      <w:r>
        <w:rPr>
          <w:rFonts w:ascii="Arial" w:cs="Arial" w:eastAsia="Arial" w:hAnsi="Arial"/>
          <w:sz w:val="15"/>
          <w:szCs w:val="15"/>
          <w:color w:val="auto"/>
        </w:rPr>
        <w:t>Our business is subject to extensive regulation and supervision by federal, state, local and foreign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2" w:lineRule="exact"/>
        <w:rPr>
          <w:sz w:val="20"/>
          <w:szCs w:val="20"/>
          <w:color w:val="auto"/>
        </w:rPr>
      </w:pPr>
    </w:p>
    <w:p>
      <w:pPr>
        <w:ind w:firstLine="272"/>
        <w:spacing w:after="0" w:line="275" w:lineRule="auto"/>
        <w:rPr>
          <w:sz w:val="20"/>
          <w:szCs w:val="20"/>
          <w:color w:val="auto"/>
        </w:rPr>
      </w:pPr>
      <w:r>
        <w:rPr>
          <w:rFonts w:ascii="Arial" w:cs="Arial" w:eastAsia="Arial" w:hAnsi="Arial"/>
          <w:sz w:val="14"/>
          <w:szCs w:val="14"/>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and safeguarding of non-public personally identifiable information about our customers. These complex requirements can and do change as laws and regulations are enacted, promulgated, amended, interpreted and enforced, and the requirements applicable to our business have been changing especially rapidly in response to the COVID-19 pandemic.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58" w:lineRule="exact"/>
        <w:rPr>
          <w:sz w:val="20"/>
          <w:szCs w:val="20"/>
          <w:color w:val="auto"/>
        </w:rPr>
      </w:pPr>
    </w:p>
    <w:p>
      <w:pPr>
        <w:ind w:right="20" w:firstLine="272"/>
        <w:spacing w:after="0" w:line="261" w:lineRule="auto"/>
        <w:rPr>
          <w:sz w:val="20"/>
          <w:szCs w:val="20"/>
          <w:color w:val="auto"/>
        </w:rPr>
      </w:pPr>
      <w:r>
        <w:rPr>
          <w:rFonts w:ascii="Arial" w:cs="Arial" w:eastAsia="Arial" w:hAnsi="Arial"/>
          <w:sz w:val="15"/>
          <w:szCs w:val="15"/>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67" w:lineRule="exact"/>
        <w:rPr>
          <w:sz w:val="20"/>
          <w:szCs w:val="20"/>
          <w:color w:val="auto"/>
        </w:rPr>
      </w:pPr>
    </w:p>
    <w:p>
      <w:pPr>
        <w:ind w:right="200" w:firstLine="272"/>
        <w:spacing w:after="0" w:line="261" w:lineRule="auto"/>
        <w:rPr>
          <w:sz w:val="20"/>
          <w:szCs w:val="20"/>
          <w:color w:val="auto"/>
        </w:rPr>
      </w:pPr>
      <w:r>
        <w:rPr>
          <w:rFonts w:ascii="Arial" w:cs="Arial" w:eastAsia="Arial" w:hAnsi="Arial"/>
          <w:sz w:val="15"/>
          <w:szCs w:val="15"/>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We are also subject to seller/servicer obligations under agreements with the GSEs, HUD, FHA, VA and Ginnie Mae, including capital requirements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50" w:name="page51"/>
    <w:bookmarkEnd w:id="50"/>
    <w:p>
      <w:pPr>
        <w:jc w:val="both"/>
        <w:ind w:right="80"/>
        <w:spacing w:after="0" w:line="309" w:lineRule="auto"/>
        <w:rPr>
          <w:sz w:val="20"/>
          <w:szCs w:val="20"/>
          <w:color w:val="auto"/>
        </w:rPr>
      </w:pPr>
      <w:r>
        <w:rPr>
          <w:rFonts w:ascii="Arial" w:cs="Arial" w:eastAsia="Arial" w:hAnsi="Arial"/>
          <w:sz w:val="13"/>
          <w:szCs w:val="13"/>
          <w:color w:val="auto"/>
        </w:rPr>
        <w:t>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June 30, 2021. Our non-Agency servicing agreements also contain requirements regarding servicing practices and other matters, and a failure to comply with these requirements could have a</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5"/>
          <w:szCs w:val="15"/>
          <w:color w:val="auto"/>
        </w:rPr>
        <w:t>material adverse impact on our business. The most restrictive of the various net worth requirements for licensing and seller/servicer obligations referenced above is based on the UPB of assets serviced by PMC. Under the applicable formula, the required minimum net worth was $417.1 million at June 30, 2021. PMC’s net worth was $536.5 million at June 30, 2021. The most restrictive of the various liquidity requirements for licensing and seller/servicer obligations referenced above pertains to PMC and was $47.4 million at June 30, 2021. PMC’s liquid assets were $224.0 million at June 30, 2021.</w:t>
      </w:r>
    </w:p>
    <w:p>
      <w:pPr>
        <w:spacing w:after="0" w:line="67" w:lineRule="exact"/>
        <w:rPr>
          <w:sz w:val="20"/>
          <w:szCs w:val="20"/>
          <w:color w:val="auto"/>
        </w:rPr>
      </w:pPr>
    </w:p>
    <w:p>
      <w:pPr>
        <w:ind w:right="20" w:firstLine="272"/>
        <w:spacing w:after="0" w:line="276" w:lineRule="auto"/>
        <w:rPr>
          <w:sz w:val="20"/>
          <w:szCs w:val="20"/>
          <w:color w:val="auto"/>
        </w:rPr>
      </w:pPr>
      <w:r>
        <w:rPr>
          <w:rFonts w:ascii="Arial" w:cs="Arial" w:eastAsia="Arial" w:hAnsi="Arial"/>
          <w:sz w:val="14"/>
          <w:szCs w:val="14"/>
          <w:color w:val="auto"/>
        </w:rPr>
        <w:t>We have faced and expect to continue to face heightened regulatory and public scrutiny as an organization and have entered into a number of significant settlements with federal and state regulators and state attorneys general that have imposed additional requirements on our business. Our failure to comply with our settlement obligations to our regulators or with applicable federal, state, local and foreign laws, regulations, licensing requirements and agency guidelines could lead to (i) administrative fines, penalties, sanctions or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additional costs to address these matters and comply with the terms of any resulting resolutions, (vii) suspension or termination of our approved agency seller/servicer status, (viii) inability to raise capital or otherwise fund our operations and (ix) inability to execute on our business strategy, which could have a material adverse impact on our business, reputation, results of operations, liquidity and financial condition.</w:t>
      </w:r>
    </w:p>
    <w:p>
      <w:pPr>
        <w:spacing w:after="0" w:line="62" w:lineRule="exact"/>
        <w:rPr>
          <w:sz w:val="20"/>
          <w:szCs w:val="20"/>
          <w:color w:val="auto"/>
        </w:rPr>
      </w:pPr>
    </w:p>
    <w:p>
      <w:pPr>
        <w:ind w:firstLine="272"/>
        <w:spacing w:after="0" w:line="275" w:lineRule="auto"/>
        <w:rPr>
          <w:sz w:val="20"/>
          <w:szCs w:val="20"/>
          <w:color w:val="auto"/>
        </w:rPr>
      </w:pPr>
      <w:r>
        <w:rPr>
          <w:rFonts w:ascii="Arial" w:cs="Arial" w:eastAsia="Arial" w:hAnsi="Arial"/>
          <w:sz w:val="14"/>
          <w:szCs w:val="14"/>
          <w:i w:val="1"/>
          <w:iCs w:val="1"/>
          <w:color w:val="auto"/>
        </w:rPr>
        <w:t xml:space="preserve">New York Department of Financial Services (NY DFS). </w:t>
      </w:r>
      <w:r>
        <w:rPr>
          <w:rFonts w:ascii="Arial" w:cs="Arial" w:eastAsia="Arial" w:hAnsi="Arial"/>
          <w:sz w:val="14"/>
          <w:szCs w:val="14"/>
          <w:color w:val="auto"/>
        </w:rPr>
        <w:t>We operate pursuant to certain regulatory requirements with the NY DFS, including obligations arising under a consent order</w:t>
      </w:r>
      <w:r>
        <w:rPr>
          <w:rFonts w:ascii="Arial" w:cs="Arial" w:eastAsia="Arial" w:hAnsi="Arial"/>
          <w:sz w:val="14"/>
          <w:szCs w:val="14"/>
          <w:i w:val="1"/>
          <w:iCs w:val="1"/>
          <w:color w:val="auto"/>
        </w:rPr>
        <w:t xml:space="preserve"> </w:t>
      </w:r>
      <w:r>
        <w:rPr>
          <w:rFonts w:ascii="Arial" w:cs="Arial" w:eastAsia="Arial" w:hAnsi="Arial"/>
          <w:sz w:val="14"/>
          <w:szCs w:val="14"/>
          <w:color w:val="auto"/>
        </w:rPr>
        <w:t>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58" w:lineRule="exact"/>
        <w:rPr>
          <w:sz w:val="20"/>
          <w:szCs w:val="20"/>
          <w:color w:val="auto"/>
        </w:rPr>
      </w:pPr>
    </w:p>
    <w:p>
      <w:pPr>
        <w:ind w:firstLine="272"/>
        <w:spacing w:after="0" w:line="281" w:lineRule="auto"/>
        <w:rPr>
          <w:sz w:val="20"/>
          <w:szCs w:val="20"/>
          <w:color w:val="auto"/>
        </w:rPr>
      </w:pPr>
      <w:r>
        <w:rPr>
          <w:rFonts w:ascii="Arial" w:cs="Arial" w:eastAsia="Arial" w:hAnsi="Arial"/>
          <w:sz w:val="14"/>
          <w:szCs w:val="14"/>
          <w:i w:val="1"/>
          <w:iCs w:val="1"/>
          <w:color w:val="auto"/>
        </w:rPr>
        <w:t>California Department of Financial Protection and Innovation (CA DFPI)</w:t>
      </w:r>
      <w:r>
        <w:rPr>
          <w:rFonts w:ascii="Arial" w:cs="Arial" w:eastAsia="Arial" w:hAnsi="Arial"/>
          <w:sz w:val="14"/>
          <w:szCs w:val="14"/>
          <w:color w:val="auto"/>
        </w:rPr>
        <w:t>. In January 2015 and February 2017, Ocwen Loan Servicing, LLC (OLS) entered into consent orders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In October 2020, we entered into a consent order with the CA DFPI in order to resolve a legacy PHH examination finding and, in conjunction therewith, agreed to pay $62,000 (sixty-two thousand dollars) in penalties. We continue to work with the CA DFPI to address matters they raise with us as well as to fulfill our commitments under the consent order.</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21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Unfunded Lending Commitments</w:t>
      </w:r>
    </w:p>
    <w:p>
      <w:pPr>
        <w:spacing w:after="0" w:line="104" w:lineRule="exact"/>
        <w:rPr>
          <w:sz w:val="20"/>
          <w:szCs w:val="20"/>
          <w:color w:val="auto"/>
        </w:rPr>
      </w:pPr>
    </w:p>
    <w:p>
      <w:pPr>
        <w:ind w:right="80" w:firstLine="272"/>
        <w:spacing w:after="0" w:line="313" w:lineRule="auto"/>
        <w:rPr>
          <w:sz w:val="20"/>
          <w:szCs w:val="20"/>
          <w:color w:val="auto"/>
        </w:rPr>
      </w:pPr>
      <w:r>
        <w:rPr>
          <w:rFonts w:ascii="Arial" w:cs="Arial" w:eastAsia="Arial" w:hAnsi="Arial"/>
          <w:sz w:val="13"/>
          <w:szCs w:val="13"/>
          <w:color w:val="auto"/>
        </w:rPr>
        <w:t>We have originated floating-rate reverse mortgage loans under which the borrowers have additional borrowing capacity of $2.0 billion at June 30, 2021. This additional borrowing capacity is available on a scheduled or unscheduled payment basis. During the six months ended June 30, 2021, we funded $91.8 million out of the $2.0 billion borrowing capacity as of December 31, 2020. We also had short-term commitments to lend $995.0 million and $68.4 million in connection with our forward and reverse mortgage loan IRLCs, respectively, outstanding at June 30, 2021. We finance originated and purchased forward and reverse mortgage loans with repurchase and participation agreements, referred to as warehouse lines.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1" w:name="page52"/>
    <w:bookmarkEnd w:id="51"/>
    <w:p>
      <w:pPr>
        <w:ind w:left="9"/>
        <w:spacing w:after="0"/>
        <w:rPr>
          <w:sz w:val="20"/>
          <w:szCs w:val="20"/>
          <w:color w:val="auto"/>
        </w:rPr>
      </w:pPr>
      <w:r>
        <w:rPr>
          <w:rFonts w:ascii="Arial" w:cs="Arial" w:eastAsia="Arial" w:hAnsi="Arial"/>
          <w:sz w:val="15"/>
          <w:szCs w:val="15"/>
          <w:b w:val="1"/>
          <w:bCs w:val="1"/>
          <w:color w:val="auto"/>
        </w:rPr>
        <w:t>HMBS Issuer Obligations</w:t>
      </w:r>
    </w:p>
    <w:p>
      <w:pPr>
        <w:spacing w:after="0" w:line="104" w:lineRule="exact"/>
        <w:rPr>
          <w:sz w:val="20"/>
          <w:szCs w:val="20"/>
          <w:color w:val="auto"/>
        </w:rPr>
      </w:pPr>
    </w:p>
    <w:p>
      <w:pPr>
        <w:jc w:val="both"/>
        <w:ind w:left="9" w:right="220" w:firstLine="272"/>
        <w:spacing w:after="0" w:line="265" w:lineRule="auto"/>
        <w:rPr>
          <w:sz w:val="20"/>
          <w:szCs w:val="20"/>
          <w:color w:val="auto"/>
        </w:rPr>
      </w:pPr>
      <w:r>
        <w:rPr>
          <w:rFonts w:ascii="Arial" w:cs="Arial" w:eastAsia="Arial" w:hAnsi="Arial"/>
          <w:sz w:val="15"/>
          <w:szCs w:val="15"/>
          <w:color w:val="auto"/>
        </w:rPr>
        <w:t>As an HMBS issuer, we are required to purchase loans out of the Ginnie Mae securitization pools once the outstanding principal balance of a reverse mortgage loan is equal to or greater than 98% of the maximum claim amount (MCA repurchases), or when they become inactive (the borrower is deceased, no longer occupies the property or is delinquent on tax and insurance payments).</w:t>
      </w:r>
    </w:p>
    <w:p>
      <w:pPr>
        <w:spacing w:after="0" w:line="64" w:lineRule="exact"/>
        <w:rPr>
          <w:sz w:val="20"/>
          <w:szCs w:val="20"/>
          <w:color w:val="auto"/>
        </w:rPr>
      </w:pPr>
    </w:p>
    <w:p>
      <w:pPr>
        <w:ind w:left="269"/>
        <w:spacing w:after="0"/>
        <w:rPr>
          <w:sz w:val="20"/>
          <w:szCs w:val="20"/>
          <w:color w:val="auto"/>
        </w:rPr>
      </w:pPr>
      <w:r>
        <w:rPr>
          <w:rFonts w:ascii="Arial" w:cs="Arial" w:eastAsia="Arial" w:hAnsi="Arial"/>
          <w:sz w:val="15"/>
          <w:szCs w:val="15"/>
          <w:color w:val="auto"/>
        </w:rPr>
        <w:t>Activity with regard to HMBS repurchases, primarily MCA repurchases, are as follows:</w:t>
      </w:r>
    </w:p>
    <w:p>
      <w:pPr>
        <w:spacing w:after="0" w:line="209" w:lineRule="exact"/>
        <w:rPr>
          <w:sz w:val="20"/>
          <w:szCs w:val="20"/>
          <w:color w:val="auto"/>
        </w:rPr>
      </w:pPr>
    </w:p>
    <w:p>
      <w:pPr>
        <w:ind w:left="5689"/>
        <w:spacing w:after="0"/>
        <w:rPr>
          <w:sz w:val="20"/>
          <w:szCs w:val="20"/>
          <w:color w:val="auto"/>
        </w:rPr>
      </w:pPr>
      <w:r>
        <w:rPr>
          <w:rFonts w:ascii="Arial" w:cs="Arial" w:eastAsia="Arial" w:hAnsi="Arial"/>
          <w:sz w:val="15"/>
          <w:szCs w:val="15"/>
          <w:b w:val="1"/>
          <w:bCs w:val="1"/>
          <w:color w:val="auto"/>
        </w:rPr>
        <w:t>Six Months Ended June 30, 2021</w:t>
      </w:r>
    </w:p>
    <w:p>
      <w:pPr>
        <w:spacing w:after="0" w:line="22"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Active</w:t>
            </w: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Inactive</w:t>
            </w:r>
          </w:p>
        </w:tc>
        <w:tc>
          <w:tcPr>
            <w:tcW w:w="10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top w:val="single" w:sz="8" w:color="auto"/>
              <w:bottom w:val="single" w:sz="8" w:color="auto"/>
            </w:tcBorders>
          </w:tcPr>
          <w:p>
            <w:pPr>
              <w:spacing w:after="0"/>
              <w:rPr>
                <w:sz w:val="16"/>
                <w:szCs w:val="16"/>
                <w:color w:val="auto"/>
              </w:rPr>
            </w:pPr>
          </w:p>
        </w:tc>
      </w:tr>
      <w:tr>
        <w:trPr>
          <w:trHeight w:val="184"/>
        </w:trPr>
        <w:tc>
          <w:tcPr>
            <w:tcW w:w="2200" w:type="dxa"/>
            <w:vAlign w:val="bottom"/>
          </w:tcPr>
          <w:p>
            <w:pPr>
              <w:spacing w:after="0"/>
              <w:rPr>
                <w:sz w:val="16"/>
                <w:szCs w:val="16"/>
                <w:color w:val="auto"/>
              </w:rPr>
            </w:pPr>
          </w:p>
        </w:tc>
        <w:tc>
          <w:tcPr>
            <w:tcW w:w="1020" w:type="dxa"/>
            <w:vAlign w:val="bottom"/>
          </w:tcPr>
          <w:p>
            <w:pPr>
              <w:ind w:left="440"/>
              <w:spacing w:after="0"/>
              <w:rPr>
                <w:sz w:val="20"/>
                <w:szCs w:val="20"/>
                <w:color w:val="auto"/>
              </w:rPr>
            </w:pPr>
            <w:r>
              <w:rPr>
                <w:rFonts w:ascii="Arial" w:cs="Arial" w:eastAsia="Arial" w:hAnsi="Arial"/>
                <w:sz w:val="15"/>
                <w:szCs w:val="15"/>
                <w:b w:val="1"/>
                <w:bCs w:val="1"/>
                <w:color w:val="auto"/>
                <w:w w:val="98"/>
              </w:rPr>
              <w:t>Number</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6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6"/>
                <w:szCs w:val="16"/>
                <w:color w:val="auto"/>
              </w:rPr>
            </w:pPr>
          </w:p>
        </w:tc>
        <w:tc>
          <w:tcPr>
            <w:tcW w:w="1520" w:type="dxa"/>
            <w:vAlign w:val="bottom"/>
            <w:gridSpan w:val="2"/>
          </w:tcPr>
          <w:p>
            <w:pPr>
              <w:ind w:left="440"/>
              <w:spacing w:after="0"/>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6"/>
                <w:szCs w:val="16"/>
                <w:color w:val="auto"/>
              </w:rPr>
            </w:pPr>
          </w:p>
        </w:tc>
        <w:tc>
          <w:tcPr>
            <w:tcW w:w="1080" w:type="dxa"/>
            <w:vAlign w:val="bottom"/>
          </w:tcPr>
          <w:p>
            <w:pPr>
              <w:jc w:val="right"/>
              <w:ind w:right="36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6"/>
                <w:szCs w:val="16"/>
                <w:color w:val="auto"/>
              </w:rPr>
            </w:pPr>
          </w:p>
        </w:tc>
        <w:tc>
          <w:tcPr>
            <w:tcW w:w="1040" w:type="dxa"/>
            <w:vAlign w:val="bottom"/>
          </w:tcPr>
          <w:p>
            <w:pPr>
              <w:ind w:left="460"/>
              <w:spacing w:after="0"/>
              <w:rPr>
                <w:sz w:val="20"/>
                <w:szCs w:val="20"/>
                <w:color w:val="auto"/>
              </w:rPr>
            </w:pPr>
            <w:r>
              <w:rPr>
                <w:rFonts w:ascii="Arial" w:cs="Arial" w:eastAsia="Arial" w:hAnsi="Arial"/>
                <w:sz w:val="15"/>
                <w:szCs w:val="15"/>
                <w:b w:val="1"/>
                <w:bCs w:val="1"/>
                <w:color w:val="auto"/>
                <w:w w:val="98"/>
              </w:rPr>
              <w:t>Number</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64"/>
              <w:spacing w:after="0"/>
              <w:rPr>
                <w:sz w:val="20"/>
                <w:szCs w:val="20"/>
                <w:color w:val="auto"/>
              </w:rPr>
            </w:pPr>
            <w:r>
              <w:rPr>
                <w:rFonts w:ascii="Arial" w:cs="Arial" w:eastAsia="Arial" w:hAnsi="Arial"/>
                <w:sz w:val="15"/>
                <w:szCs w:val="15"/>
                <w:b w:val="1"/>
                <w:bCs w:val="1"/>
                <w:color w:val="auto"/>
              </w:rPr>
              <w:t>Amount</w:t>
            </w:r>
          </w:p>
        </w:tc>
      </w:tr>
      <w:tr>
        <w:trPr>
          <w:trHeight w:val="184"/>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0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29,852</w:t>
            </w: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56,449</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86,301</w:t>
            </w:r>
          </w:p>
        </w:tc>
      </w:tr>
      <w:tr>
        <w:trPr>
          <w:trHeight w:val="192"/>
        </w:trPr>
        <w:tc>
          <w:tcPr>
            <w:tcW w:w="3220" w:type="dxa"/>
            <w:vAlign w:val="bottom"/>
            <w:gridSpan w:val="2"/>
          </w:tcPr>
          <w:p>
            <w:pPr>
              <w:ind w:left="120"/>
              <w:spacing w:after="0"/>
              <w:rPr>
                <w:sz w:val="20"/>
                <w:szCs w:val="20"/>
                <w:color w:val="auto"/>
              </w:rPr>
            </w:pPr>
            <w:r>
              <w:rPr>
                <w:rFonts w:ascii="Arial" w:cs="Arial" w:eastAsia="Arial" w:hAnsi="Arial"/>
                <w:sz w:val="15"/>
                <w:szCs w:val="15"/>
                <w:color w:val="auto"/>
              </w:rPr>
              <w:t>Additions</w:t>
            </w:r>
          </w:p>
        </w:tc>
        <w:tc>
          <w:tcPr>
            <w:tcW w:w="40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36,681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25,141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61,822</w:t>
            </w:r>
          </w:p>
        </w:tc>
      </w:tr>
      <w:tr>
        <w:trPr>
          <w:trHeight w:val="194"/>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Recoveries, net (1)</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(38,404)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(48,459)</w:t>
            </w:r>
          </w:p>
        </w:tc>
      </w:tr>
      <w:tr>
        <w:trPr>
          <w:trHeight w:val="192"/>
        </w:trPr>
        <w:tc>
          <w:tcPr>
            <w:tcW w:w="3220" w:type="dxa"/>
            <w:vAlign w:val="bottom"/>
            <w:gridSpan w:val="2"/>
          </w:tcPr>
          <w:p>
            <w:pPr>
              <w:ind w:left="120"/>
              <w:spacing w:after="0"/>
              <w:rPr>
                <w:sz w:val="20"/>
                <w:szCs w:val="20"/>
                <w:color w:val="auto"/>
              </w:rPr>
            </w:pPr>
            <w:r>
              <w:rPr>
                <w:rFonts w:ascii="Arial" w:cs="Arial" w:eastAsia="Arial" w:hAnsi="Arial"/>
                <w:sz w:val="15"/>
                <w:szCs w:val="15"/>
                <w:color w:val="auto"/>
              </w:rPr>
              <w:t>Transfers</w:t>
            </w:r>
          </w:p>
        </w:tc>
        <w:tc>
          <w:tcPr>
            <w:tcW w:w="4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(4,713)</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4,713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2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value</w:t>
            </w:r>
          </w:p>
        </w:tc>
        <w:tc>
          <w:tcPr>
            <w:tcW w:w="10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(1,484)</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(1,475)</w:t>
            </w:r>
          </w:p>
        </w:tc>
      </w:tr>
      <w:tr>
        <w:trPr>
          <w:trHeight w:val="185"/>
        </w:trPr>
        <w:tc>
          <w:tcPr>
            <w:tcW w:w="3220" w:type="dxa"/>
            <w:vAlign w:val="bottom"/>
            <w:gridSpan w:val="2"/>
          </w:tcPr>
          <w:p>
            <w:pPr>
              <w:ind w:left="20"/>
              <w:spacing w:after="0"/>
              <w:rPr>
                <w:sz w:val="20"/>
                <w:szCs w:val="20"/>
                <w:color w:val="auto"/>
              </w:rPr>
            </w:pPr>
            <w:r>
              <w:rPr>
                <w:rFonts w:ascii="Arial" w:cs="Arial" w:eastAsia="Arial" w:hAnsi="Arial"/>
                <w:sz w:val="15"/>
                <w:szCs w:val="15"/>
                <w:b w:val="1"/>
                <w:bCs w:val="1"/>
                <w:color w:val="auto"/>
              </w:rPr>
              <w:t>Ending balance</w:t>
            </w:r>
          </w:p>
        </w:tc>
        <w:tc>
          <w:tcPr>
            <w:tcW w:w="40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23,425</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378</w:t>
            </w:r>
          </w:p>
        </w:tc>
        <w:tc>
          <w:tcPr>
            <w:tcW w:w="100" w:type="dxa"/>
            <w:vAlign w:val="bottom"/>
          </w:tcPr>
          <w:p>
            <w:pPr>
              <w:spacing w:after="0"/>
              <w:rPr>
                <w:sz w:val="16"/>
                <w:szCs w:val="16"/>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74,764</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476</w:t>
            </w:r>
          </w:p>
        </w:tc>
        <w:tc>
          <w:tcPr>
            <w:tcW w:w="10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98,189</w:t>
            </w:r>
          </w:p>
        </w:tc>
      </w:tr>
      <w:tr>
        <w:trPr>
          <w:trHeight w:val="20"/>
        </w:trPr>
        <w:tc>
          <w:tcPr>
            <w:tcW w:w="2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69" w:hanging="269"/>
        <w:spacing w:after="0"/>
        <w:tabs>
          <w:tab w:leader="none" w:pos="269"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amounts received upon assignment of loan to HUD, loan payoff, REO liquidation and claim proceeds less any amounts charged off as unrecoverable.</w:t>
      </w:r>
    </w:p>
    <w:p>
      <w:pPr>
        <w:spacing w:after="0" w:line="82" w:lineRule="exact"/>
        <w:rPr>
          <w:rFonts w:ascii="Arial" w:cs="Arial" w:eastAsia="Arial" w:hAnsi="Arial"/>
          <w:sz w:val="14"/>
          <w:szCs w:val="14"/>
          <w:color w:val="auto"/>
        </w:rPr>
      </w:pPr>
    </w:p>
    <w:p>
      <w:pPr>
        <w:ind w:left="9"/>
        <w:spacing w:after="0"/>
        <w:rPr>
          <w:rFonts w:ascii="Arial" w:cs="Arial" w:eastAsia="Arial" w:hAnsi="Arial"/>
          <w:sz w:val="14"/>
          <w:szCs w:val="14"/>
          <w:color w:val="auto"/>
        </w:rPr>
      </w:pPr>
      <w:r>
        <w:rPr>
          <w:rFonts w:ascii="Arial" w:cs="Arial" w:eastAsia="Arial" w:hAnsi="Arial"/>
          <w:sz w:val="15"/>
          <w:szCs w:val="15"/>
          <w:b w:val="1"/>
          <w:bCs w:val="1"/>
          <w:color w:val="auto"/>
        </w:rPr>
        <w:t>NRZ Relationship</w:t>
      </w:r>
    </w:p>
    <w:p>
      <w:pPr>
        <w:spacing w:after="0" w:line="104" w:lineRule="exact"/>
        <w:rPr>
          <w:sz w:val="20"/>
          <w:szCs w:val="20"/>
          <w:color w:val="auto"/>
        </w:rPr>
      </w:pPr>
    </w:p>
    <w:p>
      <w:pPr>
        <w:jc w:val="both"/>
        <w:ind w:left="9" w:right="120" w:firstLine="272"/>
        <w:spacing w:after="0" w:line="261" w:lineRule="auto"/>
        <w:rPr>
          <w:sz w:val="20"/>
          <w:szCs w:val="20"/>
          <w:color w:val="auto"/>
        </w:rPr>
      </w:pPr>
      <w:r>
        <w:rPr>
          <w:rFonts w:ascii="Arial" w:cs="Arial" w:eastAsia="Arial" w:hAnsi="Arial"/>
          <w:sz w:val="15"/>
          <w:szCs w:val="15"/>
          <w:color w:val="auto"/>
        </w:rPr>
        <w:t>Our Servicing segment has exposure to concentration risk and client retention risk. As of June 30, 2021, our servicing portfolio included significant client relationships with NRZ which represented 26% and 36% of our servicing portfolio UPB and loan count, respectively, and approximately 63% of all delinquent loans that Ocwen services. The current terms of our agreements with NRZ extend through July 2022. Currently, subject to proper notice (generally 180 days’ notice), the payment of termination fees and certain other provisions, NRZ has rights to terminate the legacy Ocwen agreements for convenience.</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MAV Right of First Offer</w:t>
      </w:r>
    </w:p>
    <w:p>
      <w:pPr>
        <w:spacing w:after="0" w:line="104" w:lineRule="exact"/>
        <w:rPr>
          <w:sz w:val="20"/>
          <w:szCs w:val="20"/>
          <w:color w:val="auto"/>
        </w:rPr>
      </w:pPr>
    </w:p>
    <w:p>
      <w:pPr>
        <w:ind w:left="9" w:right="120" w:firstLine="272"/>
        <w:spacing w:after="0" w:line="265" w:lineRule="auto"/>
        <w:rPr>
          <w:sz w:val="20"/>
          <w:szCs w:val="20"/>
          <w:color w:val="auto"/>
        </w:rPr>
      </w:pPr>
      <w:r>
        <w:rPr>
          <w:rFonts w:ascii="Arial" w:cs="Arial" w:eastAsia="Arial" w:hAnsi="Arial"/>
          <w:sz w:val="15"/>
          <w:szCs w:val="15"/>
          <w:color w:val="auto"/>
        </w:rPr>
        <w:t>Until Ocwen and Oaktree have funded their pro-rata shares of the $250 million total investment in MAV, Ocwen and its affiliates may not acquire, without Oaktree’s prior written approval, GSE MSRs that meet certain underwriting and other criteria (such criteria are referred to as the “buy-box”) unless Ocwen notifies MAV of the opportunity and MAV does not pursue it by submitting a competitive bid to the MSR seller.</w:t>
      </w:r>
    </w:p>
    <w:p>
      <w:pPr>
        <w:spacing w:after="0" w:line="64" w:lineRule="exact"/>
        <w:rPr>
          <w:sz w:val="20"/>
          <w:szCs w:val="20"/>
          <w:color w:val="auto"/>
        </w:rPr>
      </w:pPr>
    </w:p>
    <w:p>
      <w:pPr>
        <w:jc w:val="both"/>
        <w:ind w:left="9" w:right="80" w:firstLine="272"/>
        <w:spacing w:after="0" w:line="285" w:lineRule="auto"/>
        <w:rPr>
          <w:sz w:val="20"/>
          <w:szCs w:val="20"/>
          <w:color w:val="auto"/>
        </w:rPr>
      </w:pPr>
      <w:r>
        <w:rPr>
          <w:rFonts w:ascii="Arial" w:cs="Arial" w:eastAsia="Arial" w:hAnsi="Arial"/>
          <w:sz w:val="14"/>
          <w:szCs w:val="14"/>
          <w:color w:val="auto"/>
        </w:rPr>
        <w:t>In addition, until the earlier of (i) the time that MAV has been fully funded and (ii) May 3, 2024 (subject to two annual extensions by mutual agreement), if Ocwen seeks to sell any GSE MSRs that meet the buy-box, Ocwen must first offer such MSRs to MAV before initiating a sale process with a third party. If MAV does not accept Ocwen’s offer, Ocwen may sell the MSRs to a third party on terms no more favorable to the purchaser than those offered to MAV. The price at which Ocwen and its affiliates will offer MSRs to MAV will be based on the valuation of an independent third-party. This first offer provision does not apply to MSRs acquired by PMC prior to May 3, 2021.</w:t>
      </w:r>
    </w:p>
    <w:p>
      <w:pPr>
        <w:spacing w:after="0" w:line="52" w:lineRule="exact"/>
        <w:rPr>
          <w:sz w:val="20"/>
          <w:szCs w:val="20"/>
          <w:color w:val="auto"/>
        </w:rPr>
      </w:pPr>
    </w:p>
    <w:p>
      <w:pPr>
        <w:ind w:left="9" w:right="500" w:firstLine="272"/>
        <w:spacing w:after="0" w:line="278" w:lineRule="auto"/>
        <w:rPr>
          <w:sz w:val="20"/>
          <w:szCs w:val="20"/>
          <w:color w:val="auto"/>
        </w:rPr>
      </w:pPr>
      <w:r>
        <w:rPr>
          <w:rFonts w:ascii="Arial" w:cs="Arial" w:eastAsia="Arial" w:hAnsi="Arial"/>
          <w:sz w:val="15"/>
          <w:szCs w:val="15"/>
          <w:color w:val="auto"/>
        </w:rPr>
        <w:t>Ocwen and Oaktree have agreed to reasonably consider additional sources of MSR purchases that Ocwen or PMC may pursue to support each such party’s balance sheet and acquisition opportunities, including reallocating MSR opportunities and MSR origination channels to MAV or PMC, as applicable.</w:t>
      </w:r>
    </w:p>
    <w:p>
      <w:pPr>
        <w:spacing w:after="0" w:line="5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Acquisition</w:t>
      </w:r>
    </w:p>
    <w:p>
      <w:pPr>
        <w:spacing w:after="0" w:line="104" w:lineRule="exact"/>
        <w:rPr>
          <w:sz w:val="20"/>
          <w:szCs w:val="20"/>
          <w:color w:val="auto"/>
        </w:rPr>
      </w:pPr>
    </w:p>
    <w:p>
      <w:pPr>
        <w:ind w:left="9" w:right="20" w:firstLine="272"/>
        <w:spacing w:after="0" w:line="258" w:lineRule="auto"/>
        <w:rPr>
          <w:sz w:val="20"/>
          <w:szCs w:val="20"/>
          <w:color w:val="auto"/>
        </w:rPr>
      </w:pPr>
      <w:r>
        <w:rPr>
          <w:rFonts w:ascii="Arial" w:cs="Arial" w:eastAsia="Arial" w:hAnsi="Arial"/>
          <w:sz w:val="15"/>
          <w:szCs w:val="15"/>
          <w:color w:val="auto"/>
        </w:rPr>
        <w:t>On June 17, 2021, PMC entered into an asset purchase agreement with Reverse Mortgage Solutions, Inc. (RMS) and its parent, Mortgage Assets Management, LLC (MAM), to acquire certain assets of RMS related to reverse mortgage subservicing, including subservicing contracts and foreclosed properties. PMC has extended employment offers to approximately 270 RMS employees and will assume certain liabilities, including those in connection with the continuing employees. As of June 30, 2021, RMS serviced approximately 37,000 reverse mortgages, or approximately $8.4 billion in UPB. As part of the transaction, PMC expects to become the subservicer under a five-year subservicing agreement for reverse mortgages owned by RMS and MAM.</w:t>
      </w:r>
    </w:p>
    <w:p>
      <w:pPr>
        <w:spacing w:after="0" w:line="71" w:lineRule="exact"/>
        <w:rPr>
          <w:sz w:val="20"/>
          <w:szCs w:val="20"/>
          <w:color w:val="auto"/>
        </w:rPr>
      </w:pPr>
    </w:p>
    <w:p>
      <w:pPr>
        <w:ind w:left="9" w:right="420" w:firstLine="272"/>
        <w:spacing w:after="0" w:line="278" w:lineRule="auto"/>
        <w:rPr>
          <w:sz w:val="20"/>
          <w:szCs w:val="20"/>
          <w:color w:val="auto"/>
        </w:rPr>
      </w:pPr>
      <w:r>
        <w:rPr>
          <w:rFonts w:ascii="Arial" w:cs="Arial" w:eastAsia="Arial" w:hAnsi="Arial"/>
          <w:sz w:val="15"/>
          <w:szCs w:val="15"/>
          <w:color w:val="auto"/>
        </w:rPr>
        <w:t>The aggregate purchase price is estimated to be approximately $12.4 million and will be subject to certain post-closing adjustments. The transaction is expected to close in the second half of 2021, subject to appropriate regulatory approvals and other customary closing conditions.</w:t>
      </w:r>
    </w:p>
    <w:p>
      <w:pPr>
        <w:spacing w:after="0" w:line="200" w:lineRule="exact"/>
        <w:rPr>
          <w:sz w:val="20"/>
          <w:szCs w:val="20"/>
          <w:color w:val="auto"/>
        </w:rPr>
      </w:pPr>
    </w:p>
    <w:p>
      <w:pPr>
        <w:spacing w:after="0" w:line="31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9"/>
          </w:cols>
          <w:pgMar w:left="311" w:top="862" w:right="33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auto"/>
        </w:rPr>
        <w:t>Note 22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54" w:lineRule="exact"/>
        <w:rPr>
          <w:sz w:val="20"/>
          <w:szCs w:val="20"/>
          <w:color w:val="auto"/>
        </w:rPr>
      </w:pPr>
    </w:p>
    <w:p>
      <w:pPr>
        <w:ind w:firstLine="272"/>
        <w:spacing w:after="0" w:line="276" w:lineRule="auto"/>
        <w:rPr>
          <w:sz w:val="20"/>
          <w:szCs w:val="20"/>
          <w:color w:val="auto"/>
        </w:rPr>
      </w:pPr>
      <w:r>
        <w:rPr>
          <w:rFonts w:ascii="Arial" w:cs="Arial" w:eastAsia="Arial" w:hAnsi="Arial"/>
          <w:sz w:val="14"/>
          <w:szCs w:val="14"/>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104" w:lineRule="exact"/>
        <w:rPr>
          <w:sz w:val="20"/>
          <w:szCs w:val="20"/>
          <w:color w:val="auto"/>
        </w:rPr>
      </w:pPr>
    </w:p>
    <w:p>
      <w:pPr>
        <w:ind w:right="140" w:firstLine="272"/>
        <w:spacing w:after="0" w:line="307" w:lineRule="auto"/>
        <w:rPr>
          <w:sz w:val="20"/>
          <w:szCs w:val="20"/>
          <w:color w:val="auto"/>
        </w:rPr>
      </w:pPr>
      <w:r>
        <w:rPr>
          <w:rFonts w:ascii="Arial" w:cs="Arial" w:eastAsia="Arial" w:hAnsi="Arial"/>
          <w:sz w:val="13"/>
          <w:szCs w:val="13"/>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In addition, we may be a party or potential party to threatened or pending legal proceedings brought by fair-housing advocates, commercial counterparties, including claims by parties to whom we have sold loans, MSRs or other assets, parties on whose behalf we service or serviced mortgage loans, parties who provide ancillary services including property preservation and other post-foreclosure related services, and parties who provide or provided consulting or other services to Ocwen.</w:t>
      </w:r>
    </w:p>
    <w:p>
      <w:pPr>
        <w:spacing w:after="0" w:line="42" w:lineRule="exact"/>
        <w:rPr>
          <w:sz w:val="20"/>
          <w:szCs w:val="20"/>
          <w:color w:val="auto"/>
        </w:rPr>
      </w:pPr>
    </w:p>
    <w:p>
      <w:pPr>
        <w:ind w:right="20" w:firstLine="272"/>
        <w:spacing w:after="0" w:line="273" w:lineRule="auto"/>
        <w:rPr>
          <w:sz w:val="20"/>
          <w:szCs w:val="20"/>
          <w:color w:val="auto"/>
        </w:rPr>
      </w:pPr>
      <w:r>
        <w:rPr>
          <w:rFonts w:ascii="Arial" w:cs="Arial" w:eastAsia="Arial" w:hAnsi="Arial"/>
          <w:sz w:val="14"/>
          <w:szCs w:val="14"/>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67" w:lineRule="exact"/>
        <w:rPr>
          <w:sz w:val="20"/>
          <w:szCs w:val="20"/>
          <w:color w:val="auto"/>
        </w:rPr>
      </w:pPr>
    </w:p>
    <w:p>
      <w:pPr>
        <w:ind w:right="200" w:firstLine="272"/>
        <w:spacing w:after="0" w:line="261" w:lineRule="auto"/>
        <w:rPr>
          <w:sz w:val="20"/>
          <w:szCs w:val="20"/>
          <w:color w:val="auto"/>
        </w:rPr>
      </w:pPr>
      <w:r>
        <w:rPr>
          <w:rFonts w:ascii="Arial" w:cs="Arial" w:eastAsia="Arial" w:hAnsi="Arial"/>
          <w:sz w:val="15"/>
          <w:szCs w:val="15"/>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67" w:lineRule="exact"/>
        <w:rPr>
          <w:sz w:val="20"/>
          <w:szCs w:val="20"/>
          <w:color w:val="auto"/>
        </w:rPr>
      </w:pPr>
    </w:p>
    <w:p>
      <w:pPr>
        <w:ind w:right="20" w:firstLine="272"/>
        <w:spacing w:after="0" w:line="279" w:lineRule="auto"/>
        <w:rPr>
          <w:sz w:val="20"/>
          <w:szCs w:val="20"/>
          <w:color w:val="auto"/>
        </w:rPr>
      </w:pPr>
      <w:r>
        <w:rPr>
          <w:rFonts w:ascii="Arial" w:cs="Arial" w:eastAsia="Arial" w:hAnsi="Arial"/>
          <w:sz w:val="14"/>
          <w:szCs w:val="14"/>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1203"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color w:val="auto"/>
        </w:rPr>
        <w:t>legal fees, was $46.9 million at June 30, 2021. We cannot currently estimate the amount, if any, of reasonably possible losses above amounts that have been recorded at June 30, 2021.</w:t>
      </w:r>
    </w:p>
    <w:p>
      <w:pPr>
        <w:spacing w:after="0" w:line="123" w:lineRule="exact"/>
        <w:rPr>
          <w:sz w:val="20"/>
          <w:szCs w:val="20"/>
          <w:color w:val="auto"/>
        </w:rPr>
      </w:pPr>
    </w:p>
    <w:p>
      <w:pPr>
        <w:ind w:firstLine="272"/>
        <w:spacing w:after="0" w:line="275" w:lineRule="auto"/>
        <w:rPr>
          <w:sz w:val="20"/>
          <w:szCs w:val="20"/>
          <w:color w:val="auto"/>
        </w:rPr>
      </w:pPr>
      <w:r>
        <w:rPr>
          <w:rFonts w:ascii="Arial" w:cs="Arial" w:eastAsia="Arial" w:hAnsi="Arial"/>
          <w:sz w:val="14"/>
          <w:szCs w:val="14"/>
          <w:color w:val="auto"/>
        </w:rPr>
        <w:t>As previously disclosed, we are subject to individual lawsuits relating to our FDCPA compliance and putative state law class actions based on the FDCPA and state laws similar to the FDCPA. Ocwen has recently agreed to a settlement in principle of a putative class action</w:t>
      </w:r>
      <w:r>
        <w:rPr>
          <w:rFonts w:ascii="Arial" w:cs="Arial" w:eastAsia="Arial" w:hAnsi="Arial"/>
          <w:sz w:val="14"/>
          <w:szCs w:val="14"/>
          <w:i w:val="1"/>
          <w:iCs w:val="1"/>
          <w:color w:val="auto"/>
        </w:rPr>
        <w:t>, Morris v. PHH Mortgage Corp.</w:t>
      </w:r>
      <w:r>
        <w:rPr>
          <w:rFonts w:ascii="Arial" w:cs="Arial" w:eastAsia="Arial" w:hAnsi="Arial"/>
          <w:sz w:val="14"/>
          <w:szCs w:val="14"/>
          <w:color w:val="auto"/>
        </w:rPr>
        <w:t xml:space="preserve">, filed in March 2020 in the United States District Court for the Southern District of Florida, alleging that PMC’s and legacy Ocwen’s practices of charging a fee to borrowers who voluntarily choose to use certain optional expedited payment options violates the FDCPA and its state law analogs. Several similar putative class actions have been filed against PMC and Ocwen since July 2019. Following mediation, PMC agreed to the terms of a settlement agreement to resolve all claims in the </w:t>
      </w:r>
      <w:r>
        <w:rPr>
          <w:rFonts w:ascii="Arial" w:cs="Arial" w:eastAsia="Arial" w:hAnsi="Arial"/>
          <w:sz w:val="14"/>
          <w:szCs w:val="14"/>
          <w:i w:val="1"/>
          <w:iCs w:val="1"/>
          <w:color w:val="auto"/>
        </w:rPr>
        <w:t>Morris</w:t>
      </w:r>
      <w:r>
        <w:rPr>
          <w:rFonts w:ascii="Arial" w:cs="Arial" w:eastAsia="Arial" w:hAnsi="Arial"/>
          <w:sz w:val="14"/>
          <w:szCs w:val="14"/>
          <w:color w:val="auto"/>
        </w:rPr>
        <w:t xml:space="preserve"> matter. A motion requesting preliminary approval of the settlement was filed on August 25, 2020. Several third parties, including a group of State Attorneys General, have filed papers opposing preliminary approval, and these third parties could ultimately file objections to the proposed settlement. Following the preliminary approval hearing, PMC and plaintiffs renegotiated portions of the settlement agreement to address several questions raised by the Court, and subsequently filed a renewed motion for preliminary approval. Ocwen expects final approval of the </w:t>
      </w:r>
      <w:r>
        <w:rPr>
          <w:rFonts w:ascii="Arial" w:cs="Arial" w:eastAsia="Arial" w:hAnsi="Arial"/>
          <w:sz w:val="14"/>
          <w:szCs w:val="14"/>
          <w:i w:val="1"/>
          <w:iCs w:val="1"/>
          <w:color w:val="auto"/>
        </w:rPr>
        <w:t>Morris</w:t>
      </w:r>
      <w:r>
        <w:rPr>
          <w:rFonts w:ascii="Arial" w:cs="Arial" w:eastAsia="Arial" w:hAnsi="Arial"/>
          <w:sz w:val="14"/>
          <w:szCs w:val="14"/>
          <w:color w:val="auto"/>
        </w:rPr>
        <w:t xml:space="preserve"> settlement will resolve the claims of the majority of the putative class members described in the other similar cases that Ocwen is defending. Ocwen cannot guarantee that the proposed settlement will receive final approval and in the absence of such approval, Ocwen cannot predict the eventual outcome of the </w:t>
      </w:r>
      <w:r>
        <w:rPr>
          <w:rFonts w:ascii="Arial" w:cs="Arial" w:eastAsia="Arial" w:hAnsi="Arial"/>
          <w:sz w:val="14"/>
          <w:szCs w:val="14"/>
          <w:i w:val="1"/>
          <w:iCs w:val="1"/>
          <w:color w:val="auto"/>
        </w:rPr>
        <w:t>Morris</w:t>
      </w:r>
      <w:r>
        <w:rPr>
          <w:rFonts w:ascii="Arial" w:cs="Arial" w:eastAsia="Arial" w:hAnsi="Arial"/>
          <w:sz w:val="14"/>
          <w:szCs w:val="14"/>
          <w:color w:val="auto"/>
        </w:rPr>
        <w:t xml:space="preserve"> proceeding and similar putative class actions.</w:t>
      </w:r>
    </w:p>
    <w:p>
      <w:pPr>
        <w:spacing w:after="0" w:line="61" w:lineRule="exact"/>
        <w:rPr>
          <w:sz w:val="20"/>
          <w:szCs w:val="20"/>
          <w:color w:val="auto"/>
        </w:rPr>
      </w:pPr>
    </w:p>
    <w:p>
      <w:pPr>
        <w:ind w:right="20" w:firstLine="272"/>
        <w:spacing w:after="0" w:line="275" w:lineRule="auto"/>
        <w:rPr>
          <w:sz w:val="20"/>
          <w:szCs w:val="20"/>
          <w:color w:val="auto"/>
        </w:rPr>
      </w:pPr>
      <w:r>
        <w:rPr>
          <w:rFonts w:ascii="Arial" w:cs="Arial" w:eastAsia="Arial" w:hAnsi="Arial"/>
          <w:sz w:val="14"/>
          <w:szCs w:val="14"/>
          <w:color w:val="auto"/>
        </w:rPr>
        <w:t>In addition, we continue to be involved in legacy matters arising prior to Ocwen’s October 2018 acquisition of PHH, including a putative class action filed in 2008 in the United States District Court for the Eastern District of California against PHH and related entities in alleging that PHH’s legacy mortgage reinsurance arrangements between its captive reinsurer, Atrium Insurance Corporation, and certain mortgage insurance providers violated RESPA. See Munoz v. PHH Mortgage Corp. et al., No. 1:08-cv-00759-DAD-BAM (E.D. Ca.). In June 2015, the court certified a class of borrowers who obtained loans with private mortgage insurance through PHH’s captive reinsurance arrangement between June 2, 2007 and December 31, 2009. PHH has asserted numerous defenses to the merits of the case. On August 12, 2020, the Court granted, in part, Plaintiffs’ Motion for Partial Summary Judgment. The only issue remaining for trial is whether the reinsurance services provided by PHH’s captive reinsurance subsidiary, Atrium, were actually provided in order for the safe harbor provision of RESPA to apply. Pre-trial conferences were held on February 1, 2021 and May 24, 2021. Following the pre-trial conferences, the Court scheduled trial to begin on February 15, 2022. PHH accrued $2.5 million when the case was filed in 2008 and that amount is included in the $46.9 million legal and regulatory accrual referenced above.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reputation, financial condition liquidity and results of operations could be materially and adversely affected.</w:t>
      </w:r>
    </w:p>
    <w:p>
      <w:pPr>
        <w:spacing w:after="0" w:line="58" w:lineRule="exact"/>
        <w:rPr>
          <w:sz w:val="20"/>
          <w:szCs w:val="20"/>
          <w:color w:val="auto"/>
        </w:rPr>
      </w:pPr>
    </w:p>
    <w:p>
      <w:pPr>
        <w:jc w:val="both"/>
        <w:ind w:right="160" w:firstLine="272"/>
        <w:spacing w:after="0" w:line="296" w:lineRule="auto"/>
        <w:rPr>
          <w:sz w:val="20"/>
          <w:szCs w:val="20"/>
          <w:color w:val="auto"/>
        </w:rPr>
      </w:pPr>
      <w:r>
        <w:rPr>
          <w:rFonts w:ascii="Arial" w:cs="Arial" w:eastAsia="Arial" w:hAnsi="Arial"/>
          <w:sz w:val="13"/>
          <w:szCs w:val="13"/>
          <w:color w:val="auto"/>
        </w:rPr>
        <w:t>The same plaintiffs who filed a TCPA class action against Ocwen subsequently filed a similar class action against trustees of RMBS trusts based on vicarious liability for Ocwen’s alleged non-compliance with the TCPA. This class action filed against the trustees has settled, and while the trustees previously have indicated their intent to seek indemnification from Ocwen based on the vicarious liability claims, they have yet to take any formal action. Additional lawsuits have been and may be filed against us in relation to our TCPA compliance.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However, a recent Supreme Court decision significantly undercuts the predominant theory of liability under the TCPA, and should provide even greater defenses on which Ocwen can rely when defending existing lawsuits or any additional lawsuits that may be filed. Nevertheless, given the recency of this Supreme Court decision, and the lack of opportunity for lower courts to interpret and apply it, it remains difficult to predict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73" w:lineRule="exact"/>
        <w:rPr>
          <w:sz w:val="20"/>
          <w:szCs w:val="20"/>
          <w:color w:val="auto"/>
        </w:rPr>
      </w:pPr>
    </w:p>
    <w:p>
      <w:pPr>
        <w:ind w:right="120" w:firstLine="272"/>
        <w:spacing w:after="0" w:line="276" w:lineRule="auto"/>
        <w:rPr>
          <w:sz w:val="20"/>
          <w:szCs w:val="20"/>
          <w:color w:val="auto"/>
        </w:rPr>
      </w:pPr>
      <w:r>
        <w:rPr>
          <w:rFonts w:ascii="Arial" w:cs="Arial" w:eastAsia="Arial" w:hAnsi="Arial"/>
          <w:sz w:val="14"/>
          <w:szCs w:val="14"/>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w:t>
      </w:r>
      <w:r>
        <w:rPr>
          <w:rFonts w:ascii="Arial" w:cs="Arial" w:eastAsia="Arial" w:hAnsi="Arial"/>
          <w:sz w:val="14"/>
          <w:szCs w:val="14"/>
          <w:i w:val="1"/>
          <w:iCs w:val="1"/>
          <w:color w:val="auto"/>
        </w:rPr>
        <w:t>See Weiner v. Ocwen Financial Corp., et al</w:t>
      </w:r>
      <w:r>
        <w:rPr>
          <w:rFonts w:ascii="Arial" w:cs="Arial" w:eastAsia="Arial" w:hAnsi="Arial"/>
          <w:sz w:val="14"/>
          <w:szCs w:val="14"/>
          <w:color w:val="auto"/>
        </w:rPr>
        <w:t xml:space="preserve">.; 2:14-cv-02597-MCE-DB. Ocwen’s motion for summary judgment, filed in June 2019, was denied in May 2020; however, the court did rule that plaintiff’ recoverable damages are limited to out-of-pocket costs, </w:t>
      </w:r>
      <w:r>
        <w:rPr>
          <w:rFonts w:ascii="Arial" w:cs="Arial" w:eastAsia="Arial" w:hAnsi="Arial"/>
          <w:sz w:val="14"/>
          <w:szCs w:val="14"/>
          <w:i w:val="1"/>
          <w:iCs w:val="1"/>
          <w:color w:val="auto"/>
        </w:rPr>
        <w:t>i.e.</w:t>
      </w:r>
      <w:r>
        <w:rPr>
          <w:rFonts w:ascii="Arial" w:cs="Arial" w:eastAsia="Arial" w:hAnsi="Arial"/>
          <w:sz w:val="14"/>
          <w:szCs w:val="14"/>
          <w:color w:val="auto"/>
        </w:rPr>
        <w:t>, the amount of marked-up fees actually paid, rather than the entire cost of the valuation that plaintiffs sought. A jury trial was recently rescheduled to commence March 7, 2022.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7" w:right="319" w:bottom="1440" w:gutter="0" w:footer="0" w:header="0"/>
        </w:sectPr>
      </w:pPr>
    </w:p>
    <w:bookmarkStart w:id="54" w:name="page55"/>
    <w:bookmarkEnd w:id="54"/>
    <w:p>
      <w:pPr>
        <w:ind w:left="9" w:right="20" w:firstLine="272"/>
        <w:spacing w:after="0" w:line="278" w:lineRule="auto"/>
        <w:rPr>
          <w:sz w:val="20"/>
          <w:szCs w:val="20"/>
          <w:color w:val="auto"/>
        </w:rPr>
      </w:pPr>
      <w:r>
        <w:rPr>
          <w:rFonts w:ascii="Arial" w:cs="Arial" w:eastAsia="Arial" w:hAnsi="Arial"/>
          <w:sz w:val="15"/>
          <w:szCs w:val="15"/>
          <w:color w:val="auto"/>
        </w:rPr>
        <w:t>From time to time we are also subject to indemnification claims from contractual parties (i) on whose behalf we service or subservice loans, or did so in the past and (ii) to whom we sold loans or MSRs.</w:t>
      </w:r>
    </w:p>
    <w:p>
      <w:pPr>
        <w:spacing w:after="0" w:line="54" w:lineRule="exact"/>
        <w:rPr>
          <w:sz w:val="20"/>
          <w:szCs w:val="20"/>
          <w:color w:val="auto"/>
        </w:rPr>
      </w:pPr>
    </w:p>
    <w:p>
      <w:pPr>
        <w:ind w:left="9" w:right="20" w:firstLine="272"/>
        <w:spacing w:after="0" w:line="275" w:lineRule="auto"/>
        <w:rPr>
          <w:sz w:val="20"/>
          <w:szCs w:val="20"/>
          <w:color w:val="auto"/>
        </w:rPr>
      </w:pPr>
      <w:r>
        <w:rPr>
          <w:rFonts w:ascii="Arial" w:cs="Arial" w:eastAsia="Arial" w:hAnsi="Arial"/>
          <w:sz w:val="14"/>
          <w:szCs w:val="14"/>
          <w:color w:val="auto"/>
        </w:rPr>
        <w:t>We are currently involved in a dispute with a former subservicing client, HSBC Bank USA, N.A. (HSBC), which filed a complaint in the Supreme Court of the State of New York against PHH. See HSBC Bank USA, N.A. v. PHH Mortgage Corp.; (Supreme Court of the State of N.Y.; Index No. 655868/2020). HSBC’s claims relate to alleged breaches of agreements entered into under a prior subservicing arrangement. We believe we have strong factual and legal defenses to all of HSBC’s claims and are vigorously defending the action. Ocwen is currently unable to predict the outcome of this dispute or estimate the size of any loss which could result from a potential resolution reached through litigation or otherwise. We are also currently involved in three lawsuits pending in the Supreme Court of the State of New York with a purchaser of MSRs, Mr. Cooper (formerly Nationstar Mortgage Holdings Inc.), who alleges breaches of representations and warranties made by PHH in the MSR sale agreements. The initial complaint filed in the first case was dismissed in its entirety, but Mr. Cooper has since appealed that ruling, filed an amended complaint in that case, and commenced the second and third litigation. We believe we have strong factual and legal defenses to Mr. Cooper’s claims and are vigorously defending ourselves. We have also received demands for indemnification for alleged breaches of representations and warranties from parties to whom we sold loans and we are currently a defendant in an adversary proceeding brought by a bankruptcy plan administrator seeking to enforce its right to contractual indemnification for the sale of allegedly defective mortgage loans.</w:t>
      </w:r>
    </w:p>
    <w:p>
      <w:pPr>
        <w:spacing w:after="0" w:line="61" w:lineRule="exact"/>
        <w:rPr>
          <w:sz w:val="20"/>
          <w:szCs w:val="20"/>
          <w:color w:val="auto"/>
        </w:rPr>
      </w:pPr>
    </w:p>
    <w:p>
      <w:pPr>
        <w:ind w:left="9" w:right="60" w:firstLine="272"/>
        <w:spacing w:after="0" w:line="298" w:lineRule="auto"/>
        <w:rPr>
          <w:sz w:val="20"/>
          <w:szCs w:val="20"/>
          <w:color w:val="auto"/>
        </w:rPr>
      </w:pPr>
      <w:r>
        <w:rPr>
          <w:rFonts w:ascii="Arial" w:cs="Arial" w:eastAsia="Arial" w:hAnsi="Arial"/>
          <w:sz w:val="13"/>
          <w:szCs w:val="13"/>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w:t>
      </w:r>
    </w:p>
    <w:p>
      <w:pPr>
        <w:spacing w:after="0" w:line="1" w:lineRule="exact"/>
        <w:rPr>
          <w:sz w:val="20"/>
          <w:szCs w:val="20"/>
          <w:color w:val="auto"/>
        </w:rPr>
      </w:pPr>
    </w:p>
    <w:p>
      <w:pPr>
        <w:ind w:left="9" w:hanging="9"/>
        <w:spacing w:after="0" w:line="258" w:lineRule="auto"/>
        <w:tabs>
          <w:tab w:leader="none" w:pos="274" w:val="left"/>
        </w:tabs>
        <w:numPr>
          <w:ilvl w:val="0"/>
          <w:numId w:val="29"/>
        </w:numPr>
        <w:rPr>
          <w:rFonts w:ascii="Arial" w:cs="Arial" w:eastAsia="Arial" w:hAnsi="Arial"/>
          <w:sz w:val="15"/>
          <w:szCs w:val="15"/>
          <w:color w:val="auto"/>
        </w:rPr>
      </w:pPr>
      <w:r>
        <w:rPr>
          <w:rFonts w:ascii="Arial" w:cs="Arial" w:eastAsia="Arial" w:hAnsi="Arial"/>
          <w:sz w:val="15"/>
          <w:szCs w:val="15"/>
          <w:color w:val="auto"/>
        </w:rPr>
        <w:t>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70" w:lineRule="exact"/>
        <w:rPr>
          <w:sz w:val="20"/>
          <w:szCs w:val="20"/>
          <w:color w:val="auto"/>
        </w:rPr>
      </w:pPr>
    </w:p>
    <w:p>
      <w:pPr>
        <w:ind w:left="9" w:right="40" w:firstLine="272"/>
        <w:spacing w:after="0" w:line="257" w:lineRule="auto"/>
        <w:rPr>
          <w:sz w:val="20"/>
          <w:szCs w:val="20"/>
          <w:color w:val="auto"/>
        </w:rPr>
      </w:pPr>
      <w:r>
        <w:rPr>
          <w:rFonts w:ascii="Arial" w:cs="Arial" w:eastAsia="Arial" w:hAnsi="Arial"/>
          <w:sz w:val="15"/>
          <w:szCs w:val="15"/>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72" w:lineRule="exact"/>
        <w:rPr>
          <w:sz w:val="20"/>
          <w:szCs w:val="20"/>
          <w:color w:val="auto"/>
        </w:rPr>
      </w:pPr>
    </w:p>
    <w:p>
      <w:pPr>
        <w:ind w:left="9" w:firstLine="272"/>
        <w:spacing w:after="0" w:line="256" w:lineRule="auto"/>
        <w:rPr>
          <w:sz w:val="20"/>
          <w:szCs w:val="20"/>
          <w:color w:val="auto"/>
        </w:rPr>
      </w:pPr>
      <w:r>
        <w:rPr>
          <w:rFonts w:ascii="Arial" w:cs="Arial" w:eastAsia="Arial" w:hAnsi="Arial"/>
          <w:sz w:val="15"/>
          <w:szCs w:val="15"/>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7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Regulatory</w:t>
      </w:r>
    </w:p>
    <w:p>
      <w:pPr>
        <w:spacing w:after="0" w:line="104" w:lineRule="exact"/>
        <w:rPr>
          <w:sz w:val="20"/>
          <w:szCs w:val="20"/>
          <w:color w:val="auto"/>
        </w:rPr>
      </w:pPr>
    </w:p>
    <w:p>
      <w:pPr>
        <w:ind w:left="9" w:firstLine="272"/>
        <w:spacing w:after="0" w:line="278" w:lineRule="auto"/>
        <w:rPr>
          <w:sz w:val="20"/>
          <w:szCs w:val="20"/>
          <w:color w:val="auto"/>
        </w:rPr>
      </w:pPr>
      <w:r>
        <w:rPr>
          <w:rFonts w:ascii="Arial" w:cs="Arial" w:eastAsia="Arial" w:hAnsi="Arial"/>
          <w:sz w:val="14"/>
          <w:szCs w:val="14"/>
          <w:color w:val="auto"/>
        </w:rPr>
        <w:t>We are subject to a number of ongoing federal and state regulatory examinations, consent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56" w:lineRule="exact"/>
        <w:rPr>
          <w:sz w:val="20"/>
          <w:szCs w:val="20"/>
          <w:color w:val="auto"/>
        </w:rPr>
      </w:pPr>
    </w:p>
    <w:p>
      <w:pPr>
        <w:ind w:left="9" w:right="20" w:firstLine="272"/>
        <w:spacing w:after="0" w:line="292" w:lineRule="auto"/>
        <w:rPr>
          <w:sz w:val="20"/>
          <w:szCs w:val="20"/>
          <w:color w:val="auto"/>
        </w:rPr>
      </w:pPr>
      <w:r>
        <w:rPr>
          <w:rFonts w:ascii="Arial" w:cs="Arial" w:eastAsia="Arial" w:hAnsi="Arial"/>
          <w:sz w:val="14"/>
          <w:szCs w:val="14"/>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w:t>
      </w:r>
    </w:p>
    <w:p>
      <w:pPr>
        <w:spacing w:after="0" w:line="200" w:lineRule="exact"/>
        <w:rPr>
          <w:sz w:val="20"/>
          <w:szCs w:val="20"/>
          <w:color w:val="auto"/>
        </w:rPr>
      </w:pPr>
    </w:p>
    <w:p>
      <w:pPr>
        <w:spacing w:after="0" w:line="31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9"/>
          </w:cols>
          <w:pgMar w:left="311" w:top="866" w:right="339" w:bottom="1440" w:gutter="0" w:footer="0" w:header="0"/>
        </w:sectPr>
      </w:pPr>
    </w:p>
    <w:bookmarkStart w:id="55" w:name="page56"/>
    <w:bookmarkEnd w:id="55"/>
    <w:p>
      <w:pPr>
        <w:ind w:right="20"/>
        <w:spacing w:after="0" w:line="257" w:lineRule="auto"/>
        <w:rPr>
          <w:sz w:val="20"/>
          <w:szCs w:val="20"/>
          <w:color w:val="auto"/>
        </w:rPr>
      </w:pPr>
      <w:r>
        <w:rPr>
          <w:rFonts w:ascii="Arial" w:cs="Arial" w:eastAsia="Arial" w:hAnsi="Arial"/>
          <w:sz w:val="15"/>
          <w:szCs w:val="15"/>
          <w:color w:val="auto"/>
        </w:rPr>
        <w:t>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CFPB</w:t>
      </w:r>
    </w:p>
    <w:p>
      <w:pPr>
        <w:spacing w:after="0" w:line="100" w:lineRule="exact"/>
        <w:rPr>
          <w:sz w:val="20"/>
          <w:szCs w:val="20"/>
          <w:color w:val="auto"/>
        </w:rPr>
      </w:pPr>
    </w:p>
    <w:p>
      <w:pPr>
        <w:ind w:right="20" w:firstLine="272"/>
        <w:spacing w:after="0" w:line="278" w:lineRule="auto"/>
        <w:rPr>
          <w:sz w:val="20"/>
          <w:szCs w:val="20"/>
          <w:color w:val="auto"/>
        </w:rPr>
      </w:pPr>
      <w:r>
        <w:rPr>
          <w:rFonts w:ascii="Arial" w:cs="Arial" w:eastAsia="Arial" w:hAnsi="Arial"/>
          <w:sz w:val="14"/>
          <w:szCs w:val="14"/>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a mediation session on October 23, 2020,and held additional settlement discussions following the conclusion of the mediation session, however, the parties were unable to reach a resolution of the litigation.</w:t>
      </w:r>
    </w:p>
    <w:p>
      <w:pPr>
        <w:spacing w:after="0" w:line="56" w:lineRule="exact"/>
        <w:rPr>
          <w:sz w:val="20"/>
          <w:szCs w:val="20"/>
          <w:color w:val="auto"/>
        </w:rPr>
      </w:pPr>
    </w:p>
    <w:p>
      <w:pPr>
        <w:ind w:firstLine="272"/>
        <w:spacing w:after="0" w:line="256" w:lineRule="auto"/>
        <w:rPr>
          <w:sz w:val="20"/>
          <w:szCs w:val="20"/>
          <w:color w:val="auto"/>
        </w:rPr>
      </w:pPr>
      <w:r>
        <w:rPr>
          <w:rFonts w:ascii="Arial" w:cs="Arial" w:eastAsia="Arial" w:hAnsi="Arial"/>
          <w:sz w:val="15"/>
          <w:szCs w:val="15"/>
          <w:color w:val="auto"/>
        </w:rPr>
        <w:t xml:space="preserve">On March 4,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Arial" w:cs="Arial" w:eastAsia="Arial" w:hAnsi="Arial"/>
          <w:sz w:val="15"/>
          <w:szCs w:val="15"/>
          <w:i w:val="1"/>
          <w:iCs w:val="1"/>
          <w:color w:val="auto"/>
        </w:rPr>
        <w:t>res judicata</w:t>
      </w:r>
      <w:r>
        <w:rPr>
          <w:rFonts w:ascii="Arial" w:cs="Arial" w:eastAsia="Arial" w:hAnsi="Arial"/>
          <w:sz w:val="15"/>
          <w:szCs w:val="15"/>
          <w:color w:val="auto"/>
        </w:rPr>
        <w:t xml:space="preserve"> 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thereafter filed a notice of appeal. The Eleventh Circuit held an appellate mediation on June 23, 2021, but the parties did not resolve the case. The initial round of appellate briefing is scheduled to conclude August 12, 2021.</w:t>
      </w:r>
    </w:p>
    <w:p>
      <w:pPr>
        <w:spacing w:after="0" w:line="74" w:lineRule="exact"/>
        <w:rPr>
          <w:sz w:val="20"/>
          <w:szCs w:val="20"/>
          <w:color w:val="auto"/>
        </w:rPr>
      </w:pPr>
    </w:p>
    <w:p>
      <w:pPr>
        <w:jc w:val="both"/>
        <w:ind w:right="420" w:firstLine="272"/>
        <w:spacing w:after="0" w:line="265" w:lineRule="auto"/>
        <w:rPr>
          <w:sz w:val="20"/>
          <w:szCs w:val="20"/>
          <w:color w:val="auto"/>
        </w:rPr>
      </w:pPr>
      <w:r>
        <w:rPr>
          <w:rFonts w:ascii="Arial" w:cs="Arial" w:eastAsia="Arial" w:hAnsi="Arial"/>
          <w:sz w:val="15"/>
          <w:szCs w:val="15"/>
          <w:color w:val="auto"/>
        </w:rPr>
        <w:t>Our current accrual with respect to this matter is included in the $46.9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State Licensing, State Attorneys General and Other Matters</w:t>
      </w:r>
    </w:p>
    <w:p>
      <w:pPr>
        <w:spacing w:after="0" w:line="100" w:lineRule="exact"/>
        <w:rPr>
          <w:sz w:val="20"/>
          <w:szCs w:val="20"/>
          <w:color w:val="auto"/>
        </w:rPr>
      </w:pPr>
    </w:p>
    <w:p>
      <w:pPr>
        <w:ind w:right="20" w:firstLine="272"/>
        <w:spacing w:after="0" w:line="274" w:lineRule="auto"/>
        <w:rPr>
          <w:sz w:val="20"/>
          <w:szCs w:val="20"/>
          <w:color w:val="auto"/>
        </w:rPr>
      </w:pPr>
      <w:r>
        <w:rPr>
          <w:rFonts w:ascii="Arial" w:cs="Arial" w:eastAsia="Arial" w:hAnsi="Arial"/>
          <w:sz w:val="14"/>
          <w:szCs w:val="14"/>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64" w:lineRule="exact"/>
        <w:rPr>
          <w:sz w:val="20"/>
          <w:szCs w:val="20"/>
          <w:color w:val="auto"/>
        </w:rPr>
      </w:pPr>
    </w:p>
    <w:p>
      <w:pPr>
        <w:jc w:val="both"/>
        <w:ind w:firstLine="272"/>
        <w:spacing w:after="0" w:line="265" w:lineRule="auto"/>
        <w:rPr>
          <w:sz w:val="20"/>
          <w:szCs w:val="20"/>
          <w:color w:val="auto"/>
        </w:rPr>
      </w:pPr>
      <w:r>
        <w:rPr>
          <w:rFonts w:ascii="Arial" w:cs="Arial" w:eastAsia="Arial" w:hAnsi="Arial"/>
          <w:sz w:val="15"/>
          <w:szCs w:val="15"/>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These administrative actions were applicable to OLS, but additional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auto"/>
        </w:rPr>
        <w:t>Ocwen entities were named in some actions, including Ocwen Financial Corporation, OMS, Homeward, Liberty, OFSPL and Ocwen Business Solutions, Inc. (OBS).</w:t>
      </w:r>
    </w:p>
    <w:p>
      <w:pPr>
        <w:spacing w:after="0" w:line="100" w:lineRule="exact"/>
        <w:rPr>
          <w:sz w:val="20"/>
          <w:szCs w:val="20"/>
          <w:color w:val="auto"/>
        </w:rPr>
      </w:pPr>
    </w:p>
    <w:p>
      <w:pPr>
        <w:ind w:right="80" w:firstLine="272"/>
        <w:spacing w:after="0" w:line="285" w:lineRule="auto"/>
        <w:rPr>
          <w:sz w:val="20"/>
          <w:szCs w:val="20"/>
          <w:color w:val="auto"/>
        </w:rPr>
      </w:pPr>
      <w:r>
        <w:rPr>
          <w:rFonts w:ascii="Arial" w:cs="Arial" w:eastAsia="Arial" w:hAnsi="Arial"/>
          <w:sz w:val="14"/>
          <w:szCs w:val="14"/>
          <w:color w:val="auto"/>
        </w:rPr>
        <w:t>As discussed further below, we have now resolved all of the state regulatory matters arising in April 2017. In resolving these matters, we entered into agreements containing certain restrictions and commitments with respect to the operation of our business and our regulatory compliance activities, including restrictions and conditions relating to acquisitions of MSRs, a transition to an alternate loan servicing system from the REALServicing system, engagement of third-party auditors, escrow and data testing, error remediation, and financial condition reporting. In some instances, we also provided borrower financial remediation and made payments to state regulators.</w:t>
      </w:r>
    </w:p>
    <w:p>
      <w:pPr>
        <w:spacing w:after="0" w:line="52" w:lineRule="exact"/>
        <w:rPr>
          <w:sz w:val="20"/>
          <w:szCs w:val="20"/>
          <w:color w:val="auto"/>
        </w:rPr>
      </w:pPr>
    </w:p>
    <w:p>
      <w:pPr>
        <w:ind w:right="120" w:firstLine="272"/>
        <w:spacing w:after="0" w:line="261" w:lineRule="auto"/>
        <w:rPr>
          <w:sz w:val="20"/>
          <w:szCs w:val="20"/>
          <w:color w:val="auto"/>
        </w:rPr>
      </w:pPr>
      <w:r>
        <w:rPr>
          <w:rFonts w:ascii="Arial" w:cs="Arial" w:eastAsia="Arial" w:hAnsi="Arial"/>
          <w:sz w:val="15"/>
          <w:szCs w:val="15"/>
          <w:color w:val="auto"/>
        </w:rPr>
        <w:t>We have taken substantial steps toward fulfilling our commitments under the agreements described above, including completing the transfer of loans to Black Knight MSP, completing pre-transfer and post-transfer data integrity audits, developing and implementing certain enhancements to our consumer complaint process, completing a third-party escrow review and ongoing reporting and information sharing. We continue to be subject to obligations under these agreements, including completing the final phase of a data integrity audit under our agreement with the State of Massachusetts.</w:t>
      </w:r>
    </w:p>
    <w:p>
      <w:pPr>
        <w:spacing w:after="0" w:line="67" w:lineRule="exact"/>
        <w:rPr>
          <w:sz w:val="20"/>
          <w:szCs w:val="20"/>
          <w:color w:val="auto"/>
        </w:rPr>
      </w:pPr>
    </w:p>
    <w:p>
      <w:pPr>
        <w:ind w:right="60" w:firstLine="272"/>
        <w:spacing w:after="0" w:line="307" w:lineRule="auto"/>
        <w:rPr>
          <w:sz w:val="20"/>
          <w:szCs w:val="20"/>
          <w:color w:val="auto"/>
        </w:rPr>
      </w:pPr>
      <w:r>
        <w:rPr>
          <w:rFonts w:ascii="Arial" w:cs="Arial" w:eastAsia="Arial" w:hAnsi="Arial"/>
          <w:sz w:val="13"/>
          <w:szCs w:val="13"/>
          <w:color w:val="auto"/>
        </w:rPr>
        <w:t>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the third-party auditor has issued its final report and we have completed all required remediation measures required as part of that review. In addition, it is possible that legal or other actions could be taken against us with respect to such errors, which could result in additional costs or other adverse impacts. If we fail to comply with the terms of our settlements, additional legal or other actions could be taken against us. Such actions could have a materially adverse impact on our business, reputation, financial condition, liquidity and results of operations.</w:t>
      </w:r>
    </w:p>
    <w:p>
      <w:pPr>
        <w:spacing w:after="0" w:line="42" w:lineRule="exact"/>
        <w:rPr>
          <w:sz w:val="20"/>
          <w:szCs w:val="20"/>
          <w:color w:val="auto"/>
        </w:rPr>
      </w:pPr>
    </w:p>
    <w:p>
      <w:pPr>
        <w:ind w:right="160" w:firstLine="272"/>
        <w:spacing w:after="0" w:line="281" w:lineRule="auto"/>
        <w:rPr>
          <w:sz w:val="20"/>
          <w:szCs w:val="20"/>
          <w:color w:val="auto"/>
        </w:rPr>
      </w:pPr>
      <w:r>
        <w:rPr>
          <w:rFonts w:ascii="Arial" w:cs="Arial" w:eastAsia="Arial" w:hAnsi="Arial"/>
          <w:sz w:val="14"/>
          <w:szCs w:val="14"/>
          <w:color w:val="auto"/>
        </w:rPr>
        <w:t>Certain of the state regulators’ cease and desist orders referenced a confidential supervisory memorandum of understanding (MOU) that we entered into with the Multistate Mortgage Committee (MMC) and six states relating to a servicing examination 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56" w:lineRule="exact"/>
        <w:rPr>
          <w:sz w:val="20"/>
          <w:szCs w:val="20"/>
          <w:color w:val="auto"/>
        </w:rPr>
      </w:pPr>
    </w:p>
    <w:p>
      <w:pPr>
        <w:ind w:firstLine="272"/>
        <w:spacing w:after="0" w:line="257" w:lineRule="auto"/>
        <w:rPr>
          <w:sz w:val="20"/>
          <w:szCs w:val="20"/>
          <w:color w:val="auto"/>
        </w:rPr>
      </w:pPr>
      <w:r>
        <w:rPr>
          <w:rFonts w:ascii="Arial" w:cs="Arial" w:eastAsia="Arial" w:hAnsi="Arial"/>
          <w:sz w:val="15"/>
          <w:szCs w:val="15"/>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Department of Justice has informed us that it has decided not to take enforcement action related to this matter at this time and has, consequently, closed its investigation. In addition, Ocwen was named as a defendant in a HUD administrative complaint filed by a non-profit organization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72" w:lineRule="exact"/>
        <w:rPr>
          <w:sz w:val="20"/>
          <w:szCs w:val="20"/>
          <w:color w:val="auto"/>
        </w:rPr>
      </w:pPr>
    </w:p>
    <w:p>
      <w:pPr>
        <w:ind w:firstLine="272"/>
        <w:spacing w:after="0" w:line="256" w:lineRule="auto"/>
        <w:rPr>
          <w:sz w:val="20"/>
          <w:szCs w:val="20"/>
          <w:color w:val="auto"/>
        </w:rPr>
      </w:pPr>
      <w:r>
        <w:rPr>
          <w:rFonts w:ascii="Arial" w:cs="Arial" w:eastAsia="Arial" w:hAnsi="Arial"/>
          <w:sz w:val="15"/>
          <w:szCs w:val="15"/>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 In April 2019, PMC received a subpoena from the VA Office of the Inspector General requesting the production of documentation related to the origination and underwriting of loans guaranteed by the Veterans Benefits Administration. We understand that other servicers in the industry have received similar subpoenas.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 Put-Back and Related Contingencies</w:t>
      </w:r>
    </w:p>
    <w:p>
      <w:pPr>
        <w:spacing w:after="0" w:line="104" w:lineRule="exact"/>
        <w:rPr>
          <w:sz w:val="20"/>
          <w:szCs w:val="20"/>
          <w:color w:val="auto"/>
        </w:rPr>
      </w:pPr>
    </w:p>
    <w:p>
      <w:pPr>
        <w:ind w:firstLine="272"/>
        <w:spacing w:after="0" w:line="278" w:lineRule="auto"/>
        <w:rPr>
          <w:sz w:val="20"/>
          <w:szCs w:val="20"/>
          <w:color w:val="auto"/>
        </w:rPr>
      </w:pPr>
      <w:r>
        <w:rPr>
          <w:rFonts w:ascii="Arial" w:cs="Arial" w:eastAsia="Arial" w:hAnsi="Arial"/>
          <w:sz w:val="15"/>
          <w:szCs w:val="15"/>
          <w:color w:val="auto"/>
        </w:rPr>
        <w:t>We have exposure to representation, warranty and indemnification obligations relating to our Originations business, including lending, sales and securitization activities, and relating to our servicing practices.</w:t>
      </w:r>
    </w:p>
    <w:p>
      <w:pPr>
        <w:spacing w:after="0" w:line="54" w:lineRule="exact"/>
        <w:rPr>
          <w:sz w:val="20"/>
          <w:szCs w:val="20"/>
          <w:color w:val="auto"/>
        </w:rPr>
      </w:pPr>
    </w:p>
    <w:p>
      <w:pPr>
        <w:ind w:right="260" w:firstLine="272"/>
        <w:spacing w:after="0" w:line="278" w:lineRule="auto"/>
        <w:rPr>
          <w:sz w:val="20"/>
          <w:szCs w:val="20"/>
          <w:color w:val="auto"/>
        </w:rPr>
      </w:pPr>
      <w:r>
        <w:rPr>
          <w:rFonts w:ascii="Arial" w:cs="Arial" w:eastAsia="Arial" w:hAnsi="Arial"/>
          <w:sz w:val="15"/>
          <w:szCs w:val="15"/>
          <w:color w:val="auto"/>
        </w:rPr>
        <w:t>At June 30, 2021 and June 30, 2020, we had outstanding representation and warranty repurchase demands of $50.7 million UPB (267 loans) and $43.7 million UPB (262 loans), respectively. We review each demand and monitor through resolution, primarily through rescission, loan repurchase or make-whole payment.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7" w:name="page58"/>
    <w:bookmarkEnd w:id="57"/>
    <w:p>
      <w:pPr>
        <w:ind w:left="269"/>
        <w:spacing w:after="0"/>
        <w:rPr>
          <w:sz w:val="20"/>
          <w:szCs w:val="20"/>
          <w:color w:val="auto"/>
        </w:rPr>
      </w:pPr>
      <w:r>
        <w:rPr>
          <w:rFonts w:ascii="Arial" w:cs="Arial" w:eastAsia="Arial" w:hAnsi="Arial"/>
          <w:sz w:val="15"/>
          <w:szCs w:val="15"/>
          <w:color w:val="auto"/>
        </w:rPr>
        <w:t>The following table presents the changes in our liability for representation and warranty obligations and similar indemnification obligations:</w:t>
      </w:r>
    </w:p>
    <w:p>
      <w:pPr>
        <w:spacing w:after="0" w:line="119"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5"/>
                <w:szCs w:val="15"/>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85"/>
        </w:trPr>
        <w:tc>
          <w:tcPr>
            <w:tcW w:w="8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184"/>
        </w:trPr>
        <w:tc>
          <w:tcPr>
            <w:tcW w:w="8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 (1)</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40,374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50,838</w:t>
            </w:r>
          </w:p>
        </w:tc>
      </w:tr>
      <w:tr>
        <w:trPr>
          <w:trHeight w:val="192"/>
        </w:trPr>
        <w:tc>
          <w:tcPr>
            <w:tcW w:w="8060" w:type="dxa"/>
            <w:vAlign w:val="bottom"/>
          </w:tcPr>
          <w:p>
            <w:pPr>
              <w:ind w:left="100"/>
              <w:spacing w:after="0"/>
              <w:rPr>
                <w:sz w:val="20"/>
                <w:szCs w:val="20"/>
                <w:color w:val="auto"/>
              </w:rPr>
            </w:pPr>
            <w:r>
              <w:rPr>
                <w:rFonts w:ascii="Arial" w:cs="Arial" w:eastAsia="Arial" w:hAnsi="Arial"/>
                <w:sz w:val="15"/>
                <w:szCs w:val="15"/>
                <w:color w:val="auto"/>
              </w:rPr>
              <w:t>Provision (reversal) for representation and warranty obligations</w:t>
            </w: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458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1,725</w:t>
            </w:r>
          </w:p>
        </w:tc>
      </w:tr>
      <w:tr>
        <w:trPr>
          <w:trHeight w:val="194"/>
        </w:trPr>
        <w:tc>
          <w:tcPr>
            <w:tcW w:w="8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New production liability</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w:t>
            </w:r>
          </w:p>
        </w:tc>
      </w:tr>
      <w:tr>
        <w:trPr>
          <w:trHeight w:val="192"/>
        </w:trPr>
        <w:tc>
          <w:tcPr>
            <w:tcW w:w="80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Charge-offs and other (2)</w:t>
            </w: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(1,247)</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(8,673)</w:t>
            </w:r>
          </w:p>
        </w:tc>
      </w:tr>
      <w:tr>
        <w:trPr>
          <w:trHeight w:val="21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Ending balance (1)</w:t>
            </w: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41,578</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44,412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69" w:right="540" w:hanging="269"/>
        <w:spacing w:after="0" w:line="245" w:lineRule="auto"/>
        <w:tabs>
          <w:tab w:leader="none" w:pos="26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liability for representation and warranty obligations and compensatory fees for foreclosures is reported in Other liabilities (a component of Liability for indemnification obligations) on our unaudited consolidated balance sheets.</w:t>
      </w:r>
    </w:p>
    <w:p>
      <w:pPr>
        <w:ind w:left="269" w:hanging="269"/>
        <w:spacing w:after="0"/>
        <w:tabs>
          <w:tab w:leader="none" w:pos="269"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principal and interest losses realized in connection with repurchased loans, make-whole, indemnification and fee payments and settlements net of recoveries, if any.</w:t>
      </w:r>
    </w:p>
    <w:p>
      <w:pPr>
        <w:spacing w:after="0" w:line="75" w:lineRule="exact"/>
        <w:rPr>
          <w:sz w:val="20"/>
          <w:szCs w:val="20"/>
          <w:color w:val="auto"/>
        </w:rPr>
      </w:pPr>
    </w:p>
    <w:p>
      <w:pPr>
        <w:jc w:val="both"/>
        <w:ind w:left="9" w:right="80" w:firstLine="272"/>
        <w:spacing w:after="0" w:line="265" w:lineRule="auto"/>
        <w:rPr>
          <w:sz w:val="20"/>
          <w:szCs w:val="20"/>
          <w:color w:val="auto"/>
        </w:rPr>
      </w:pPr>
      <w:r>
        <w:rPr>
          <w:rFonts w:ascii="Arial" w:cs="Arial" w:eastAsia="Arial" w:hAnsi="Arial"/>
          <w:sz w:val="15"/>
          <w:szCs w:val="15"/>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2021</w:t>
      </w:r>
      <w:r>
        <w:rPr>
          <w:rFonts w:ascii="Arial" w:cs="Arial" w:eastAsia="Arial" w:hAnsi="Arial"/>
          <w:sz w:val="13"/>
          <w:szCs w:val="13"/>
          <w:color w:val="auto"/>
        </w:rPr>
        <w:t>.</w:t>
      </w:r>
    </w:p>
    <w:p>
      <w:pPr>
        <w:spacing w:after="0" w:line="6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Other</w:t>
      </w:r>
    </w:p>
    <w:p>
      <w:pPr>
        <w:spacing w:after="0" w:line="104" w:lineRule="exact"/>
        <w:rPr>
          <w:sz w:val="20"/>
          <w:szCs w:val="20"/>
          <w:color w:val="auto"/>
        </w:rPr>
      </w:pPr>
    </w:p>
    <w:p>
      <w:pPr>
        <w:ind w:left="9" w:firstLine="272"/>
        <w:spacing w:after="0" w:line="258" w:lineRule="auto"/>
        <w:rPr>
          <w:sz w:val="20"/>
          <w:szCs w:val="20"/>
          <w:color w:val="auto"/>
        </w:rPr>
      </w:pPr>
      <w:r>
        <w:rPr>
          <w:rFonts w:ascii="Arial" w:cs="Arial" w:eastAsia="Arial" w:hAnsi="Arial"/>
          <w:sz w:val="15"/>
          <w:szCs w:val="15"/>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71" w:lineRule="exact"/>
        <w:rPr>
          <w:sz w:val="20"/>
          <w:szCs w:val="20"/>
          <w:color w:val="auto"/>
        </w:rPr>
      </w:pPr>
    </w:p>
    <w:p>
      <w:pPr>
        <w:ind w:left="9" w:right="140" w:firstLine="272"/>
        <w:spacing w:after="0" w:line="261" w:lineRule="auto"/>
        <w:rPr>
          <w:sz w:val="20"/>
          <w:szCs w:val="20"/>
          <w:color w:val="auto"/>
        </w:rPr>
      </w:pPr>
      <w:r>
        <w:rPr>
          <w:rFonts w:ascii="Arial" w:cs="Arial" w:eastAsia="Arial" w:hAnsi="Arial"/>
          <w:sz w:val="15"/>
          <w:szCs w:val="15"/>
          <w:color w:val="auto"/>
        </w:rPr>
        <w:t>We may, from time to time, have affirmative indemnification and other claims against service providers and parties from whom we purchased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 23 – Subsequent Events</w:t>
      </w:r>
    </w:p>
    <w:p>
      <w:pPr>
        <w:spacing w:after="0" w:line="104" w:lineRule="exact"/>
        <w:rPr>
          <w:sz w:val="20"/>
          <w:szCs w:val="20"/>
          <w:color w:val="auto"/>
        </w:rPr>
      </w:pPr>
    </w:p>
    <w:p>
      <w:pPr>
        <w:ind w:left="9" w:right="20" w:firstLine="272"/>
        <w:spacing w:after="0" w:line="261" w:lineRule="auto"/>
        <w:rPr>
          <w:sz w:val="20"/>
          <w:szCs w:val="20"/>
          <w:color w:val="auto"/>
        </w:rPr>
      </w:pPr>
      <w:r>
        <w:rPr>
          <w:rFonts w:ascii="Arial" w:cs="Arial" w:eastAsia="Arial" w:hAnsi="Arial"/>
          <w:sz w:val="15"/>
          <w:szCs w:val="15"/>
          <w:color w:val="auto"/>
        </w:rPr>
        <w:t>On July 26, 2021, we exercised call rights with respect to certain Non-Agency trusts, acquiring the underlying residential mortgage loans previously held in the trusts. We hold rights with respect to certain Non-Agency securitizations serviced by us whereby, when the collateral balance falls below a pre-determined threshold, we have the ability to collapse the related trusts and acquire the underlying residential mortgage loans. Upon execution of the July 2021 transaction, we classified the acquired loans as held for sale. The loans are expected to be sold in the third quarter of 2021.</w:t>
      </w:r>
    </w:p>
    <w:p>
      <w:pPr>
        <w:spacing w:after="0" w:line="200" w:lineRule="exact"/>
        <w:rPr>
          <w:sz w:val="20"/>
          <w:szCs w:val="20"/>
          <w:color w:val="auto"/>
        </w:rPr>
      </w:pPr>
    </w:p>
    <w:p>
      <w:pPr>
        <w:spacing w:after="0" w:line="248" w:lineRule="exact"/>
        <w:rPr>
          <w:sz w:val="20"/>
          <w:szCs w:val="20"/>
          <w:color w:val="auto"/>
        </w:rPr>
      </w:pPr>
    </w:p>
    <w:p>
      <w:pPr>
        <w:ind w:left="709" w:right="340" w:hanging="816"/>
        <w:spacing w:after="0" w:line="283" w:lineRule="auto"/>
        <w:tabs>
          <w:tab w:leader="none" w:pos="689" w:val="left"/>
        </w:tabs>
        <w:rPr>
          <w:sz w:val="20"/>
          <w:szCs w:val="20"/>
          <w:color w:val="auto"/>
        </w:rPr>
      </w:pPr>
      <w:r>
        <w:rPr>
          <w:rFonts w:ascii="Arial" w:cs="Arial" w:eastAsia="Arial" w:hAnsi="Arial"/>
          <w:sz w:val="15"/>
          <w:szCs w:val="15"/>
          <w:b w:val="1"/>
          <w:bCs w:val="1"/>
          <w:color w:val="auto"/>
        </w:rPr>
        <w:t>ITEM 2.</w:t>
        <w:tab/>
        <w:t>MANAGEMENT’S DISCUSSION AND ANALYSIS OF FINANCIAL CONDITION AND RESULTS OF OPERATIONS (Dollars in millions, except per share amounts and unless otherwise indicated)</w:t>
      </w:r>
    </w:p>
    <w:p>
      <w:pPr>
        <w:spacing w:after="0" w:line="346" w:lineRule="exact"/>
        <w:rPr>
          <w:sz w:val="20"/>
          <w:szCs w:val="20"/>
          <w:color w:val="auto"/>
        </w:rPr>
      </w:pPr>
    </w:p>
    <w:p>
      <w:pPr>
        <w:ind w:left="9" w:right="220" w:firstLine="272"/>
        <w:spacing w:after="0" w:line="302" w:lineRule="auto"/>
        <w:rPr>
          <w:sz w:val="20"/>
          <w:szCs w:val="20"/>
          <w:color w:val="auto"/>
        </w:rPr>
      </w:pPr>
      <w:r>
        <w:rPr>
          <w:rFonts w:ascii="Arial" w:cs="Arial" w:eastAsia="Arial" w:hAnsi="Arial"/>
          <w:sz w:val="13"/>
          <w:szCs w:val="13"/>
          <w:color w:val="auto"/>
        </w:rPr>
        <w:t>Effective February 10, 2021, the SEC issued Release No. 33-10890 adopting amendments to Regulation S-K to modernize, simplify and enhance certain financial disclosure requirements. This release amends, among other items, Item 303 of Regulation S-K (Management’s Discussion and Analysis of Financial Condition and Results of Operations, or MD&amp;A). While adoption is not required until fiscal years ending on or after August 9, 2021, we elected to adopt the amended Item 303 of Regulation S-K commencing with our Quarterly Report on Form 10-Q for the quarter ended March 31, 2021. As a result, we compare our quarterly results to the immediately preceding quarter instead of the corresponding quarter of the preceding year. We believe it is helpful to compare our quarterly results to the immediately preceding quarter, because the mortgage industry and our business can be affected by a rapidly changing environment. In addition, we continuously transform our operations and internally measure our performance relative to the most recent period. Accordingly, we believe a comparison of our results of operations to the immediately preceding quarter provides a more relevant and meaningful analysis for investors to assess our</w:t>
      </w:r>
    </w:p>
    <w:p>
      <w:pPr>
        <w:spacing w:after="0" w:line="200" w:lineRule="exact"/>
        <w:rPr>
          <w:sz w:val="20"/>
          <w:szCs w:val="20"/>
          <w:color w:val="auto"/>
        </w:rPr>
      </w:pPr>
    </w:p>
    <w:p>
      <w:pPr>
        <w:spacing w:after="0" w:line="31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58" w:name="page59"/>
    <w:bookmarkEnd w:id="58"/>
    <w:p>
      <w:pPr>
        <w:ind w:left="9" w:right="80"/>
        <w:spacing w:after="0" w:line="278" w:lineRule="auto"/>
        <w:rPr>
          <w:sz w:val="20"/>
          <w:szCs w:val="20"/>
          <w:color w:val="auto"/>
        </w:rPr>
      </w:pPr>
      <w:r>
        <w:rPr>
          <w:rFonts w:ascii="Arial" w:cs="Arial" w:eastAsia="Arial" w:hAnsi="Arial"/>
          <w:sz w:val="15"/>
          <w:szCs w:val="15"/>
          <w:color w:val="auto"/>
        </w:rPr>
        <w:t>performance than a comparison to the corresponding quarter of the preceding year. As required, we continue to compare our year-to-date results to the corresponding year-to-date results of the preceding year.</w:t>
      </w:r>
    </w:p>
    <w:p>
      <w:pPr>
        <w:spacing w:after="0" w:line="30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3994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5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General</w:t>
      </w:r>
    </w:p>
    <w:p>
      <w:pPr>
        <w:spacing w:after="0" w:line="104" w:lineRule="exact"/>
        <w:rPr>
          <w:sz w:val="20"/>
          <w:szCs w:val="20"/>
          <w:color w:val="auto"/>
        </w:rPr>
      </w:pPr>
    </w:p>
    <w:p>
      <w:pPr>
        <w:ind w:left="9" w:right="80" w:firstLine="272"/>
        <w:spacing w:after="0" w:line="279" w:lineRule="auto"/>
        <w:rPr>
          <w:sz w:val="20"/>
          <w:szCs w:val="20"/>
          <w:color w:val="auto"/>
        </w:rPr>
      </w:pPr>
      <w:r>
        <w:rPr>
          <w:rFonts w:ascii="Arial" w:cs="Arial" w:eastAsia="Arial" w:hAnsi="Arial"/>
          <w:sz w:val="14"/>
          <w:szCs w:val="14"/>
          <w:color w:val="auto"/>
        </w:rPr>
        <w:t>We are a financial services company that services and originates mortgage loans. We are a leading mortgage special servicer, servicing approximately 1.3 million loans with a total UPB of $237.3 billion on behalf of more than 4,000 investors and 110 subservicing clients.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recapture,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programs, bulk MSR purchase transactions, and subservicing agreements.</w:t>
      </w:r>
    </w:p>
    <w:p>
      <w:pPr>
        <w:spacing w:after="0" w:line="57" w:lineRule="exact"/>
        <w:rPr>
          <w:sz w:val="20"/>
          <w:szCs w:val="20"/>
          <w:color w:val="auto"/>
        </w:rPr>
      </w:pPr>
    </w:p>
    <w:p>
      <w:pPr>
        <w:ind w:left="9" w:right="40" w:firstLine="272"/>
        <w:spacing w:after="0" w:line="281" w:lineRule="auto"/>
        <w:rPr>
          <w:sz w:val="20"/>
          <w:szCs w:val="20"/>
          <w:color w:val="auto"/>
        </w:rPr>
      </w:pPr>
      <w:r>
        <w:rPr>
          <w:rFonts w:ascii="Arial" w:cs="Arial" w:eastAsia="Arial" w:hAnsi="Arial"/>
          <w:sz w:val="14"/>
          <w:szCs w:val="14"/>
          <w:color w:val="auto"/>
        </w:rPr>
        <w:t>The table below summarizes the volume of Originations by channel, in the second quarter of 2021, compared with the preceding quarter and the year-to-date volume compared with the year-to-date volume of the prior year. The volume of Originations is a key driver of the profitability of our Originations segment, together with margins, and a key driver of the replenishment and growth of our Servicing segment. In the second quarter of 2021, we closed two large bulk MSR acquisitions that aggregated to $55.1 billion, mostly GSE newly originated loans, resulting in our GSE MSR portfolio doubling its size in the quarter. Our non-bulk Originations volume remained mostly consistent with the prior quarter ($9.6 billion vs $9.4 billion or 2% increase) despite increased competition, including within the Correspondent channel and Agency Cash Window programs.</w:t>
      </w:r>
    </w:p>
    <w:p>
      <w:pPr>
        <w:spacing w:after="0" w:line="290"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5680" w:type="dxa"/>
            <w:vAlign w:val="bottom"/>
          </w:tcPr>
          <w:p>
            <w:pPr>
              <w:spacing w:after="0"/>
              <w:rPr>
                <w:sz w:val="20"/>
                <w:szCs w:val="20"/>
                <w:color w:val="auto"/>
              </w:rPr>
            </w:pPr>
            <w:r>
              <w:rPr>
                <w:rFonts w:ascii="Arial" w:cs="Arial" w:eastAsia="Arial" w:hAnsi="Arial"/>
                <w:sz w:val="15"/>
                <w:szCs w:val="15"/>
                <w:i w:val="1"/>
                <w:iCs w:val="1"/>
                <w:color w:val="auto"/>
              </w:rPr>
              <w:t>$ in billions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UPB</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6"/>
                <w:szCs w:val="16"/>
                <w:color w:val="auto"/>
              </w:rPr>
            </w:pPr>
          </w:p>
        </w:tc>
        <w:tc>
          <w:tcPr>
            <w:tcW w:w="2580" w:type="dxa"/>
            <w:vAlign w:val="bottom"/>
            <w:gridSpan w:val="4"/>
          </w:tcPr>
          <w:p>
            <w:pPr>
              <w:jc w:val="right"/>
              <w:ind w:right="704"/>
              <w:spacing w:after="0"/>
              <w:rPr>
                <w:sz w:val="20"/>
                <w:szCs w:val="20"/>
                <w:color w:val="auto"/>
              </w:rPr>
            </w:pPr>
            <w:r>
              <w:rPr>
                <w:rFonts w:ascii="Arial" w:cs="Arial" w:eastAsia="Arial" w:hAnsi="Arial"/>
                <w:sz w:val="15"/>
                <w:szCs w:val="15"/>
                <w:b w:val="1"/>
                <w:bCs w:val="1"/>
                <w:color w:val="auto"/>
              </w:rPr>
              <w:t>Six Months Ended</w:t>
            </w:r>
          </w:p>
        </w:tc>
      </w:tr>
      <w:tr>
        <w:trPr>
          <w:trHeight w:val="184"/>
        </w:trPr>
        <w:tc>
          <w:tcPr>
            <w:tcW w:w="5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March 31,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4"/>
              </w:rPr>
              <w:t>June 30, 2020</w:t>
            </w:r>
          </w:p>
        </w:tc>
      </w:tr>
      <w:tr>
        <w:trPr>
          <w:trHeight w:val="173"/>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Mortgage servicing originations</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192"/>
        </w:trPr>
        <w:tc>
          <w:tcPr>
            <w:tcW w:w="5680" w:type="dxa"/>
            <w:vAlign w:val="bottom"/>
          </w:tcPr>
          <w:p>
            <w:pPr>
              <w:ind w:left="180"/>
              <w:spacing w:after="0"/>
              <w:rPr>
                <w:sz w:val="20"/>
                <w:szCs w:val="20"/>
                <w:color w:val="auto"/>
              </w:rPr>
            </w:pPr>
            <w:r>
              <w:rPr>
                <w:rFonts w:ascii="Arial" w:cs="Arial" w:eastAsia="Arial" w:hAnsi="Arial"/>
                <w:sz w:val="15"/>
                <w:szCs w:val="15"/>
                <w:color w:val="auto"/>
              </w:rPr>
              <w:t>Recapture MSR (1)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0.56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0.51</w:t>
            </w:r>
          </w:p>
        </w:tc>
      </w:tr>
      <w:tr>
        <w:trPr>
          <w:trHeight w:val="194"/>
        </w:trPr>
        <w:tc>
          <w:tcPr>
            <w:tcW w:w="5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Correspondent MSR (1)</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r>
      <w:tr>
        <w:trPr>
          <w:trHeight w:val="192"/>
        </w:trPr>
        <w:tc>
          <w:tcPr>
            <w:tcW w:w="5680" w:type="dxa"/>
            <w:vAlign w:val="bottom"/>
          </w:tcPr>
          <w:p>
            <w:pPr>
              <w:ind w:left="180"/>
              <w:spacing w:after="0"/>
              <w:rPr>
                <w:sz w:val="20"/>
                <w:szCs w:val="20"/>
                <w:color w:val="auto"/>
              </w:rPr>
            </w:pPr>
            <w:r>
              <w:rPr>
                <w:rFonts w:ascii="Arial" w:cs="Arial" w:eastAsia="Arial" w:hAnsi="Arial"/>
                <w:sz w:val="15"/>
                <w:szCs w:val="15"/>
                <w:color w:val="auto"/>
              </w:rPr>
              <w:t>Flow and Agency Cash Window MSR purchases (2)</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4.18</w:t>
            </w:r>
          </w:p>
        </w:tc>
      </w:tr>
      <w:tr>
        <w:trPr>
          <w:trHeight w:val="194"/>
        </w:trPr>
        <w:tc>
          <w:tcPr>
            <w:tcW w:w="5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Reverse mortgage servicing (3)</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0.44</w:t>
            </w:r>
          </w:p>
        </w:tc>
      </w:tr>
      <w:tr>
        <w:trPr>
          <w:trHeight w:val="184"/>
        </w:trPr>
        <w:tc>
          <w:tcPr>
            <w:tcW w:w="5680" w:type="dxa"/>
            <w:vAlign w:val="bottom"/>
          </w:tcPr>
          <w:p>
            <w:pPr>
              <w:ind w:left="280"/>
              <w:spacing w:after="0"/>
              <w:rPr>
                <w:sz w:val="20"/>
                <w:szCs w:val="20"/>
                <w:color w:val="auto"/>
              </w:rPr>
            </w:pPr>
            <w:r>
              <w:rPr>
                <w:rFonts w:ascii="Arial" w:cs="Arial" w:eastAsia="Arial" w:hAnsi="Arial"/>
                <w:sz w:val="15"/>
                <w:szCs w:val="15"/>
                <w:color w:val="auto"/>
              </w:rPr>
              <w:t>Total servicing originations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6.30</w:t>
            </w:r>
          </w:p>
        </w:tc>
      </w:tr>
      <w:tr>
        <w:trPr>
          <w:trHeight w:val="194"/>
        </w:trPr>
        <w:tc>
          <w:tcPr>
            <w:tcW w:w="5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Bulk MSR purchases (2)</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184"/>
        </w:trPr>
        <w:tc>
          <w:tcPr>
            <w:tcW w:w="5680" w:type="dxa"/>
            <w:vAlign w:val="bottom"/>
          </w:tcPr>
          <w:p>
            <w:pPr>
              <w:ind w:left="180"/>
              <w:spacing w:after="0"/>
              <w:rPr>
                <w:sz w:val="20"/>
                <w:szCs w:val="20"/>
                <w:color w:val="auto"/>
              </w:rPr>
            </w:pPr>
            <w:r>
              <w:rPr>
                <w:rFonts w:ascii="Arial" w:cs="Arial" w:eastAsia="Arial" w:hAnsi="Arial"/>
                <w:sz w:val="15"/>
                <w:szCs w:val="15"/>
                <w:color w:val="auto"/>
              </w:rPr>
              <w:t>Total servicing additions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64.74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74.18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7.84</w:t>
            </w:r>
          </w:p>
        </w:tc>
      </w:tr>
      <w:tr>
        <w:trPr>
          <w:trHeight w:val="193"/>
        </w:trPr>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Subservicing additions (4)</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7.73</w:t>
            </w:r>
          </w:p>
        </w:tc>
      </w:tr>
      <w:tr>
        <w:trPr>
          <w:trHeight w:val="185"/>
        </w:trPr>
        <w:tc>
          <w:tcPr>
            <w:tcW w:w="5680" w:type="dxa"/>
            <w:vAlign w:val="bottom"/>
          </w:tcPr>
          <w:p>
            <w:pPr>
              <w:ind w:left="280"/>
              <w:spacing w:after="0"/>
              <w:rPr>
                <w:sz w:val="20"/>
                <w:szCs w:val="20"/>
                <w:color w:val="auto"/>
              </w:rPr>
            </w:pPr>
            <w:r>
              <w:rPr>
                <w:rFonts w:ascii="Arial" w:cs="Arial" w:eastAsia="Arial" w:hAnsi="Arial"/>
                <w:sz w:val="15"/>
                <w:szCs w:val="15"/>
                <w:color w:val="auto"/>
              </w:rPr>
              <w:t>Total servicing and subservicing UPB additions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15.57</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69" w:hanging="269"/>
        <w:spacing w:after="0"/>
        <w:tabs>
          <w:tab w:leader="none" w:pos="269"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the UPB of loans that have been originated or purchased during the respective periods and for which we recognize a new MSR on our consolidated balance sheets upon sale or securitization.</w:t>
      </w:r>
    </w:p>
    <w:p>
      <w:pPr>
        <w:spacing w:after="0" w:line="32" w:lineRule="exact"/>
        <w:rPr>
          <w:rFonts w:ascii="Arial" w:cs="Arial" w:eastAsia="Arial" w:hAnsi="Arial"/>
          <w:sz w:val="12"/>
          <w:szCs w:val="12"/>
          <w:color w:val="auto"/>
        </w:rPr>
      </w:pPr>
    </w:p>
    <w:p>
      <w:pPr>
        <w:ind w:left="269" w:hanging="269"/>
        <w:spacing w:after="0" w:line="236" w:lineRule="auto"/>
        <w:tabs>
          <w:tab w:leader="none" w:pos="269"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UPB of loans for which the MSR is purchased.</w:t>
      </w:r>
    </w:p>
    <w:p>
      <w:pPr>
        <w:ind w:left="269" w:right="160" w:hanging="269"/>
        <w:spacing w:after="0" w:line="236" w:lineRule="auto"/>
        <w:tabs>
          <w:tab w:leader="none" w:pos="269"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UPB of reverse mortgage loans that have been securitized on a servicing retained basis. The loans are recognized on our consolidated balance sheets under GAAP without any separate recognition of MSRs.</w:t>
      </w:r>
    </w:p>
    <w:p>
      <w:pPr>
        <w:spacing w:after="0" w:line="1" w:lineRule="exact"/>
        <w:rPr>
          <w:rFonts w:ascii="Arial" w:cs="Arial" w:eastAsia="Arial" w:hAnsi="Arial"/>
          <w:sz w:val="14"/>
          <w:szCs w:val="14"/>
          <w:color w:val="auto"/>
        </w:rPr>
      </w:pPr>
    </w:p>
    <w:p>
      <w:pPr>
        <w:ind w:left="269" w:right="60" w:hanging="269"/>
        <w:spacing w:after="0" w:line="238" w:lineRule="auto"/>
        <w:tabs>
          <w:tab w:leader="none" w:pos="269"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Interim subservicing, excluding the volume UPB associated with short-term interim subservicing for some clients as a support to their originate-to-sell business, where loans are boarded and deboarded within the same quarter.</w:t>
      </w:r>
    </w:p>
    <w:p>
      <w:pPr>
        <w:spacing w:after="0" w:line="75" w:lineRule="exact"/>
        <w:rPr>
          <w:sz w:val="20"/>
          <w:szCs w:val="20"/>
          <w:color w:val="auto"/>
        </w:rPr>
      </w:pPr>
    </w:p>
    <w:p>
      <w:pPr>
        <w:ind w:left="9" w:right="80" w:firstLine="272"/>
        <w:spacing w:after="0" w:line="278" w:lineRule="auto"/>
        <w:rPr>
          <w:sz w:val="20"/>
          <w:szCs w:val="20"/>
          <w:color w:val="auto"/>
        </w:rPr>
      </w:pPr>
      <w:r>
        <w:rPr>
          <w:rFonts w:ascii="Arial" w:cs="Arial" w:eastAsia="Arial" w:hAnsi="Arial"/>
          <w:sz w:val="15"/>
          <w:szCs w:val="15"/>
          <w:color w:val="auto"/>
        </w:rPr>
        <w:t>In addition, we launched our joint venture MSR investment with Oaktree. In June 2021, Oaktree and Ocwen invested in their respective equity share (85% and 15%) to fund MAV’s purchase of an $8.7 billion GSE MSR that PMC will subservice starting in the third quarter of 2021.</w:t>
      </w:r>
    </w:p>
    <w:p>
      <w:pPr>
        <w:spacing w:after="0" w:line="200" w:lineRule="exact"/>
        <w:rPr>
          <w:sz w:val="20"/>
          <w:szCs w:val="20"/>
          <w:color w:val="auto"/>
        </w:rPr>
      </w:pPr>
    </w:p>
    <w:p>
      <w:pPr>
        <w:spacing w:after="0" w:line="31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59" w:name="page60"/>
    <w:bookmarkEnd w:id="59"/>
    <w:p>
      <w:pPr>
        <w:ind w:right="60" w:firstLine="272"/>
        <w:spacing w:after="0" w:line="258" w:lineRule="auto"/>
        <w:rPr>
          <w:sz w:val="20"/>
          <w:szCs w:val="20"/>
          <w:color w:val="auto"/>
        </w:rPr>
      </w:pPr>
      <w:r>
        <w:rPr>
          <w:rFonts w:ascii="Arial" w:cs="Arial" w:eastAsia="Arial" w:hAnsi="Arial"/>
          <w:sz w:val="15"/>
          <w:szCs w:val="15"/>
          <w:color w:val="auto"/>
        </w:rPr>
        <w:t>On June 17, 2021, PMC entered into an asset purchase agreement with Reverse Mortgage Solutions, Inc. (RMS) and its parent, Mortgage Assets Management, LLC (MAM), to acquire certain assets of RMS related to reverse mortgage subservicing. The transaction is expected to close in the second half of 2021, subject to customary closing conditions including regulatory approval. PMC will become the subservicer under a five-year subservicing agreement for reverse mortgages owned by RMS and MAM. RMS serviced approximately 37,000 loans with UPB of $8.4 billion as of June 30, 2021. The transaction would effectively double the size of our reverse servicing business in a capital efficient manner and allow for further economies of scale as we develop our in-house reverse servicing platform.</w:t>
      </w:r>
    </w:p>
    <w:p>
      <w:pPr>
        <w:spacing w:after="0" w:line="71" w:lineRule="exact"/>
        <w:rPr>
          <w:sz w:val="20"/>
          <w:szCs w:val="20"/>
          <w:color w:val="auto"/>
        </w:rPr>
      </w:pPr>
    </w:p>
    <w:p>
      <w:pPr>
        <w:ind w:right="40" w:firstLine="272"/>
        <w:spacing w:after="0" w:line="278" w:lineRule="auto"/>
        <w:rPr>
          <w:sz w:val="20"/>
          <w:szCs w:val="20"/>
          <w:color w:val="auto"/>
        </w:rPr>
      </w:pPr>
      <w:r>
        <w:rPr>
          <w:rFonts w:ascii="Arial" w:cs="Arial" w:eastAsia="Arial" w:hAnsi="Arial"/>
          <w:sz w:val="14"/>
          <w:szCs w:val="14"/>
          <w:color w:val="auto"/>
        </w:rPr>
        <w:t>The following table summarizes the average volume of our Servicing segment during the current quarter, compared with the preceding quarter and the same quarter of the prior year. The average volume of Servicing is a key driver of the profitability of our Servicing segment. The relative weight of performing and delinquent loans drives the gross revenue and expenses, and their timing. In the second quarter of 2021, we have increased our total average servicing portfolio by $10.5 billion, with GSE MSR bulk acquisitions growing our owned MSR portfolio and offsetting the significant runoff on our servicing and subservicing portfolios due to historical refinancing activities by borrowers. In addition to runoff, the NRZ portfolio declined as a result of the termination by NRZ of the PMC servicing agreement resulting in the deboarding of loans with $34.2 billion of UPB in September and October 2020. This quarter established the foundation of a transformed servicing portfolio, with the significant addition of a high credit quality GSE MSR portfolio and the continued reduction of our non-Agency servicing, also reducing our concentration with NRZ servicing agreements.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spacing w:after="0"/>
              <w:rPr>
                <w:sz w:val="20"/>
                <w:szCs w:val="20"/>
                <w:color w:val="auto"/>
              </w:rPr>
            </w:pPr>
            <w:r>
              <w:rPr>
                <w:rFonts w:ascii="Arial" w:cs="Arial" w:eastAsia="Arial" w:hAnsi="Arial"/>
                <w:sz w:val="15"/>
                <w:szCs w:val="15"/>
                <w:i w:val="1"/>
                <w:iCs w:val="1"/>
                <w:color w:val="auto"/>
              </w:rPr>
              <w:t>$ in billions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00"/>
              <w:spacing w:after="0"/>
              <w:rPr>
                <w:sz w:val="20"/>
                <w:szCs w:val="20"/>
                <w:color w:val="auto"/>
              </w:rPr>
            </w:pPr>
            <w:r>
              <w:rPr>
                <w:rFonts w:ascii="Arial" w:cs="Arial" w:eastAsia="Arial" w:hAnsi="Arial"/>
                <w:sz w:val="15"/>
                <w:szCs w:val="15"/>
                <w:b w:val="1"/>
                <w:bCs w:val="1"/>
                <w:color w:val="auto"/>
              </w:rPr>
              <w:t>Average UPB</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5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5"/>
                <w:szCs w:val="15"/>
                <w:b w:val="1"/>
                <w:bCs w:val="1"/>
                <w:color w:val="auto"/>
              </w:rPr>
              <w:t>Six Months Ended</w:t>
            </w:r>
          </w:p>
        </w:tc>
      </w:tr>
      <w:tr>
        <w:trPr>
          <w:trHeight w:val="184"/>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3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Pr>
          <w:p>
            <w:pPr>
              <w:spacing w:after="0"/>
              <w:rPr>
                <w:sz w:val="16"/>
                <w:szCs w:val="16"/>
                <w:color w:val="auto"/>
              </w:rPr>
            </w:pPr>
          </w:p>
        </w:tc>
        <w:tc>
          <w:tcPr>
            <w:tcW w:w="1160" w:type="dxa"/>
            <w:vAlign w:val="bottom"/>
          </w:tcPr>
          <w:p>
            <w:pPr>
              <w:jc w:val="right"/>
              <w:ind w:right="144"/>
              <w:spacing w:after="0"/>
              <w:rPr>
                <w:sz w:val="20"/>
                <w:szCs w:val="20"/>
                <w:color w:val="auto"/>
              </w:rPr>
            </w:pPr>
            <w:r>
              <w:rPr>
                <w:rFonts w:ascii="Arial" w:cs="Arial" w:eastAsia="Arial" w:hAnsi="Arial"/>
                <w:sz w:val="15"/>
                <w:szCs w:val="15"/>
                <w:b w:val="1"/>
                <w:bCs w:val="1"/>
                <w:color w:val="auto"/>
                <w:w w:val="94"/>
              </w:rPr>
              <w:t>June 30, 2020</w:t>
            </w:r>
          </w:p>
        </w:tc>
      </w:tr>
      <w:tr>
        <w:trPr>
          <w:trHeight w:val="184"/>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Owned MSR</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108.3</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90.4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100.5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68.1</w:t>
            </w:r>
          </w:p>
        </w:tc>
      </w:tr>
      <w:tr>
        <w:trPr>
          <w:trHeight w:val="192"/>
        </w:trPr>
        <w:tc>
          <w:tcPr>
            <w:tcW w:w="5680" w:type="dxa"/>
            <w:vAlign w:val="bottom"/>
          </w:tcPr>
          <w:p>
            <w:pPr>
              <w:spacing w:after="0"/>
              <w:rPr>
                <w:sz w:val="20"/>
                <w:szCs w:val="20"/>
                <w:color w:val="auto"/>
              </w:rPr>
            </w:pPr>
            <w:r>
              <w:rPr>
                <w:rFonts w:ascii="Arial" w:cs="Arial" w:eastAsia="Arial" w:hAnsi="Arial"/>
                <w:sz w:val="15"/>
                <w:szCs w:val="15"/>
                <w:color w:val="auto"/>
              </w:rPr>
              <w:t>NRZ</w:t>
            </w:r>
          </w:p>
        </w:tc>
        <w:tc>
          <w:tcPr>
            <w:tcW w:w="16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62.9</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24"/>
              <w:spacing w:after="0"/>
              <w:rPr>
                <w:sz w:val="20"/>
                <w:szCs w:val="20"/>
                <w:color w:val="auto"/>
              </w:rPr>
            </w:pPr>
            <w:r>
              <w:rPr>
                <w:rFonts w:ascii="Arial" w:cs="Arial" w:eastAsia="Arial" w:hAnsi="Arial"/>
                <w:sz w:val="15"/>
                <w:szCs w:val="15"/>
                <w:color w:val="auto"/>
              </w:rPr>
              <w:t>65.8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64.3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114.9</w:t>
            </w:r>
          </w:p>
        </w:tc>
      </w:tr>
      <w:tr>
        <w:trPr>
          <w:trHeight w:val="194"/>
        </w:trPr>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Subservicing</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17.9</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17.7</w:t>
            </w:r>
          </w:p>
        </w:tc>
      </w:tr>
      <w:tr>
        <w:trPr>
          <w:trHeight w:val="192"/>
        </w:trPr>
        <w:tc>
          <w:tcPr>
            <w:tcW w:w="5680" w:type="dxa"/>
            <w:vAlign w:val="bottom"/>
          </w:tcPr>
          <w:p>
            <w:pPr>
              <w:spacing w:after="0"/>
              <w:rPr>
                <w:sz w:val="20"/>
                <w:szCs w:val="20"/>
                <w:color w:val="auto"/>
              </w:rPr>
            </w:pPr>
            <w:r>
              <w:rPr>
                <w:rFonts w:ascii="Arial" w:cs="Arial" w:eastAsia="Arial" w:hAnsi="Arial"/>
                <w:sz w:val="15"/>
                <w:szCs w:val="15"/>
                <w:color w:val="auto"/>
              </w:rPr>
              <w:t>Reverse mortgage loans</w:t>
            </w:r>
          </w:p>
        </w:tc>
        <w:tc>
          <w:tcPr>
            <w:tcW w:w="16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24"/>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6.4</w:t>
            </w:r>
          </w:p>
        </w:tc>
      </w:tr>
      <w:tr>
        <w:trPr>
          <w:trHeight w:val="193"/>
        </w:trPr>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Commercial and other servicing</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w:t>
            </w:r>
          </w:p>
        </w:tc>
      </w:tr>
      <w:tr>
        <w:trPr>
          <w:trHeight w:val="185"/>
        </w:trPr>
        <w:tc>
          <w:tcPr>
            <w:tcW w:w="5680" w:type="dxa"/>
            <w:vAlign w:val="bottom"/>
          </w:tcPr>
          <w:p>
            <w:pPr>
              <w:ind w:left="100"/>
              <w:spacing w:after="0"/>
              <w:rPr>
                <w:sz w:val="20"/>
                <w:szCs w:val="20"/>
                <w:color w:val="auto"/>
              </w:rPr>
            </w:pPr>
            <w:r>
              <w:rPr>
                <w:rFonts w:ascii="Arial" w:cs="Arial" w:eastAsia="Arial" w:hAnsi="Arial"/>
                <w:sz w:val="15"/>
                <w:szCs w:val="15"/>
                <w:color w:val="auto"/>
              </w:rPr>
              <w:t>Total serviced UPB (average)</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196.8</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186.3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193.2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208.1</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June 30, 2021, the total serviced UPB amounted to $237.3 billion. Refer to Note 7 – Mortgage Servicing for further detail of the MSR UPB.</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Financial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Results of operations for the second quarter of 2021</w:t>
      </w:r>
    </w:p>
    <w:p>
      <w:pPr>
        <w:spacing w:after="0" w:line="100" w:lineRule="exact"/>
        <w:rPr>
          <w:sz w:val="20"/>
          <w:szCs w:val="20"/>
          <w:color w:val="auto"/>
        </w:rPr>
      </w:pPr>
    </w:p>
    <w:p>
      <w:pPr>
        <w:ind w:left="540" w:hanging="277"/>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Net loss of $10 million, or $(1.15) per share basic and diluted</w:t>
      </w:r>
    </w:p>
    <w:p>
      <w:pPr>
        <w:spacing w:after="0" w:line="54" w:lineRule="exact"/>
        <w:rPr>
          <w:rFonts w:ascii="Arial" w:cs="Arial" w:eastAsia="Arial" w:hAnsi="Arial"/>
          <w:sz w:val="15"/>
          <w:szCs w:val="15"/>
          <w:color w:val="auto"/>
        </w:rPr>
      </w:pPr>
    </w:p>
    <w:p>
      <w:pPr>
        <w:ind w:left="540" w:hanging="277"/>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Servicing fee revenue of $184 million</w:t>
      </w:r>
    </w:p>
    <w:p>
      <w:pPr>
        <w:spacing w:after="0" w:line="54" w:lineRule="exact"/>
        <w:rPr>
          <w:rFonts w:ascii="Arial" w:cs="Arial" w:eastAsia="Arial" w:hAnsi="Arial"/>
          <w:sz w:val="15"/>
          <w:szCs w:val="15"/>
          <w:color w:val="auto"/>
        </w:rPr>
      </w:pPr>
    </w:p>
    <w:p>
      <w:pPr>
        <w:ind w:left="540" w:hanging="277"/>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Originations gain on sale of $27 million</w:t>
      </w:r>
    </w:p>
    <w:p>
      <w:pPr>
        <w:spacing w:after="0" w:line="43" w:lineRule="exact"/>
        <w:rPr>
          <w:rFonts w:ascii="Arial" w:cs="Arial" w:eastAsia="Arial" w:hAnsi="Arial"/>
          <w:sz w:val="15"/>
          <w:szCs w:val="15"/>
          <w:color w:val="auto"/>
        </w:rPr>
      </w:pPr>
    </w:p>
    <w:p>
      <w:pPr>
        <w:ind w:left="540" w:hanging="277"/>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$21 million MSR valuation loss on our owned MSRs attributable to rate and assumption changes, net of hedging</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condition at the end of the second quarter of 2021</w:t>
      </w:r>
    </w:p>
    <w:p>
      <w:pPr>
        <w:spacing w:after="0" w:line="100" w:lineRule="exact"/>
        <w:rPr>
          <w:sz w:val="20"/>
          <w:szCs w:val="20"/>
          <w:color w:val="auto"/>
        </w:rPr>
      </w:pPr>
    </w:p>
    <w:p>
      <w:pPr>
        <w:ind w:left="540" w:hanging="277"/>
        <w:spacing w:after="0"/>
        <w:tabs>
          <w:tab w:leader="none" w:pos="540" w:val="left"/>
        </w:tabs>
        <w:numPr>
          <w:ilvl w:val="0"/>
          <w:numId w:val="33"/>
        </w:numPr>
        <w:rPr>
          <w:rFonts w:ascii="Arial" w:cs="Arial" w:eastAsia="Arial" w:hAnsi="Arial"/>
          <w:sz w:val="15"/>
          <w:szCs w:val="15"/>
          <w:b w:val="1"/>
          <w:bCs w:val="1"/>
          <w:color w:val="auto"/>
        </w:rPr>
      </w:pPr>
      <w:r>
        <w:rPr>
          <w:rFonts w:ascii="Arial" w:cs="Arial" w:eastAsia="Arial" w:hAnsi="Arial"/>
          <w:sz w:val="15"/>
          <w:szCs w:val="15"/>
          <w:color w:val="auto"/>
        </w:rPr>
        <w:t>Stockholders’ equity of $447 million, or $48.66 book value per common share</w:t>
      </w:r>
    </w:p>
    <w:p>
      <w:pPr>
        <w:spacing w:after="0" w:line="54" w:lineRule="exact"/>
        <w:rPr>
          <w:rFonts w:ascii="Arial" w:cs="Arial" w:eastAsia="Arial" w:hAnsi="Arial"/>
          <w:sz w:val="15"/>
          <w:szCs w:val="15"/>
          <w:b w:val="1"/>
          <w:bCs w:val="1"/>
          <w:color w:val="auto"/>
        </w:rPr>
      </w:pPr>
    </w:p>
    <w:p>
      <w:pPr>
        <w:ind w:left="540" w:hanging="277"/>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MSR investment of $2.1 billion, with $0.7 billion net additions in the quarter</w:t>
      </w:r>
    </w:p>
    <w:p>
      <w:pPr>
        <w:spacing w:after="0" w:line="54" w:lineRule="exact"/>
        <w:rPr>
          <w:rFonts w:ascii="Arial" w:cs="Arial" w:eastAsia="Arial" w:hAnsi="Arial"/>
          <w:sz w:val="15"/>
          <w:szCs w:val="15"/>
          <w:color w:val="auto"/>
        </w:rPr>
      </w:pPr>
    </w:p>
    <w:p>
      <w:pPr>
        <w:ind w:left="540" w:hanging="277"/>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Liquidity position of $244 million</w:t>
      </w:r>
    </w:p>
    <w:p>
      <w:pPr>
        <w:spacing w:after="0" w:line="54" w:lineRule="exact"/>
        <w:rPr>
          <w:rFonts w:ascii="Arial" w:cs="Arial" w:eastAsia="Arial" w:hAnsi="Arial"/>
          <w:sz w:val="15"/>
          <w:szCs w:val="15"/>
          <w:color w:val="auto"/>
        </w:rPr>
      </w:pPr>
    </w:p>
    <w:p>
      <w:pPr>
        <w:ind w:left="540" w:hanging="277"/>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Total assets of $11.8 billion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Initiatives</w:t>
      </w:r>
    </w:p>
    <w:p>
      <w:pPr>
        <w:spacing w:after="0" w:line="104" w:lineRule="exact"/>
        <w:rPr>
          <w:sz w:val="20"/>
          <w:szCs w:val="20"/>
          <w:color w:val="auto"/>
        </w:rPr>
      </w:pPr>
    </w:p>
    <w:p>
      <w:pPr>
        <w:ind w:right="400" w:firstLine="272"/>
        <w:spacing w:after="0" w:line="278" w:lineRule="auto"/>
        <w:rPr>
          <w:sz w:val="20"/>
          <w:szCs w:val="20"/>
          <w:color w:val="auto"/>
        </w:rPr>
      </w:pPr>
      <w:r>
        <w:rPr>
          <w:rFonts w:ascii="Arial" w:cs="Arial" w:eastAsia="Arial" w:hAnsi="Arial"/>
          <w:sz w:val="15"/>
          <w:szCs w:val="15"/>
          <w:color w:val="auto"/>
        </w:rPr>
        <w:t>In 2021, we have established five key operating objectives to drive improved value for shareholders, as our near-term priority remains to return to sustainable profitability. Our objectives are focused on:</w:t>
      </w:r>
    </w:p>
    <w:p>
      <w:pPr>
        <w:spacing w:after="0" w:line="54" w:lineRule="exact"/>
        <w:rPr>
          <w:sz w:val="20"/>
          <w:szCs w:val="20"/>
          <w:color w:val="auto"/>
        </w:rPr>
      </w:pPr>
    </w:p>
    <w:p>
      <w:pPr>
        <w:ind w:left="540" w:hanging="277"/>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Accelerating growth, by expanding our client base and our product offerings, and by leveraging our MSR asset vehicle with Oaktree;</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Strengthening recapture performance, by expanding our operating capacity;</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Improving our cost leadership position, by driving productivity and efficiencies, with our technology and continuous improvement initiatives;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60" w:name="page61"/>
    <w:bookmarkEnd w:id="60"/>
    <w:p>
      <w:pPr>
        <w:ind w:left="540" w:right="220" w:hanging="277"/>
        <w:spacing w:after="0" w:line="259"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Maintaining high quality operational execution, through our technology and continuous improvement initiatives, and our commitment to employee engagement and customer satisfaction; and</w:t>
      </w:r>
    </w:p>
    <w:p>
      <w:pPr>
        <w:ind w:left="540" w:hanging="277"/>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Expanding servicing and other revenue opportunities.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MAV and Oaktree Relationship</w:t>
      </w:r>
    </w:p>
    <w:p>
      <w:pPr>
        <w:spacing w:after="0" w:line="104" w:lineRule="exact"/>
        <w:rPr>
          <w:sz w:val="20"/>
          <w:szCs w:val="20"/>
          <w:color w:val="auto"/>
        </w:rPr>
      </w:pPr>
    </w:p>
    <w:p>
      <w:pPr>
        <w:ind w:firstLine="272"/>
        <w:spacing w:after="0" w:line="256" w:lineRule="auto"/>
        <w:rPr>
          <w:sz w:val="20"/>
          <w:szCs w:val="20"/>
          <w:color w:val="auto"/>
        </w:rPr>
      </w:pPr>
      <w:r>
        <w:rPr>
          <w:rFonts w:ascii="Arial" w:cs="Arial" w:eastAsia="Arial" w:hAnsi="Arial"/>
          <w:sz w:val="15"/>
          <w:szCs w:val="15"/>
          <w:color w:val="auto"/>
        </w:rPr>
        <w:t>On May 3, 2021, we formally launched our MSR Asset Vehicle (MAV) and entered into a number of definitive agreements with Oaktree. Oaktree and Ocwen committed 85% and 15%, respectively, to fund GSE MSR investments on a pro rata basis up to a total aggregate commitment of $250 million. This joint venture is structured to provide Oaktree with MSR investment opportunities and returns, while providing PMC scale and income through subservicing and recapture services. Additionally, PMC earns direct MSR investment income through its 15% ownership stake and potential carried interest on investment returns exceeding certain thresholds. Under the arrangement, MAV has a non-compete to purchase certain GSE MSRs through specific channels in cooperation with PMC. In addition, Ocwen must offer MAV the first opportunity to purchase GSE MSRs sold by Ocwen or its affiliates that meet certain criteria. Both the non-compete and the right of first offer are subject to various restrictions and in effect until MAV has been fully funded, or, if earlier, in the case of the right of first offer, until December 21, 2023 (subject to mutual consent). In exchange, PMC receives exclusive subservicing and recapture rights, subject generally to ongoing performance and financial standards.</w:t>
      </w:r>
    </w:p>
    <w:p>
      <w:pPr>
        <w:spacing w:after="0" w:line="71" w:lineRule="exact"/>
        <w:rPr>
          <w:sz w:val="20"/>
          <w:szCs w:val="20"/>
          <w:color w:val="auto"/>
        </w:rPr>
      </w:pPr>
    </w:p>
    <w:p>
      <w:pPr>
        <w:ind w:right="280" w:firstLine="272"/>
        <w:spacing w:after="0" w:line="278" w:lineRule="auto"/>
        <w:rPr>
          <w:sz w:val="20"/>
          <w:szCs w:val="20"/>
          <w:color w:val="auto"/>
        </w:rPr>
      </w:pPr>
      <w:r>
        <w:rPr>
          <w:rFonts w:ascii="Arial" w:cs="Arial" w:eastAsia="Arial" w:hAnsi="Arial"/>
          <w:sz w:val="15"/>
          <w:szCs w:val="15"/>
          <w:color w:val="auto"/>
        </w:rPr>
        <w:t>The agreements did not result in any financial impact to the financial statements as of June 30, 2021, nor for the second quarter of 2021. Subservicing and recapture activities are expected to start in the third quarter of 2021.</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Pandemic Update</w:t>
      </w:r>
    </w:p>
    <w:p>
      <w:pPr>
        <w:spacing w:after="0" w:line="104" w:lineRule="exact"/>
        <w:rPr>
          <w:sz w:val="20"/>
          <w:szCs w:val="20"/>
          <w:color w:val="auto"/>
        </w:rPr>
      </w:pPr>
    </w:p>
    <w:p>
      <w:pPr>
        <w:ind w:right="20" w:firstLine="272"/>
        <w:spacing w:after="0" w:line="265" w:lineRule="auto"/>
        <w:rPr>
          <w:sz w:val="20"/>
          <w:szCs w:val="20"/>
          <w:color w:val="auto"/>
        </w:rPr>
      </w:pPr>
      <w:r>
        <w:rPr>
          <w:rFonts w:ascii="Arial" w:cs="Arial" w:eastAsia="Arial" w:hAnsi="Arial"/>
          <w:sz w:val="15"/>
          <w:szCs w:val="15"/>
          <w:color w:val="auto"/>
        </w:rPr>
        <w:t>Our financial performance in 2020 was affected by the Coronavirus Disease 2019 (COVID-19) pandemic, mostly due to large losses on MSRs and lower revenue in our Servicing business, partially offset by the growth and profitability of our Originations business. Furthermore, the CARES Act allowed us to recognize income tax benefits in 2020 mostly due to the carryback of a portion of our prior net operating losses.</w:t>
      </w:r>
    </w:p>
    <w:p>
      <w:pPr>
        <w:spacing w:after="0" w:line="64" w:lineRule="exact"/>
        <w:rPr>
          <w:sz w:val="20"/>
          <w:szCs w:val="20"/>
          <w:color w:val="auto"/>
        </w:rPr>
      </w:pPr>
    </w:p>
    <w:p>
      <w:pPr>
        <w:jc w:val="both"/>
        <w:ind w:right="360" w:firstLine="272"/>
        <w:spacing w:after="0" w:line="296" w:lineRule="auto"/>
        <w:rPr>
          <w:sz w:val="20"/>
          <w:szCs w:val="20"/>
          <w:color w:val="auto"/>
        </w:rPr>
      </w:pPr>
      <w:r>
        <w:rPr>
          <w:rFonts w:ascii="Arial" w:cs="Arial" w:eastAsia="Arial" w:hAnsi="Arial"/>
          <w:sz w:val="13"/>
          <w:szCs w:val="13"/>
          <w:color w:val="auto"/>
        </w:rPr>
        <w:t>During the first and second quarters of 2021, our businesses continued to be impacted by the COVID-19 pandemic, with the Servicing business negatively affected by the loans placed under forbearance and the moratorium on foreclosures, and by elevated prepayments of our servicing portfolio. The collection and recognition of servicing fees and ancillary income related to forbearance loans are delayed or reduced. In addition, the foreclosure moratorium continues to delay our collection and recognition of deferred service fees.</w:t>
      </w:r>
    </w:p>
    <w:p>
      <w:pPr>
        <w:spacing w:after="0" w:line="1" w:lineRule="exact"/>
        <w:rPr>
          <w:sz w:val="20"/>
          <w:szCs w:val="20"/>
          <w:color w:val="auto"/>
        </w:rPr>
      </w:pPr>
    </w:p>
    <w:p>
      <w:pPr>
        <w:jc w:val="both"/>
        <w:ind w:right="360"/>
        <w:spacing w:after="0" w:line="265" w:lineRule="auto"/>
        <w:rPr>
          <w:sz w:val="20"/>
          <w:szCs w:val="20"/>
          <w:color w:val="auto"/>
        </w:rPr>
      </w:pPr>
      <w:r>
        <w:rPr>
          <w:rFonts w:ascii="Arial" w:cs="Arial" w:eastAsia="Arial" w:hAnsi="Arial"/>
          <w:sz w:val="15"/>
          <w:szCs w:val="15"/>
          <w:color w:val="auto"/>
        </w:rPr>
        <w:t>Conversely, our Originations business has continued to benefit from high refinance activities during the first quarter of 2021 due to a relatively low rate environment, despite higher competition and lower margins.</w:t>
      </w:r>
    </w:p>
    <w:p>
      <w:pPr>
        <w:spacing w:after="0" w:line="64" w:lineRule="exact"/>
        <w:rPr>
          <w:sz w:val="20"/>
          <w:szCs w:val="20"/>
          <w:color w:val="auto"/>
        </w:rPr>
      </w:pPr>
    </w:p>
    <w:p>
      <w:pPr>
        <w:ind w:right="100" w:firstLine="272"/>
        <w:spacing w:after="0" w:line="261" w:lineRule="auto"/>
        <w:rPr>
          <w:sz w:val="20"/>
          <w:szCs w:val="20"/>
          <w:color w:val="auto"/>
        </w:rPr>
      </w:pPr>
      <w:r>
        <w:rPr>
          <w:rFonts w:ascii="Arial" w:cs="Arial" w:eastAsia="Arial" w:hAnsi="Arial"/>
          <w:sz w:val="15"/>
          <w:szCs w:val="15"/>
          <w:color w:val="auto"/>
        </w:rPr>
        <w:t>As of June 30, 2021, we managed 67,300 loans under forbearance, 17,200 of which related to our owned MSRs (excluding NRZ), or 5.3% of our total portfolio and 2.4% of our owned MSR servicing portfolio (excluding NRZ), respectively. As of June 30, 2021, the number of loans under forbearance continued to trend down, as illustrated by the below chart of forbearance plans by investor for our owned MSR portfolio (excluding NRZ). We expect an increase in loan modifications in the near term as borrowers reach their available extensions of forbearance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48895</wp:posOffset>
            </wp:positionV>
            <wp:extent cx="3263900" cy="1339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63900" cy="133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firstLine="272"/>
        <w:spacing w:after="0" w:line="257" w:lineRule="auto"/>
        <w:rPr>
          <w:sz w:val="20"/>
          <w:szCs w:val="20"/>
          <w:color w:val="auto"/>
        </w:rPr>
      </w:pPr>
      <w:r>
        <w:rPr>
          <w:rFonts w:ascii="Arial" w:cs="Arial" w:eastAsia="Arial" w:hAnsi="Arial"/>
          <w:sz w:val="15"/>
          <w:szCs w:val="15"/>
          <w:color w:val="auto"/>
        </w:rPr>
        <w:t>We continue to operate through a secure remote workforce model for substantially all of our global workforce and continue to adhere to COVID-19 health and safety-related requirements and best practices across all of our locations. We monitor the impact of the pandemic on our workforce and have established business resiliency plans for all our locations. At June 30, 2021, we had approximately 5,200 employees, of which approximately 3,100 were located in India and approximately 500 were based in the Philippines. Due to the rising incidence of COVID-19 illness in these areas, we could face a reduction in employee availability which could impact our operations generally and loan servicing operations especially. While we have contingency and continuity plans in place, we cannot guarantee that our operations will not be negatively impacted. To date, our operations have not been significantly affected.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61" w:name="page62"/>
    <w:bookmarkEnd w:id="61"/>
    <w:p>
      <w:pPr>
        <w:ind w:right="60" w:firstLine="272"/>
        <w:spacing w:after="0" w:line="278" w:lineRule="auto"/>
        <w:rPr>
          <w:sz w:val="20"/>
          <w:szCs w:val="20"/>
          <w:color w:val="auto"/>
        </w:rPr>
      </w:pPr>
      <w:r>
        <w:rPr>
          <w:rFonts w:ascii="Arial" w:cs="Arial" w:eastAsia="Arial" w:hAnsi="Arial"/>
          <w:sz w:val="15"/>
          <w:szCs w:val="15"/>
          <w:color w:val="auto"/>
        </w:rPr>
        <w:t>Uncertainties related to the duration and severity of the pandemic and related economic downturn remain and make it difficult for us to determine the continued ongoing impact the pandemic may have on us and our business, financial condition, liquidity or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 and Financial Condition</w:t>
      </w:r>
    </w:p>
    <w:p>
      <w:pPr>
        <w:spacing w:after="0" w:line="104" w:lineRule="exact"/>
        <w:rPr>
          <w:sz w:val="20"/>
          <w:szCs w:val="20"/>
          <w:color w:val="auto"/>
        </w:rPr>
      </w:pPr>
    </w:p>
    <w:p>
      <w:pPr>
        <w:ind w:firstLine="272"/>
        <w:spacing w:after="0" w:line="292" w:lineRule="auto"/>
        <w:rPr>
          <w:sz w:val="20"/>
          <w:szCs w:val="20"/>
          <w:color w:val="auto"/>
        </w:rPr>
      </w:pPr>
      <w:r>
        <w:rPr>
          <w:rFonts w:ascii="Arial" w:cs="Arial" w:eastAsia="Arial" w:hAnsi="Arial"/>
          <w:sz w:val="14"/>
          <w:szCs w:val="14"/>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20" w:type="dxa"/>
            <w:vAlign w:val="bottom"/>
          </w:tcPr>
          <w:p>
            <w:pPr>
              <w:spacing w:after="0"/>
              <w:rPr>
                <w:sz w:val="16"/>
                <w:szCs w:val="16"/>
                <w:color w:val="auto"/>
              </w:rPr>
            </w:pPr>
          </w:p>
        </w:tc>
        <w:tc>
          <w:tcPr>
            <w:tcW w:w="116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60" w:type="dxa"/>
            <w:vAlign w:val="bottom"/>
          </w:tcPr>
          <w:p>
            <w:pPr>
              <w:spacing w:after="0"/>
              <w:rPr>
                <w:sz w:val="16"/>
                <w:szCs w:val="16"/>
                <w:color w:val="auto"/>
              </w:rPr>
            </w:pPr>
          </w:p>
        </w:tc>
        <w:tc>
          <w:tcPr>
            <w:tcW w:w="1120" w:type="dxa"/>
            <w:vAlign w:val="bottom"/>
          </w:tcPr>
          <w:p>
            <w:pPr>
              <w:jc w:val="right"/>
              <w:ind w:right="344"/>
              <w:spacing w:after="0"/>
              <w:rPr>
                <w:sz w:val="20"/>
                <w:szCs w:val="20"/>
                <w:color w:val="auto"/>
              </w:rPr>
            </w:pPr>
            <w:r>
              <w:rPr>
                <w:rFonts w:ascii="Arial" w:cs="Arial" w:eastAsia="Arial" w:hAnsi="Arial"/>
                <w:sz w:val="15"/>
                <w:szCs w:val="15"/>
                <w:b w:val="1"/>
                <w:bCs w:val="1"/>
                <w:color w:val="auto"/>
              </w:rPr>
              <w:t>June 30,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5"/>
                <w:szCs w:val="15"/>
                <w:b w:val="1"/>
                <w:bCs w:val="1"/>
                <w:color w:val="auto"/>
              </w:rPr>
              <w:t>Results of Operations Summary</w:t>
            </w:r>
          </w:p>
        </w:tc>
        <w:tc>
          <w:tcPr>
            <w:tcW w:w="240" w:type="dxa"/>
            <w:vAlign w:val="bottom"/>
          </w:tcPr>
          <w:p>
            <w:pPr>
              <w:spacing w:after="0"/>
              <w:rPr>
                <w:sz w:val="18"/>
                <w:szCs w:val="18"/>
                <w:color w:val="auto"/>
              </w:rPr>
            </w:pPr>
          </w:p>
        </w:tc>
        <w:tc>
          <w:tcPr>
            <w:tcW w:w="114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 Change</w:t>
            </w:r>
          </w:p>
        </w:tc>
        <w:tc>
          <w:tcPr>
            <w:tcW w:w="260" w:type="dxa"/>
            <w:vAlign w:val="bottom"/>
          </w:tcPr>
          <w:p>
            <w:pPr>
              <w:spacing w:after="0"/>
              <w:rPr>
                <w:sz w:val="18"/>
                <w:szCs w:val="18"/>
                <w:color w:val="auto"/>
              </w:rPr>
            </w:pPr>
          </w:p>
        </w:tc>
        <w:tc>
          <w:tcPr>
            <w:tcW w:w="1140" w:type="dxa"/>
            <w:vAlign w:val="bottom"/>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93"/>
              </w:rPr>
              <w:t>% Change</w:t>
            </w:r>
          </w:p>
        </w:tc>
        <w:tc>
          <w:tcPr>
            <w:tcW w:w="0" w:type="dxa"/>
            <w:vAlign w:val="bottom"/>
          </w:tcPr>
          <w:p>
            <w:pPr>
              <w:spacing w:after="0"/>
              <w:rPr>
                <w:sz w:val="1"/>
                <w:szCs w:val="1"/>
                <w:color w:val="auto"/>
              </w:rPr>
            </w:pPr>
          </w:p>
        </w:tc>
      </w:tr>
      <w:tr>
        <w:trPr>
          <w:trHeight w:val="174"/>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Servicing and subservicing fees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184.4</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171.7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7 %</w:t>
            </w:r>
          </w:p>
        </w:tc>
        <w:tc>
          <w:tcPr>
            <w:tcW w:w="1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356.2</w:t>
            </w:r>
          </w:p>
        </w:tc>
        <w:tc>
          <w:tcPr>
            <w:tcW w:w="1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386.7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Reverse mortgage revenue, net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21.8</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36.6</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Gain on loans held for sale, net</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5.7</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647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48.4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46.9</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revenue, net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8.3</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10.7</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4"/>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265.4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207.6</w:t>
            </w:r>
          </w:p>
        </w:tc>
        <w:tc>
          <w:tcPr>
            <w:tcW w:w="110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473.0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480.9</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7"/>
        </w:trPr>
        <w:tc>
          <w:tcPr>
            <w:tcW w:w="3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20" w:type="dxa"/>
            <w:vAlign w:val="bottom"/>
          </w:tcPr>
          <w:p>
            <w:pPr>
              <w:spacing w:after="0"/>
              <w:rPr>
                <w:sz w:val="20"/>
                <w:szCs w:val="20"/>
                <w:color w:val="auto"/>
              </w:rPr>
            </w:pPr>
            <w:r>
              <w:rPr>
                <w:rFonts w:ascii="Arial" w:cs="Arial" w:eastAsia="Arial" w:hAnsi="Arial"/>
                <w:sz w:val="15"/>
                <w:szCs w:val="15"/>
                <w:b w:val="1"/>
                <w:bCs w:val="1"/>
                <w:color w:val="auto"/>
              </w:rPr>
              <w:t>MSR valuation adjustments, net</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21.2</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(442)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(51.2)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(197.6)</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36"/>
        </w:trPr>
        <w:tc>
          <w:tcPr>
            <w:tcW w:w="3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2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Compensation and benefits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68.3</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125.7</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Servicing and origination</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27.5</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54.1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37.6</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Professional services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17.3</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49.5</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Technology and communications</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31.3</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Occupancy and equipment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8.9</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28.1</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expenses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4.6</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9.0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9.8</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149.8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139.6</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289.4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282.0</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 (expense)</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Interest income</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3.9</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9.0</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Interest expense</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(28.5)</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(56.7)</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Pledged MSR liability expense, net</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(37.9)</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(77.7)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(48.3)</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Loss on extinguishment of debt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(15.5)</w:t>
            </w: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1"/>
              </w:rPr>
              <w:t>(100)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n/m</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Earnings of equity method investee</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n/m</w:t>
            </w: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5"/>
              </w:rPr>
              <w:t>n/m</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n/m</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4"/>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other expense, net</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(65.4)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(77.5)</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(143.0)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(94.8)</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17"/>
        </w:trPr>
        <w:tc>
          <w:tcPr>
            <w:tcW w:w="3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20"/>
                <w:szCs w:val="20"/>
                <w:color w:val="auto"/>
              </w:rPr>
            </w:pPr>
            <w:r>
              <w:rPr>
                <w:rFonts w:ascii="Arial" w:cs="Arial" w:eastAsia="Arial" w:hAnsi="Arial"/>
                <w:sz w:val="15"/>
                <w:szCs w:val="15"/>
                <w:color w:val="auto"/>
              </w:rPr>
              <w:t>Income (loss) before income taxes</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11.6</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1"/>
              </w:rPr>
              <w:t>(291)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(93.5)</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expense</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3.1</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(485)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(70.0)</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2"/>
        </w:trPr>
        <w:tc>
          <w:tcPr>
            <w:tcW w:w="3220" w:type="dxa"/>
            <w:vAlign w:val="bottom"/>
          </w:tcPr>
          <w:p>
            <w:pPr>
              <w:ind w:left="100"/>
              <w:spacing w:after="0" w:line="161" w:lineRule="exact"/>
              <w:rPr>
                <w:sz w:val="20"/>
                <w:szCs w:val="20"/>
                <w:color w:val="auto"/>
              </w:rPr>
            </w:pPr>
            <w:r>
              <w:rPr>
                <w:rFonts w:ascii="Arial" w:cs="Arial" w:eastAsia="Arial" w:hAnsi="Arial"/>
                <w:sz w:val="15"/>
                <w:szCs w:val="15"/>
                <w:b w:val="1"/>
                <w:bCs w:val="1"/>
                <w:color w:val="auto"/>
              </w:rPr>
              <w:t>Net income (loss)</w:t>
            </w:r>
          </w:p>
        </w:tc>
        <w:tc>
          <w:tcPr>
            <w:tcW w:w="240" w:type="dxa"/>
            <w:vAlign w:val="bottom"/>
            <w:tcBorders>
              <w:bottom w:val="single" w:sz="8" w:color="auto"/>
            </w:tcBorders>
          </w:tcPr>
          <w:p>
            <w:pPr>
              <w:jc w:val="right"/>
              <w:ind w:right="84"/>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line="161" w:lineRule="exact"/>
              <w:rPr>
                <w:sz w:val="20"/>
                <w:szCs w:val="20"/>
                <w:color w:val="auto"/>
              </w:rPr>
            </w:pPr>
            <w:r>
              <w:rPr>
                <w:rFonts w:ascii="Arial" w:cs="Arial" w:eastAsia="Arial" w:hAnsi="Arial"/>
                <w:sz w:val="15"/>
                <w:szCs w:val="15"/>
                <w:color w:val="auto"/>
              </w:rPr>
              <w:t>(10.3)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4"/>
              <w:spacing w:after="0" w:line="161" w:lineRule="exact"/>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24"/>
              <w:spacing w:after="0" w:line="161" w:lineRule="exact"/>
              <w:rPr>
                <w:sz w:val="20"/>
                <w:szCs w:val="20"/>
                <w:color w:val="auto"/>
              </w:rPr>
            </w:pPr>
            <w:r>
              <w:rPr>
                <w:rFonts w:ascii="Arial" w:cs="Arial" w:eastAsia="Arial" w:hAnsi="Arial"/>
                <w:sz w:val="15"/>
                <w:szCs w:val="15"/>
                <w:color w:val="auto"/>
              </w:rPr>
              <w:t>8.5</w:t>
            </w:r>
          </w:p>
        </w:tc>
        <w:tc>
          <w:tcPr>
            <w:tcW w:w="1100" w:type="dxa"/>
            <w:vAlign w:val="bottom"/>
            <w:gridSpan w:val="2"/>
          </w:tcPr>
          <w:p>
            <w:pPr>
              <w:jc w:val="right"/>
              <w:ind w:right="84"/>
              <w:spacing w:after="0" w:line="161" w:lineRule="exact"/>
              <w:rPr>
                <w:sz w:val="20"/>
                <w:szCs w:val="20"/>
                <w:color w:val="auto"/>
              </w:rPr>
            </w:pPr>
            <w:r>
              <w:rPr>
                <w:rFonts w:ascii="Arial" w:cs="Arial" w:eastAsia="Arial" w:hAnsi="Arial"/>
                <w:sz w:val="15"/>
                <w:szCs w:val="15"/>
                <w:color w:val="auto"/>
              </w:rPr>
              <w:t>(221)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4"/>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line="161" w:lineRule="exact"/>
              <w:rPr>
                <w:sz w:val="20"/>
                <w:szCs w:val="20"/>
                <w:color w:val="auto"/>
              </w:rPr>
            </w:pPr>
            <w:r>
              <w:rPr>
                <w:rFonts w:ascii="Arial" w:cs="Arial" w:eastAsia="Arial" w:hAnsi="Arial"/>
                <w:sz w:val="15"/>
                <w:szCs w:val="15"/>
                <w:color w:val="auto"/>
              </w:rPr>
              <w:t>(1.8)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4"/>
              <w:spacing w:after="0" w:line="161"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4"/>
              <w:spacing w:after="0" w:line="161" w:lineRule="exact"/>
              <w:rPr>
                <w:sz w:val="20"/>
                <w:szCs w:val="20"/>
                <w:color w:val="auto"/>
              </w:rPr>
            </w:pPr>
            <w:r>
              <w:rPr>
                <w:rFonts w:ascii="Arial" w:cs="Arial" w:eastAsia="Arial" w:hAnsi="Arial"/>
                <w:sz w:val="15"/>
                <w:szCs w:val="15"/>
                <w:color w:val="auto"/>
              </w:rPr>
              <w:t>(23.5)</w:t>
            </w:r>
          </w:p>
        </w:tc>
        <w:tc>
          <w:tcPr>
            <w:tcW w:w="1100" w:type="dxa"/>
            <w:vAlign w:val="bottom"/>
            <w:gridSpan w:val="2"/>
          </w:tcPr>
          <w:p>
            <w:pPr>
              <w:jc w:val="right"/>
              <w:ind w:right="84"/>
              <w:spacing w:after="0" w:line="161" w:lineRule="exact"/>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220" w:type="dxa"/>
            <w:vAlign w:val="bottom"/>
          </w:tcPr>
          <w:p>
            <w:pPr>
              <w:spacing w:after="0"/>
              <w:rPr>
                <w:sz w:val="20"/>
                <w:szCs w:val="20"/>
                <w:color w:val="auto"/>
              </w:rPr>
            </w:pPr>
            <w:r>
              <w:rPr>
                <w:rFonts w:ascii="Arial" w:cs="Arial" w:eastAsia="Arial" w:hAnsi="Arial"/>
                <w:sz w:val="15"/>
                <w:szCs w:val="15"/>
                <w:b w:val="1"/>
                <w:bCs w:val="1"/>
                <w:color w:val="auto"/>
              </w:rPr>
              <w:t>Segment income (loss) before income taxes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Originations</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22.5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36.5</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59.0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35.1</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68</w:t>
            </w:r>
          </w:p>
        </w:tc>
        <w:tc>
          <w:tcPr>
            <w:tcW w:w="0" w:type="dxa"/>
            <w:vAlign w:val="bottom"/>
          </w:tcPr>
          <w:p>
            <w:pPr>
              <w:spacing w:after="0"/>
              <w:rPr>
                <w:sz w:val="1"/>
                <w:szCs w:val="1"/>
                <w:color w:val="auto"/>
              </w:rPr>
            </w:pPr>
          </w:p>
        </w:tc>
      </w:tr>
      <w:tr>
        <w:trPr>
          <w:trHeight w:val="193"/>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 Items and Other</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(29.4)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(38.4)</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(67.7)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(67.7)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11.6</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0"/>
              </w:rPr>
              <w:t>(291)%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(93.5)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5"/>
                <w:szCs w:val="15"/>
                <w:color w:val="auto"/>
              </w:rPr>
              <w:t>n/m: not meaningful</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right"/>
              <w:ind w:right="304"/>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7"/>
        </w:trPr>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28" w:right="319" w:bottom="1440" w:gutter="0" w:footer="0" w:header="0"/>
        </w:sectPr>
      </w:pPr>
    </w:p>
    <w:bookmarkStart w:id="63" w:name="page64"/>
    <w:bookmarkEnd w:id="63"/>
    <w:tbl>
      <w:tblPr>
        <w:tblLayout w:type="fixed"/>
        <w:tblInd w:w="9" w:type="dxa"/>
        <w:tblCellMar>
          <w:top w:w="0" w:type="dxa"/>
          <w:left w:w="0" w:type="dxa"/>
          <w:bottom w:w="0" w:type="dxa"/>
          <w:right w:w="0" w:type="dxa"/>
        </w:tblCellMar>
      </w:tblPr>
      <w:tr>
        <w:trPr>
          <w:trHeight w:val="191"/>
        </w:trPr>
        <w:tc>
          <w:tcPr>
            <w:tcW w:w="3200" w:type="dxa"/>
            <w:vAlign w:val="bottom"/>
          </w:tcPr>
          <w:p>
            <w:pPr>
              <w:spacing w:after="0"/>
              <w:rPr>
                <w:sz w:val="20"/>
                <w:szCs w:val="20"/>
                <w:color w:val="auto"/>
              </w:rPr>
            </w:pPr>
            <w:r>
              <w:rPr>
                <w:rFonts w:ascii="Arial" w:cs="Arial" w:eastAsia="Arial" w:hAnsi="Arial"/>
                <w:sz w:val="15"/>
                <w:szCs w:val="15"/>
                <w:b w:val="1"/>
                <w:bCs w:val="1"/>
                <w:i w:val="1"/>
                <w:iCs w:val="1"/>
                <w:color w:val="auto"/>
              </w:rPr>
              <w:t>Total Revenue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2"/>
        </w:trPr>
        <w:tc>
          <w:tcPr>
            <w:tcW w:w="6080" w:type="dxa"/>
            <w:vAlign w:val="bottom"/>
            <w:gridSpan w:val="6"/>
          </w:tcPr>
          <w:p>
            <w:pPr>
              <w:jc w:val="right"/>
              <w:ind w:right="884"/>
              <w:spacing w:after="0"/>
              <w:rPr>
                <w:sz w:val="20"/>
                <w:szCs w:val="20"/>
                <w:color w:val="auto"/>
              </w:rPr>
            </w:pPr>
            <w:r>
              <w:rPr>
                <w:rFonts w:ascii="Arial" w:cs="Arial" w:eastAsia="Arial" w:hAnsi="Arial"/>
                <w:sz w:val="15"/>
                <w:szCs w:val="15"/>
                <w:color w:val="auto"/>
                <w:w w:val="94"/>
              </w:rPr>
              <w:t>The below table presents total revenue by segment and at the consolidated level:</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30"/>
        </w:trPr>
        <w:tc>
          <w:tcPr>
            <w:tcW w:w="3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5"/>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16"/>
                <w:szCs w:val="16"/>
                <w:color w:val="auto"/>
              </w:rPr>
            </w:pPr>
          </w:p>
        </w:tc>
        <w:tc>
          <w:tcPr>
            <w:tcW w:w="116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60" w:type="dxa"/>
            <w:vAlign w:val="bottom"/>
          </w:tcPr>
          <w:p>
            <w:pPr>
              <w:spacing w:after="0"/>
              <w:rPr>
                <w:sz w:val="16"/>
                <w:szCs w:val="16"/>
                <w:color w:val="auto"/>
              </w:rPr>
            </w:pPr>
          </w:p>
        </w:tc>
        <w:tc>
          <w:tcPr>
            <w:tcW w:w="1120" w:type="dxa"/>
            <w:vAlign w:val="bottom"/>
          </w:tcPr>
          <w:p>
            <w:pPr>
              <w:jc w:val="right"/>
              <w:ind w:right="344"/>
              <w:spacing w:after="0"/>
              <w:rPr>
                <w:sz w:val="20"/>
                <w:szCs w:val="20"/>
                <w:color w:val="auto"/>
              </w:rPr>
            </w:pPr>
            <w:r>
              <w:rPr>
                <w:rFonts w:ascii="Arial" w:cs="Arial" w:eastAsia="Arial" w:hAnsi="Arial"/>
                <w:sz w:val="15"/>
                <w:szCs w:val="15"/>
                <w:b w:val="1"/>
                <w:bCs w:val="1"/>
                <w:color w:val="auto"/>
              </w:rPr>
              <w:t>June 30,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320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Revenue</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 Change</w:t>
            </w:r>
          </w:p>
        </w:tc>
      </w:tr>
      <w:tr>
        <w:trPr>
          <w:trHeight w:val="185"/>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175.4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372.7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192"/>
        </w:trPr>
        <w:tc>
          <w:tcPr>
            <w:tcW w:w="3200" w:type="dxa"/>
            <w:vAlign w:val="bottom"/>
          </w:tcPr>
          <w:p>
            <w:pPr>
              <w:ind w:left="100"/>
              <w:spacing w:after="0"/>
              <w:rPr>
                <w:sz w:val="20"/>
                <w:szCs w:val="20"/>
                <w:color w:val="auto"/>
              </w:rPr>
            </w:pPr>
            <w:r>
              <w:rPr>
                <w:rFonts w:ascii="Arial" w:cs="Arial" w:eastAsia="Arial" w:hAnsi="Arial"/>
                <w:sz w:val="15"/>
                <w:szCs w:val="15"/>
                <w:color w:val="auto"/>
              </w:rPr>
              <w:t>Originations</w:t>
            </w:r>
          </w:p>
        </w:tc>
        <w:tc>
          <w:tcPr>
            <w:tcW w:w="260" w:type="dxa"/>
            <w:vAlign w:val="bottom"/>
          </w:tcPr>
          <w:p>
            <w:pPr>
              <w:spacing w:after="0"/>
              <w:rPr>
                <w:sz w:val="16"/>
                <w:szCs w:val="16"/>
                <w:color w:val="auto"/>
              </w:rPr>
            </w:pP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55.4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66.3</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121.7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70.6</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72</w:t>
            </w:r>
          </w:p>
        </w:tc>
      </w:tr>
      <w:tr>
        <w:trPr>
          <w:trHeight w:val="194"/>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3.7</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(24)</w:t>
            </w:r>
          </w:p>
        </w:tc>
      </w:tr>
      <w:tr>
        <w:trPr>
          <w:trHeight w:val="184"/>
        </w:trPr>
        <w:tc>
          <w:tcPr>
            <w:tcW w:w="3200" w:type="dxa"/>
            <w:vAlign w:val="bottom"/>
          </w:tcPr>
          <w:p>
            <w:pPr>
              <w:ind w:left="100"/>
              <w:spacing w:after="0"/>
              <w:rPr>
                <w:sz w:val="20"/>
                <w:szCs w:val="20"/>
                <w:color w:val="auto"/>
              </w:rPr>
            </w:pPr>
            <w:r>
              <w:rPr>
                <w:rFonts w:ascii="Arial" w:cs="Arial" w:eastAsia="Arial" w:hAnsi="Arial"/>
                <w:sz w:val="15"/>
                <w:szCs w:val="15"/>
                <w:color w:val="auto"/>
              </w:rPr>
              <w:t>Total segment revenue</w:t>
            </w:r>
          </w:p>
        </w:tc>
        <w:tc>
          <w:tcPr>
            <w:tcW w:w="260" w:type="dxa"/>
            <w:vAlign w:val="bottom"/>
          </w:tcPr>
          <w:p>
            <w:pPr>
              <w:spacing w:after="0"/>
              <w:rPr>
                <w:sz w:val="15"/>
                <w:szCs w:val="15"/>
                <w:color w:val="auto"/>
              </w:rPr>
            </w:pP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254.1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243.0</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497.1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480.9</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3</w:t>
            </w:r>
          </w:p>
        </w:tc>
      </w:tr>
      <w:tr>
        <w:trPr>
          <w:trHeight w:val="193"/>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Inter-segment elimination (1)</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(35.4)</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(24.1)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n/m</w:t>
            </w:r>
          </w:p>
        </w:tc>
      </w:tr>
      <w:tr>
        <w:trPr>
          <w:trHeight w:val="185"/>
        </w:trPr>
        <w:tc>
          <w:tcPr>
            <w:tcW w:w="3200" w:type="dxa"/>
            <w:vAlign w:val="bottom"/>
          </w:tcPr>
          <w:p>
            <w:pPr>
              <w:ind w:left="180"/>
              <w:spacing w:after="0"/>
              <w:rPr>
                <w:sz w:val="20"/>
                <w:szCs w:val="20"/>
                <w:color w:val="auto"/>
              </w:rPr>
            </w:pPr>
            <w:r>
              <w:rPr>
                <w:rFonts w:ascii="Arial" w:cs="Arial" w:eastAsia="Arial" w:hAnsi="Arial"/>
                <w:sz w:val="15"/>
                <w:szCs w:val="15"/>
                <w:color w:val="auto"/>
              </w:rPr>
              <w:t>Total revenue</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265.4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207.6</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473.0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480.9</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(2)</w:t>
            </w: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62" w:lineRule="exact"/>
        <w:rPr>
          <w:sz w:val="20"/>
          <w:szCs w:val="20"/>
          <w:color w:val="auto"/>
        </w:rPr>
      </w:pPr>
    </w:p>
    <w:p>
      <w:pPr>
        <w:ind w:left="269" w:right="260" w:hanging="269"/>
        <w:spacing w:after="0" w:line="255" w:lineRule="auto"/>
        <w:tabs>
          <w:tab w:leader="none" w:pos="269"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fair value change of inter-segment economic hedge derivatives reported within Total revenue (gain on loans held for sale) is eliminated at the consolidated level with an offset in MSR valuation adjustments, net.</w:t>
      </w:r>
    </w:p>
    <w:p>
      <w:pPr>
        <w:spacing w:after="0" w:line="64" w:lineRule="exact"/>
        <w:rPr>
          <w:sz w:val="20"/>
          <w:szCs w:val="20"/>
          <w:color w:val="auto"/>
        </w:rPr>
      </w:pPr>
    </w:p>
    <w:p>
      <w:pPr>
        <w:ind w:left="9" w:right="100" w:firstLine="272"/>
        <w:spacing w:after="0" w:line="261" w:lineRule="auto"/>
        <w:rPr>
          <w:sz w:val="20"/>
          <w:szCs w:val="20"/>
          <w:color w:val="auto"/>
        </w:rPr>
      </w:pPr>
      <w:r>
        <w:rPr>
          <w:rFonts w:ascii="Arial" w:cs="Arial" w:eastAsia="Arial" w:hAnsi="Arial"/>
          <w:sz w:val="15"/>
          <w:szCs w:val="15"/>
          <w:color w:val="auto"/>
        </w:rPr>
        <w:t>Total segment revenue was $254.1 million for the second quarter of 2021, $11.1 million or 5% higher than the first quarter of 2021, driven by a $21.8 million revenue increase from Servicing partially offset by a $10.9 million revenue decrease from Originations. The Servicing revenue increase is mostly due to the net growth of our owned MSR portfolio, including the large MSR bulk acquisitions in June 2021. The decrease in Originations revenue is mostly due to a decline in gains on loans held for sale due to lower forward loan production volume in both the correspondent and recapture channels and a decline in margin in our recapture channel.</w:t>
      </w:r>
    </w:p>
    <w:p>
      <w:pPr>
        <w:spacing w:after="0" w:line="67" w:lineRule="exact"/>
        <w:rPr>
          <w:sz w:val="20"/>
          <w:szCs w:val="20"/>
          <w:color w:val="auto"/>
        </w:rPr>
      </w:pPr>
    </w:p>
    <w:p>
      <w:pPr>
        <w:ind w:left="9" w:right="140" w:firstLine="272"/>
        <w:spacing w:after="0" w:line="278" w:lineRule="auto"/>
        <w:rPr>
          <w:sz w:val="20"/>
          <w:szCs w:val="20"/>
          <w:color w:val="auto"/>
        </w:rPr>
      </w:pPr>
      <w:r>
        <w:rPr>
          <w:rFonts w:ascii="Arial" w:cs="Arial" w:eastAsia="Arial" w:hAnsi="Arial"/>
          <w:sz w:val="14"/>
          <w:szCs w:val="14"/>
          <w:color w:val="auto"/>
        </w:rPr>
        <w:t>As compared to the six months ended June 30, 2020, total segment revenue for the six months ended June 30, 2021 was $16.3 million or 3% higher, due to a $51.1 million increase in Originations revenue partially offset by a $33.9 million decline in Servicing revenue. Originations revenue increased primarily due to an increase in production volume, mostly forward recapture and reverse loans. The decline in Servicing revenue is due to a reduction in fees collected on behalf of NRZ after the termination of the PMC servicing agreement by NRZ, and a reduction in ancillary income, mostly due to lower average servicing volume, the COVID-19 environment and lower interest rates, partially offset by the growth in our owned MSR portfolio. We collected $50.0 million lower servicing fees on behalf of NRZ during the six months ended June 30, 2021, as a result of portfolio run-off and the termination of the PMC agreement by NRZ in 2020. The decline in servicing fees collected on behalf of NRZ is partially offset by a $41.6 million decline in servicing fees remitted to NRZ that are separately reported as Pledged MSR liability expense (Other expense), with a $8.3 million net decline in the NRZ servicing fee retained.</w:t>
      </w:r>
    </w:p>
    <w:p>
      <w:pPr>
        <w:spacing w:after="0" w:line="56" w:lineRule="exact"/>
        <w:rPr>
          <w:sz w:val="20"/>
          <w:szCs w:val="20"/>
          <w:color w:val="auto"/>
        </w:rPr>
      </w:pPr>
    </w:p>
    <w:p>
      <w:pPr>
        <w:ind w:left="9" w:right="100" w:firstLine="272"/>
        <w:spacing w:after="0" w:line="281" w:lineRule="auto"/>
        <w:rPr>
          <w:sz w:val="20"/>
          <w:szCs w:val="20"/>
          <w:color w:val="auto"/>
        </w:rPr>
      </w:pPr>
      <w:r>
        <w:rPr>
          <w:rFonts w:ascii="Arial" w:cs="Arial" w:eastAsia="Arial" w:hAnsi="Arial"/>
          <w:sz w:val="14"/>
          <w:szCs w:val="14"/>
          <w:color w:val="auto"/>
        </w:rPr>
        <w:t>Total revenue (after elimination of inter-segment derivative fair value changes) was $265.4 million for the second quarter of 2021, $57.9 million or 28% higher than the first quarter of 2021, in part due to the presentation of macro-hedging derivative gains and losses reported within MSR valuation adjustments, net at the consolidated level, as disclosed in Note 4 – Loans Held for Sale, Note 15 – Derivative Financial Instruments and Hedging Activities and Note 19 – Business Segment Reporting. Effective May 2021, we replaced our macro-hedging strategies with two distinct strategies to separately hedge the pipeline and our MSR exposure with third party derivatives. However, we have and may continue to use inter-segment derivatives between the two strategies. Refer to Item 3 - Quantitative and qualitative disclosures about market risk for further detail.</w:t>
      </w:r>
    </w:p>
    <w:p>
      <w:pPr>
        <w:spacing w:after="0" w:line="56" w:lineRule="exact"/>
        <w:rPr>
          <w:sz w:val="20"/>
          <w:szCs w:val="20"/>
          <w:color w:val="auto"/>
        </w:rPr>
      </w:pPr>
    </w:p>
    <w:p>
      <w:pPr>
        <w:ind w:left="269"/>
        <w:spacing w:after="0"/>
        <w:rPr>
          <w:sz w:val="20"/>
          <w:szCs w:val="20"/>
          <w:color w:val="auto"/>
        </w:rPr>
      </w:pPr>
      <w:r>
        <w:rPr>
          <w:rFonts w:ascii="Arial" w:cs="Arial" w:eastAsia="Arial" w:hAnsi="Arial"/>
          <w:sz w:val="15"/>
          <w:szCs w:val="15"/>
          <w:color w:val="auto"/>
        </w:rPr>
        <w:t>See the respective Segment Results of Operations for additional information.</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MSR Valuation Adjustments, Net</w:t>
      </w:r>
    </w:p>
    <w:p>
      <w:pPr>
        <w:spacing w:after="0" w:line="100" w:lineRule="exact"/>
        <w:rPr>
          <w:sz w:val="20"/>
          <w:szCs w:val="20"/>
          <w:color w:val="auto"/>
        </w:rPr>
      </w:pPr>
    </w:p>
    <w:p>
      <w:pPr>
        <w:ind w:left="9" w:right="60" w:firstLine="272"/>
        <w:spacing w:after="0" w:line="258" w:lineRule="auto"/>
        <w:rPr>
          <w:sz w:val="20"/>
          <w:szCs w:val="20"/>
          <w:color w:val="auto"/>
        </w:rPr>
      </w:pPr>
      <w:r>
        <w:rPr>
          <w:rFonts w:ascii="Arial" w:cs="Arial" w:eastAsia="Arial" w:hAnsi="Arial"/>
          <w:sz w:val="15"/>
          <w:szCs w:val="15"/>
          <w:color w:val="auto"/>
        </w:rPr>
        <w:t>We reported a $72.5 million loss in MSR valuation adjustments, net in the second quarter of 2021, that comprised a $69.9 million loss in Servicing, an $8.8 million revaluation gain on MSR purchases in Originations and an $11.3 million inter-segment derivative loss reported in Gain on loans held for sale. The $69.9 million net loss in Servicing is due to the $57.0 million MSR portfolio runoff, and the effect of the decline in interest rates, decreasing the fair value of the MSR portfolio by $47.2 million, partially offset by $34.3 million MSR hedging gains. MSR portfolio runoff represents the realization of expected cash flows and yield based on projected borrower behavior, including scheduled amortization of the loan UPB together with prepayments.</w:t>
      </w:r>
    </w:p>
    <w:p>
      <w:pPr>
        <w:spacing w:after="0" w:line="71" w:lineRule="exact"/>
        <w:rPr>
          <w:sz w:val="20"/>
          <w:szCs w:val="20"/>
          <w:color w:val="auto"/>
        </w:rPr>
      </w:pPr>
    </w:p>
    <w:p>
      <w:pPr>
        <w:ind w:left="269"/>
        <w:spacing w:after="0"/>
        <w:rPr>
          <w:sz w:val="20"/>
          <w:szCs w:val="20"/>
          <w:color w:val="auto"/>
        </w:rPr>
      </w:pPr>
      <w:r>
        <w:rPr>
          <w:rFonts w:ascii="Arial" w:cs="Arial" w:eastAsia="Arial" w:hAnsi="Arial"/>
          <w:sz w:val="14"/>
          <w:szCs w:val="14"/>
          <w:color w:val="auto"/>
        </w:rPr>
        <w:t>The MSR portfolio runoff increased by $7.9 million between the first and second quarters of 2021 mostly due to a higher MSR UPB. We recorded an $84.0 million gain and a</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3"/>
          <w:szCs w:val="13"/>
          <w:color w:val="auto"/>
        </w:rPr>
        <w:t>$38.4 million loss attributable to rate and assumption updates in the first and second quarter of 2021, respectively. These fair value changes are mostly explained by interest rate changes,</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3"/>
          <w:szCs w:val="13"/>
          <w:color w:val="auto"/>
        </w:rPr>
        <w:t>with 86 basis point increase and 34 basis point decrease in the 10 year swap rate during the first and second quarter of 2021, respectively. The MSR fair value changes attributable to</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4"/>
          <w:szCs w:val="14"/>
          <w:color w:val="auto"/>
        </w:rPr>
        <w:t>interest rate changes were partially offset by hedging derivative gains and losses. Similar factors apply for comparative year-to-date results, albeit with different rate changes.</w:t>
      </w:r>
    </w:p>
    <w:p>
      <w:pPr>
        <w:spacing w:after="0" w:line="200" w:lineRule="exact"/>
        <w:rPr>
          <w:sz w:val="20"/>
          <w:szCs w:val="20"/>
          <w:color w:val="auto"/>
        </w:rPr>
      </w:pPr>
    </w:p>
    <w:p>
      <w:pPr>
        <w:spacing w:after="0" w:line="27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64" w:name="page65"/>
    <w:bookmarkEnd w:id="64"/>
    <w:p>
      <w:pPr>
        <w:ind w:right="80" w:firstLine="272"/>
        <w:spacing w:after="0" w:line="261" w:lineRule="auto"/>
        <w:rPr>
          <w:sz w:val="20"/>
          <w:szCs w:val="20"/>
          <w:color w:val="auto"/>
        </w:rPr>
      </w:pPr>
      <w:r>
        <w:rPr>
          <w:rFonts w:ascii="Arial" w:cs="Arial" w:eastAsia="Arial" w:hAnsi="Arial"/>
          <w:sz w:val="15"/>
          <w:szCs w:val="15"/>
          <w:color w:val="auto"/>
        </w:rPr>
        <w:t>For the six months ended June 30, 2021, we reported a $51.2 million loss in MSR valuation adjustments, net, that included a $92.6 million loss in the Servicing segment, offset by a $17.3 million revaluation gain on MSR purchases in Originations and $24.1 million inter-segment derivative gain. The $92.6 million Servicing loss is due to $106.2 million portfolio runoff, a $28.3 million fair value gain on the MSR portfolio due to an increase in interest rates, and a $14.8 million unfavorable fair value loss from our MSR hedging strategy. The loss on the NRZ pledged MSRs was offset by a $28.6 million gain recorded as MSR pledged liability expense.</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See Segment Results of Operations - Servicing and Originations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100" w:lineRule="exact"/>
        <w:rPr>
          <w:sz w:val="20"/>
          <w:szCs w:val="20"/>
          <w:color w:val="auto"/>
        </w:rPr>
      </w:pPr>
    </w:p>
    <w:p>
      <w:pPr>
        <w:ind w:firstLine="272"/>
        <w:spacing w:after="0" w:line="281" w:lineRule="auto"/>
        <w:rPr>
          <w:sz w:val="20"/>
          <w:szCs w:val="20"/>
          <w:color w:val="auto"/>
        </w:rPr>
      </w:pPr>
      <w:r>
        <w:rPr>
          <w:rFonts w:ascii="Arial" w:cs="Arial" w:eastAsia="Arial" w:hAnsi="Arial"/>
          <w:sz w:val="14"/>
          <w:szCs w:val="14"/>
          <w:color w:val="auto"/>
        </w:rPr>
        <w:t>Compensation and benefits expense for the second quarter of 2021 increased $3.9 million, or 6%, as compared to the first quarter of 2021. Incentive compensation increased $1.6 million, mostly due to annual long-term incentive awards granted in March 2021 and an increase in the fair value of cash-settled share-based awards. Originations segment compensation and benefits increased by $2.4 million, mostly due to additional headcount to support higher loan production levels. While our total average headcount increased by 2% from the first quarter of 2021 to the second quarter of 2021, the 14% growth in the Originations segment was largely offset by the 1% headcount reduction achieved in Servicing. Overall, our offshore-to-total average headcount ratio remained constant at 69% for both the second quarter of 2021 and first quarter of 2021.</w:t>
      </w:r>
    </w:p>
    <w:p>
      <w:pPr>
        <w:spacing w:after="0" w:line="56" w:lineRule="exact"/>
        <w:rPr>
          <w:sz w:val="20"/>
          <w:szCs w:val="20"/>
          <w:color w:val="auto"/>
        </w:rPr>
      </w:pPr>
    </w:p>
    <w:p>
      <w:pPr>
        <w:ind w:right="40" w:firstLine="272"/>
        <w:spacing w:after="0" w:line="258" w:lineRule="auto"/>
        <w:rPr>
          <w:sz w:val="20"/>
          <w:szCs w:val="20"/>
          <w:color w:val="auto"/>
        </w:rPr>
      </w:pPr>
      <w:r>
        <w:rPr>
          <w:rFonts w:ascii="Arial" w:cs="Arial" w:eastAsia="Arial" w:hAnsi="Arial"/>
          <w:sz w:val="15"/>
          <w:szCs w:val="15"/>
          <w:color w:val="auto"/>
        </w:rPr>
        <w:t>As compared to the six months ended June 30, 2020, compensation and benefits expense for the six months ended June 30, 2021 increased $14.7 million, or 12%. Originations segment compensation and benefits expense increased by $20.0 million, mostly due to additional commissions and salaries driven by additional headcount to support higher loan production levels. Servicing segment compensation and benefits expense decreased by $5.0 million, mostly driven by a decrease in average headcount, that was largely due to the scaling down of our workforce to our volumes and our cost re-engineering initiatives. Our total average headcount declined by 8%, and overall, our offshore-to-total average headcount ratio decreased from 72% in the six months ended June 30, 2020 to 69% in the six months ended June 30, 2021.</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and Origination Expense</w:t>
      </w:r>
    </w:p>
    <w:p>
      <w:pPr>
        <w:spacing w:after="0" w:line="100" w:lineRule="exact"/>
        <w:rPr>
          <w:sz w:val="20"/>
          <w:szCs w:val="20"/>
          <w:color w:val="auto"/>
        </w:rPr>
      </w:pPr>
    </w:p>
    <w:p>
      <w:pPr>
        <w:ind w:right="80" w:firstLine="272"/>
        <w:spacing w:after="0" w:line="265" w:lineRule="auto"/>
        <w:rPr>
          <w:sz w:val="20"/>
          <w:szCs w:val="20"/>
          <w:color w:val="auto"/>
        </w:rPr>
      </w:pPr>
      <w:r>
        <w:rPr>
          <w:rFonts w:ascii="Arial" w:cs="Arial" w:eastAsia="Arial" w:hAnsi="Arial"/>
          <w:sz w:val="15"/>
          <w:szCs w:val="15"/>
          <w:color w:val="auto"/>
        </w:rPr>
        <w:t>Servicing and origination expense for the second quarter of 2021 decreased $0.8 million, as compared to the first quarter of 2021. Servicing expenses decreased $1.4 million largely due to $2.4 million reduction in government-insured claim loss provisions as the foreclosure moratorium decreased claim volumes, mainly offset by $1.4 million additional interim subservicing expenses on MSR bulk acquisitions.</w:t>
      </w:r>
    </w:p>
    <w:p>
      <w:pPr>
        <w:spacing w:after="0" w:line="64" w:lineRule="exact"/>
        <w:rPr>
          <w:sz w:val="20"/>
          <w:szCs w:val="20"/>
          <w:color w:val="auto"/>
        </w:rPr>
      </w:pPr>
    </w:p>
    <w:p>
      <w:pPr>
        <w:ind w:right="20" w:firstLine="272"/>
        <w:spacing w:after="0" w:line="258" w:lineRule="auto"/>
        <w:rPr>
          <w:sz w:val="20"/>
          <w:szCs w:val="20"/>
          <w:color w:val="auto"/>
        </w:rPr>
      </w:pPr>
      <w:r>
        <w:rPr>
          <w:rFonts w:ascii="Arial" w:cs="Arial" w:eastAsia="Arial" w:hAnsi="Arial"/>
          <w:sz w:val="15"/>
          <w:szCs w:val="15"/>
          <w:color w:val="auto"/>
        </w:rPr>
        <w:t>Servicing and origination expense for the six months ended June 30, 2021 increased $16.5 million, or 44%, as compared to the six months ended June 30, 2020, primarily due to an increase in volume. Servicing expenses increased by $13.5 million largely as a result of a $9.2 million increase in servicer expenses related to our increased owned MSR portfolio, a $5.1 million increase in provisions for indemnification due to the favorable release of indemnification reserves during the six months ended June 30, 2020, and a $2.0 million increase in satisfaction and interest payoff expenses attributable to higher payoff volumes. These increases were offset in part by a $1.6 million decrease in government-insured claim loss provisions due to decreased claim volumes associated with the foreclosure moratorium.</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See Segment Results of Operations - Servicing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100" w:lineRule="exact"/>
        <w:rPr>
          <w:sz w:val="20"/>
          <w:szCs w:val="20"/>
          <w:color w:val="auto"/>
        </w:rPr>
      </w:pPr>
    </w:p>
    <w:p>
      <w:pPr>
        <w:ind w:firstLine="272"/>
        <w:spacing w:after="0" w:line="261" w:lineRule="auto"/>
        <w:rPr>
          <w:sz w:val="20"/>
          <w:szCs w:val="20"/>
          <w:color w:val="auto"/>
        </w:rPr>
      </w:pPr>
      <w:r>
        <w:rPr>
          <w:rFonts w:ascii="Arial" w:cs="Arial" w:eastAsia="Arial" w:hAnsi="Arial"/>
          <w:sz w:val="15"/>
          <w:szCs w:val="15"/>
          <w:color w:val="auto"/>
        </w:rPr>
        <w:t>Professional services expense for the second quarter of 2021 increased $8.2 million, or 47%, as compared to the first quarter of 2021, primarily due to a $5.5 million increase in legal expenses and $2.6 million increase in other professional services. The increase in legal expenses is primarily due to a $5.8 million higher provision for litigation settlements. Other professional services for the second quarter of 2021 includes $3.2 million of advisory fees related to our MSR investment joint venture with Oaktree, MAV Canopy, which closed on May 3, 2021.</w:t>
      </w:r>
    </w:p>
    <w:p>
      <w:pPr>
        <w:spacing w:after="0" w:line="67" w:lineRule="exact"/>
        <w:rPr>
          <w:sz w:val="20"/>
          <w:szCs w:val="20"/>
          <w:color w:val="auto"/>
        </w:rPr>
      </w:pPr>
    </w:p>
    <w:p>
      <w:pPr>
        <w:jc w:val="both"/>
        <w:ind w:right="200" w:firstLine="272"/>
        <w:spacing w:after="0" w:line="292" w:lineRule="auto"/>
        <w:rPr>
          <w:sz w:val="20"/>
          <w:szCs w:val="20"/>
          <w:color w:val="auto"/>
        </w:rPr>
      </w:pPr>
      <w:r>
        <w:rPr>
          <w:rFonts w:ascii="Arial" w:cs="Arial" w:eastAsia="Arial" w:hAnsi="Arial"/>
          <w:sz w:val="14"/>
          <w:szCs w:val="14"/>
          <w:color w:val="auto"/>
        </w:rPr>
        <w:t>Professional services expense for the six months ended June 30, 2021 decreased $6.6 million, or 13%, as compared to the six months ended June 30, 2020, primarily due to a $5.3 million decline in other professional services. Cost reduction initiatives in 2020 resulted in lower other professional fees for the six months ended June 30, 2021, partially offset by the $3.2 million of advisory fees expense in second quarter of 2021 related to our MSR investment joint venture with Oaktree, MAV Canopy.</w:t>
      </w:r>
    </w:p>
    <w:p>
      <w:pPr>
        <w:spacing w:after="0" w:line="48" w:lineRule="exact"/>
        <w:rPr>
          <w:sz w:val="20"/>
          <w:szCs w:val="20"/>
          <w:color w:val="auto"/>
        </w:rPr>
      </w:pPr>
    </w:p>
    <w:p>
      <w:pPr>
        <w:ind w:right="80" w:firstLine="272"/>
        <w:spacing w:after="0" w:line="278" w:lineRule="auto"/>
        <w:rPr>
          <w:sz w:val="20"/>
          <w:szCs w:val="20"/>
          <w:color w:val="auto"/>
        </w:rPr>
      </w:pPr>
      <w:r>
        <w:rPr>
          <w:rFonts w:ascii="Arial" w:cs="Arial" w:eastAsia="Arial" w:hAnsi="Arial"/>
          <w:sz w:val="15"/>
          <w:szCs w:val="15"/>
          <w:color w:val="auto"/>
        </w:rPr>
        <w:t>Occupancy and equipment expense for the second quarter of 2021 decreased $1.0 million, or 11%, as compared to the first quarter of 2021 primarily due to a $0.5 million decline in depreciation expense.</w:t>
      </w:r>
    </w:p>
    <w:p>
      <w:pPr>
        <w:spacing w:after="0" w:line="54" w:lineRule="exact"/>
        <w:rPr>
          <w:sz w:val="20"/>
          <w:szCs w:val="20"/>
          <w:color w:val="auto"/>
        </w:rPr>
      </w:pPr>
    </w:p>
    <w:p>
      <w:pPr>
        <w:ind w:right="120" w:firstLine="272"/>
        <w:spacing w:after="0" w:line="292" w:lineRule="auto"/>
        <w:rPr>
          <w:sz w:val="20"/>
          <w:szCs w:val="20"/>
          <w:color w:val="auto"/>
        </w:rPr>
      </w:pPr>
      <w:r>
        <w:rPr>
          <w:rFonts w:ascii="Arial" w:cs="Arial" w:eastAsia="Arial" w:hAnsi="Arial"/>
          <w:sz w:val="14"/>
          <w:szCs w:val="14"/>
          <w:color w:val="auto"/>
        </w:rPr>
        <w:t>Occupancy and equipment expense for the six months ended June 30, 2021 decreased $11.4 million, or 40%, as compared to the six months ended June 30, 2020. Depreciation expense, facility maintenance and utility expenses, and interest on lease liabilities decreased $4.7 million, $2.4 million and $1.4 million, respectively, compared to the six months ended June 30, 2020, largely due to our cost reduction efforts in 2020 which included closing and consolidating certain facilities. Postage and mailing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65" w:name="page66"/>
    <w:bookmarkEnd w:id="65"/>
    <w:p>
      <w:pPr>
        <w:ind w:right="60"/>
        <w:spacing w:after="0" w:line="278" w:lineRule="auto"/>
        <w:rPr>
          <w:sz w:val="20"/>
          <w:szCs w:val="20"/>
          <w:color w:val="auto"/>
        </w:rPr>
      </w:pPr>
      <w:r>
        <w:rPr>
          <w:rFonts w:ascii="Arial" w:cs="Arial" w:eastAsia="Arial" w:hAnsi="Arial"/>
          <w:sz w:val="15"/>
          <w:szCs w:val="15"/>
          <w:color w:val="auto"/>
        </w:rPr>
        <w:t>expenses decreased $2.4 million compared to the six months ended June 30, 2020, largely due to a decline in letter volume attributed to COVID-19 and a decline in the average number of loans serviced.</w:t>
      </w:r>
    </w:p>
    <w:p>
      <w:pPr>
        <w:spacing w:after="0" w:line="54" w:lineRule="exact"/>
        <w:rPr>
          <w:sz w:val="20"/>
          <w:szCs w:val="20"/>
          <w:color w:val="auto"/>
        </w:rPr>
      </w:pPr>
    </w:p>
    <w:p>
      <w:pPr>
        <w:ind w:right="20" w:firstLine="272"/>
        <w:spacing w:after="0" w:line="261" w:lineRule="auto"/>
        <w:rPr>
          <w:sz w:val="20"/>
          <w:szCs w:val="20"/>
          <w:color w:val="auto"/>
        </w:rPr>
      </w:pPr>
      <w:r>
        <w:rPr>
          <w:rFonts w:ascii="Arial" w:cs="Arial" w:eastAsia="Arial" w:hAnsi="Arial"/>
          <w:sz w:val="15"/>
          <w:szCs w:val="15"/>
          <w:color w:val="auto"/>
        </w:rPr>
        <w:t>Technology and communication expense for the six months ended June 30, 2021 decreased $5.0 million, or 16%, as compared to the six months ended June 30, 2020. Telephone expense declined $2.7 million as compared to the six months ended June 30, 2020, largely driven by our transition to a more cost-effective alternative telephone system. Maintenance expense decreased $1.4 million compared to the six months ended June 30, 2020, largely driven by the effects of implementing cost-saving enhancements in the second quarter of 2020. Depreciation expense decreased $1.3 million compared to the six months ended June 30, 2020.</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(Loss)</w:t>
      </w:r>
    </w:p>
    <w:p>
      <w:pPr>
        <w:spacing w:after="0" w:line="88" w:lineRule="exact"/>
        <w:rPr>
          <w:sz w:val="20"/>
          <w:szCs w:val="20"/>
          <w:color w:val="auto"/>
        </w:rPr>
      </w:pPr>
    </w:p>
    <w:p>
      <w:pPr>
        <w:ind w:right="40" w:firstLine="272"/>
        <w:spacing w:after="0" w:line="288" w:lineRule="auto"/>
        <w:rPr>
          <w:sz w:val="20"/>
          <w:szCs w:val="20"/>
          <w:color w:val="auto"/>
        </w:rPr>
      </w:pPr>
      <w:r>
        <w:rPr>
          <w:rFonts w:ascii="Arial" w:cs="Arial" w:eastAsia="Arial" w:hAnsi="Arial"/>
          <w:sz w:val="13"/>
          <w:szCs w:val="13"/>
          <w:color w:val="auto"/>
        </w:rPr>
        <w:t>Interest expense for the second quarter of 2021 increased $5.1 million, or 18%, as compared to the first quarter of 2021, largely due to an increased average debt to finance a higher MSR portfolio and additional warehouse loans. The interest expense increase in the second quarter of 2021 is also due to a higher average cost of funds, with the offsetting impact of lower collateralized debt cost and higher corporate debt cost. Our corporate debt refinancing on March 4, 2021 resulted in the issuance of higher rate senior secured notes.</w:t>
      </w:r>
    </w:p>
    <w:p>
      <w:pPr>
        <w:spacing w:after="0" w:line="40" w:lineRule="exact"/>
        <w:rPr>
          <w:sz w:val="20"/>
          <w:szCs w:val="20"/>
          <w:color w:val="auto"/>
        </w:rPr>
      </w:pPr>
    </w:p>
    <w:p>
      <w:pPr>
        <w:jc w:val="both"/>
        <w:ind w:firstLine="272"/>
        <w:spacing w:after="0" w:line="265" w:lineRule="auto"/>
        <w:rPr>
          <w:sz w:val="20"/>
          <w:szCs w:val="20"/>
          <w:color w:val="auto"/>
        </w:rPr>
      </w:pPr>
      <w:r>
        <w:rPr>
          <w:rFonts w:ascii="Arial" w:cs="Arial" w:eastAsia="Arial" w:hAnsi="Arial"/>
          <w:sz w:val="15"/>
          <w:szCs w:val="15"/>
          <w:color w:val="auto"/>
        </w:rPr>
        <w:t>Interest expense for the six months ended June 30, 2021 increased $5.2 million, or 9%, as compared to the six months ended June 30, 2020, due to the issuance of higher rate senior secured notes as part of our corporate debt refinancing and the increase in the average warehouse borrowings due to increased loan production volumes, offset in part by our prepayment of the SSTL and a decline in borrowings under advance match funded facilities on lower average servicing advances.</w:t>
      </w:r>
    </w:p>
    <w:p>
      <w:pPr>
        <w:spacing w:after="0" w:line="64" w:lineRule="exact"/>
        <w:rPr>
          <w:sz w:val="20"/>
          <w:szCs w:val="20"/>
          <w:color w:val="auto"/>
        </w:rPr>
      </w:pPr>
    </w:p>
    <w:p>
      <w:pPr>
        <w:ind w:right="160" w:firstLine="272"/>
        <w:spacing w:after="0" w:line="278" w:lineRule="auto"/>
        <w:rPr>
          <w:sz w:val="20"/>
          <w:szCs w:val="20"/>
          <w:color w:val="auto"/>
        </w:rPr>
      </w:pPr>
      <w:r>
        <w:rPr>
          <w:rFonts w:ascii="Arial" w:cs="Arial" w:eastAsia="Arial" w:hAnsi="Arial"/>
          <w:sz w:val="15"/>
          <w:szCs w:val="15"/>
          <w:color w:val="auto"/>
        </w:rPr>
        <w:t>Pledged MSR liability expense for the second quarter of 2021 increased $2.0 million, as compared to the first quarter of 2021, largely due to a $3.6 million unfavorable fair value adjustment offset by a $1.2 million decline in servicing fee remittance due to runoff of the portfolio.</w:t>
      </w:r>
    </w:p>
    <w:p>
      <w:pPr>
        <w:spacing w:after="0" w:line="54" w:lineRule="exact"/>
        <w:rPr>
          <w:sz w:val="20"/>
          <w:szCs w:val="20"/>
          <w:color w:val="auto"/>
        </w:rPr>
      </w:pPr>
    </w:p>
    <w:p>
      <w:pPr>
        <w:ind w:firstLine="272"/>
        <w:spacing w:after="0" w:line="285" w:lineRule="auto"/>
        <w:rPr>
          <w:sz w:val="20"/>
          <w:szCs w:val="20"/>
          <w:color w:val="auto"/>
        </w:rPr>
      </w:pPr>
      <w:r>
        <w:rPr>
          <w:rFonts w:ascii="Arial" w:cs="Arial" w:eastAsia="Arial" w:hAnsi="Arial"/>
          <w:sz w:val="14"/>
          <w:szCs w:val="14"/>
          <w:color w:val="auto"/>
        </w:rPr>
        <w:t>Pledged MSR liability expense for the six months ended June 30, 2021 increased $29.4 million as compared to the six months ended June 30, 2020, primarily due to a $37.4 million unfavorable fair value change. Also, the lump-sum cash payments received from NRZ in 2017 and 2018 were fully amortized as of the end of the second quarter of 2020 ($34.2 million in the six months ended June 30, 2020). These increases were partially offset by a $41.6 million decline in servicing fee remittance. The decline in net servicing fee remittance to NRZ was driven by the runoff of the portfolio and the termination of the PMC agreement by NRZ in February 2020.</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See Segment Results of Operations - Servicing for additional information.</w:t>
      </w:r>
    </w:p>
    <w:p>
      <w:pPr>
        <w:spacing w:after="0" w:line="100" w:lineRule="exact"/>
        <w:rPr>
          <w:sz w:val="20"/>
          <w:szCs w:val="20"/>
          <w:color w:val="auto"/>
        </w:rPr>
      </w:pPr>
    </w:p>
    <w:p>
      <w:pPr>
        <w:ind w:right="100" w:firstLine="272"/>
        <w:spacing w:after="0" w:line="265" w:lineRule="auto"/>
        <w:rPr>
          <w:sz w:val="20"/>
          <w:szCs w:val="20"/>
          <w:color w:val="auto"/>
        </w:rPr>
      </w:pPr>
      <w:r>
        <w:rPr>
          <w:rFonts w:ascii="Arial" w:cs="Arial" w:eastAsia="Arial" w:hAnsi="Arial"/>
          <w:sz w:val="15"/>
          <w:szCs w:val="15"/>
          <w:color w:val="auto"/>
        </w:rPr>
        <w:t>Loss on debt extinguishment of $15.5 million recognized in the first quarter of 2021 resulted from our early repayment of the SSTL due May 2022, PHH 6.375% senior unsecured notes due August 2021, and PMC 8.375% senior secured notes due November 2022. The loss includes the write-off of unamortized debt issuance costs and discount, as well as contractual prepayment premiums totaling $9.8 million on the SSTL and PMC 8.375% senior secured notes.</w:t>
      </w:r>
    </w:p>
    <w:p>
      <w:pPr>
        <w:spacing w:after="0" w:line="64" w:lineRule="exact"/>
        <w:rPr>
          <w:sz w:val="20"/>
          <w:szCs w:val="20"/>
          <w:color w:val="auto"/>
        </w:rPr>
      </w:pPr>
    </w:p>
    <w:p>
      <w:pPr>
        <w:ind w:right="760" w:firstLine="272"/>
        <w:spacing w:after="0" w:line="378" w:lineRule="auto"/>
        <w:rPr>
          <w:sz w:val="20"/>
          <w:szCs w:val="20"/>
          <w:color w:val="auto"/>
        </w:rPr>
      </w:pPr>
      <w:r>
        <w:rPr>
          <w:rFonts w:ascii="Arial" w:cs="Arial" w:eastAsia="Arial" w:hAnsi="Arial"/>
          <w:sz w:val="15"/>
          <w:szCs w:val="15"/>
          <w:color w:val="auto"/>
        </w:rPr>
        <w:t xml:space="preserve">Earnings of equity method investee represent our 15% share of MAV Canopy from May 3, 2021. See Note 10 - Investment in Equity Method Investee for further detail. </w:t>
      </w:r>
      <w:r>
        <w:rPr>
          <w:rFonts w:ascii="Arial" w:cs="Arial" w:eastAsia="Arial" w:hAnsi="Arial"/>
          <w:sz w:val="15"/>
          <w:szCs w:val="15"/>
          <w:b w:val="1"/>
          <w:bCs w:val="1"/>
          <w:i w:val="1"/>
          <w:iCs w:val="1"/>
          <w:color w:val="auto"/>
        </w:rPr>
        <w:t>Income Tax Benefit (Expense)</w:t>
      </w:r>
    </w:p>
    <w:p>
      <w:pPr>
        <w:spacing w:after="0" w:line="1" w:lineRule="exact"/>
        <w:rPr>
          <w:sz w:val="20"/>
          <w:szCs w:val="20"/>
          <w:color w:val="auto"/>
        </w:rPr>
      </w:pPr>
    </w:p>
    <w:p>
      <w:pPr>
        <w:ind w:right="120" w:firstLine="272"/>
        <w:spacing w:after="0" w:line="314" w:lineRule="auto"/>
        <w:rPr>
          <w:sz w:val="20"/>
          <w:szCs w:val="20"/>
          <w:color w:val="auto"/>
        </w:rPr>
      </w:pPr>
      <w:r>
        <w:rPr>
          <w:rFonts w:ascii="Arial" w:cs="Arial" w:eastAsia="Arial" w:hAnsi="Arial"/>
          <w:sz w:val="14"/>
          <w:szCs w:val="14"/>
          <w:color w:val="auto"/>
        </w:rPr>
        <w:t>The $15.0 million decrease in income tax expense for the second quarter of 2021, compared with the first quarter of 2021, was primarily due to the favorable resolution of various uncertain tax positions during the second quarter of 2021 as well as the income tax benefit recognized on the pre-tax loss incurred in the second quarter of 2021 .</w:t>
      </w:r>
    </w:p>
    <w:p>
      <w:pPr>
        <w:spacing w:after="0" w:line="33" w:lineRule="exact"/>
        <w:rPr>
          <w:sz w:val="20"/>
          <w:szCs w:val="20"/>
          <w:color w:val="auto"/>
        </w:rPr>
      </w:pPr>
    </w:p>
    <w:p>
      <w:pPr>
        <w:ind w:right="20" w:firstLine="272"/>
        <w:spacing w:after="0" w:line="258" w:lineRule="auto"/>
        <w:rPr>
          <w:sz w:val="20"/>
          <w:szCs w:val="20"/>
          <w:color w:val="auto"/>
        </w:rPr>
      </w:pPr>
      <w:r>
        <w:rPr>
          <w:rFonts w:ascii="Arial" w:cs="Arial" w:eastAsia="Arial" w:hAnsi="Arial"/>
          <w:sz w:val="15"/>
          <w:szCs w:val="15"/>
          <w:color w:val="auto"/>
        </w:rPr>
        <w:t>Our overall effective tax rates for the second quarter of 2021 and first quarter of 2021 were 53.6% and 26.6%, respectively. During the second quarter of 2021, we recognized $11.9 million of tax benefit on $22.2 million of pre-tax loss resulting in an effective tax rate of 53.6%. During the first quarter of 2021, we recognized $3.1 million of income tax expense on $11.6 million of pre-tax income, resulting in a tax rate of 26.6%. Our U.S., as well as our foreign operations that are compensated on a cost-plus basis under our transfer pricing agreements for the services they provide, all recognized pre-tax income in the first quarter of 2021 while in the second quarter of 2021 our U.S. operations recognized losses and our foreign operations recognized income. All jurisdictions are projected to be subject to tax on a full-year basis.</w:t>
      </w:r>
    </w:p>
    <w:p>
      <w:pPr>
        <w:spacing w:after="0" w:line="71" w:lineRule="exact"/>
        <w:rPr>
          <w:sz w:val="20"/>
          <w:szCs w:val="20"/>
          <w:color w:val="auto"/>
        </w:rPr>
      </w:pPr>
    </w:p>
    <w:p>
      <w:pPr>
        <w:ind w:right="100" w:firstLine="272"/>
        <w:spacing w:after="0" w:line="258" w:lineRule="auto"/>
        <w:rPr>
          <w:sz w:val="20"/>
          <w:szCs w:val="20"/>
          <w:color w:val="auto"/>
        </w:rPr>
      </w:pPr>
      <w:r>
        <w:rPr>
          <w:rFonts w:ascii="Arial" w:cs="Arial" w:eastAsia="Arial" w:hAnsi="Arial"/>
          <w:sz w:val="15"/>
          <w:szCs w:val="15"/>
          <w:color w:val="auto"/>
        </w:rPr>
        <w:t>The $61.1 million reduction in income tax benefit for the six months ended June 30, 2021, compared with the six months ended June 30, 2020, is primarily due to $65.0 million of estimated income tax benefit recognized under the CARES Act during the six months ended June 30, 2020 as a result of modification of the tax rules to allow the carryback of NOLs arising in 2018, 2019 and 2020 tax years to the five prior tax years and the increase to the business interest expense limitation under IRC Section 163(j). In 2020, we collected $51.4 million, which represents the tax refund associated with the NOLs generated in 2018 carried back to prior tax years, and recognized a $24.0 million receivable which represents the tax refund associated with</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180"/>
          </w:cols>
          <w:pgMar w:left="320" w:top="866" w:right="399" w:bottom="1440" w:gutter="0" w:footer="0" w:header="0"/>
        </w:sectPr>
      </w:pPr>
    </w:p>
    <w:bookmarkStart w:id="66" w:name="page67"/>
    <w:bookmarkEnd w:id="66"/>
    <w:p>
      <w:pPr>
        <w:ind w:right="160"/>
        <w:spacing w:after="0" w:line="278" w:lineRule="auto"/>
        <w:rPr>
          <w:sz w:val="20"/>
          <w:szCs w:val="20"/>
          <w:color w:val="auto"/>
        </w:rPr>
      </w:pPr>
      <w:r>
        <w:rPr>
          <w:rFonts w:ascii="Arial" w:cs="Arial" w:eastAsia="Arial" w:hAnsi="Arial"/>
          <w:sz w:val="15"/>
          <w:szCs w:val="15"/>
          <w:color w:val="auto"/>
        </w:rPr>
        <w:t>the NOLs generated in 2019. We collected this $24.0 million tax refund receivable from the U.S. Internal Revenue Service in January 2021. See Note 17 – Income Taxes for additional information.</w:t>
      </w:r>
    </w:p>
    <w:p>
      <w:pPr>
        <w:spacing w:after="0" w:line="54" w:lineRule="exact"/>
        <w:rPr>
          <w:sz w:val="20"/>
          <w:szCs w:val="20"/>
          <w:color w:val="auto"/>
        </w:rPr>
      </w:pPr>
    </w:p>
    <w:p>
      <w:pPr>
        <w:ind w:firstLine="272"/>
        <w:spacing w:after="0" w:line="307" w:lineRule="auto"/>
        <w:rPr>
          <w:sz w:val="20"/>
          <w:szCs w:val="20"/>
          <w:color w:val="auto"/>
        </w:rPr>
      </w:pPr>
      <w:r>
        <w:rPr>
          <w:rFonts w:ascii="Arial" w:cs="Arial" w:eastAsia="Arial" w:hAnsi="Arial"/>
          <w:sz w:val="13"/>
          <w:szCs w:val="13"/>
          <w:color w:val="auto"/>
        </w:rPr>
        <w:t>Our overall effective tax rates for the six months ended June 30, 2021 and 2020 were 83.2% and 74.8%, respectively. For the six months ended June 30, 2021, the income tax benefit was driven by $8.6 million of income tax benefit recognized related to the favorable resolution of various uncertain tax positions during the period. For the six months ended June 30, 2020, the income tax benefit was driven by the $65.0 million of estimated income tax benefit recognized under the CARES Act as noted above. The income tax benefits of $8.6 million and $65.0 million recognized during the six months ended June 30, 2021 and 2020, respectively, related solely to prior period uncertain tax positions and prior period losses, respectively, with no relationship to operating results of those periods. This in turn resulted in the high effective tax rates of 83.2% and 74.8% for the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20"/>
                <w:szCs w:val="20"/>
                <w:color w:val="auto"/>
              </w:rPr>
            </w:pPr>
            <w:r>
              <w:rPr>
                <w:rFonts w:ascii="Arial" w:cs="Arial" w:eastAsia="Arial" w:hAnsi="Arial"/>
                <w:sz w:val="15"/>
                <w:szCs w:val="15"/>
                <w:b w:val="1"/>
                <w:bCs w:val="1"/>
                <w:color w:val="auto"/>
              </w:rPr>
              <w:t>Financial Condition Summary</w:t>
            </w:r>
          </w:p>
        </w:tc>
        <w:tc>
          <w:tcPr>
            <w:tcW w:w="20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2020</w:t>
            </w:r>
          </w:p>
        </w:tc>
        <w:tc>
          <w:tcPr>
            <w:tcW w:w="340" w:type="dxa"/>
            <w:vAlign w:val="bottom"/>
          </w:tcPr>
          <w:p>
            <w:pPr>
              <w:spacing w:after="0"/>
              <w:rPr>
                <w:sz w:val="16"/>
                <w:szCs w:val="16"/>
                <w:color w:val="auto"/>
              </w:rPr>
            </w:pPr>
          </w:p>
        </w:tc>
        <w:tc>
          <w:tcPr>
            <w:tcW w:w="1080" w:type="dxa"/>
            <w:vAlign w:val="bottom"/>
          </w:tcPr>
          <w:p>
            <w:pPr>
              <w:jc w:val="right"/>
              <w:ind w:right="164"/>
              <w:spacing w:after="0"/>
              <w:rPr>
                <w:sz w:val="20"/>
                <w:szCs w:val="20"/>
                <w:color w:val="auto"/>
              </w:rPr>
            </w:pPr>
            <w:r>
              <w:rPr>
                <w:rFonts w:ascii="Arial" w:cs="Arial" w:eastAsia="Arial" w:hAnsi="Arial"/>
                <w:sz w:val="15"/>
                <w:szCs w:val="15"/>
                <w:b w:val="1"/>
                <w:bCs w:val="1"/>
                <w:color w:val="auto"/>
              </w:rPr>
              <w:t>$ Change</w:t>
            </w:r>
          </w:p>
        </w:tc>
        <w:tc>
          <w:tcPr>
            <w:tcW w:w="1220" w:type="dxa"/>
            <w:vAlign w:val="bottom"/>
          </w:tcPr>
          <w:p>
            <w:pPr>
              <w:jc w:val="right"/>
              <w:ind w:right="144"/>
              <w:spacing w:after="0"/>
              <w:rPr>
                <w:sz w:val="20"/>
                <w:szCs w:val="20"/>
                <w:color w:val="auto"/>
              </w:rPr>
            </w:pPr>
            <w:r>
              <w:rPr>
                <w:rFonts w:ascii="Arial" w:cs="Arial" w:eastAsia="Arial" w:hAnsi="Arial"/>
                <w:sz w:val="15"/>
                <w:szCs w:val="15"/>
                <w:b w:val="1"/>
                <w:bCs w:val="1"/>
                <w:color w:val="auto"/>
              </w:rPr>
              <w:t>% Change</w:t>
            </w:r>
          </w:p>
        </w:tc>
      </w:tr>
      <w:tr>
        <w:trPr>
          <w:trHeight w:val="185"/>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243.6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284.8</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(41.2)</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67.9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(4.6)</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(6)</w:t>
            </w:r>
          </w:p>
        </w:tc>
      </w:tr>
      <w:tr>
        <w:trPr>
          <w:trHeight w:val="194"/>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MSRs, at fair value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2,072.5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1,294.8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777.7</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w:t>
            </w: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Advances, net</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762.0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828.2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(66.2)</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(8)</w:t>
            </w:r>
          </w:p>
        </w:tc>
      </w:tr>
      <w:tr>
        <w:trPr>
          <w:trHeight w:val="194"/>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Loans held for sale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696.0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387.8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308.2</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79</w:t>
            </w: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Loans held for investment, at fair value</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7,121.0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7,006.9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114.1</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2</w:t>
            </w:r>
          </w:p>
        </w:tc>
      </w:tr>
      <w:tr>
        <w:trPr>
          <w:trHeight w:val="194"/>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Receivables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187.7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(22.5)</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w:t>
            </w: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Investment in equity method investee</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11.9</w:t>
            </w:r>
          </w:p>
        </w:tc>
        <w:tc>
          <w:tcPr>
            <w:tcW w:w="122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193"/>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627.7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588.4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39.3</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w:t>
            </w:r>
          </w:p>
        </w:tc>
      </w:tr>
      <w:tr>
        <w:trPr>
          <w:trHeight w:val="185"/>
        </w:trPr>
        <w:tc>
          <w:tcPr>
            <w:tcW w:w="5320" w:type="dxa"/>
            <w:vAlign w:val="bottom"/>
          </w:tcPr>
          <w:p>
            <w:pPr>
              <w:ind w:left="10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11,767.7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10,651.1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1,116.6</w:t>
            </w:r>
          </w:p>
        </w:tc>
        <w:tc>
          <w:tcPr>
            <w:tcW w:w="1220" w:type="dxa"/>
            <w:vAlign w:val="bottom"/>
          </w:tcPr>
          <w:p>
            <w:pPr>
              <w:jc w:val="right"/>
              <w:spacing w:after="0"/>
              <w:rPr>
                <w:sz w:val="20"/>
                <w:szCs w:val="20"/>
                <w:color w:val="auto"/>
              </w:rPr>
            </w:pPr>
            <w:r>
              <w:rPr>
                <w:rFonts w:ascii="Arial" w:cs="Arial" w:eastAsia="Arial" w:hAnsi="Arial"/>
                <w:sz w:val="15"/>
                <w:szCs w:val="15"/>
                <w:color w:val="auto"/>
              </w:rPr>
              <w:t>10 %</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99"/>
        </w:trPr>
        <w:tc>
          <w:tcPr>
            <w:tcW w:w="5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Total Assets by Segment</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10,747.8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9,847.6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900.2</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w:t>
            </w:r>
          </w:p>
        </w:tc>
      </w:tr>
      <w:tr>
        <w:trPr>
          <w:trHeight w:val="192"/>
        </w:trPr>
        <w:tc>
          <w:tcPr>
            <w:tcW w:w="5320" w:type="dxa"/>
            <w:vAlign w:val="bottom"/>
          </w:tcPr>
          <w:p>
            <w:pPr>
              <w:ind w:left="100"/>
              <w:spacing w:after="0"/>
              <w:rPr>
                <w:sz w:val="20"/>
                <w:szCs w:val="20"/>
                <w:color w:val="auto"/>
              </w:rPr>
            </w:pPr>
            <w:r>
              <w:rPr>
                <w:rFonts w:ascii="Arial" w:cs="Arial" w:eastAsia="Arial" w:hAnsi="Arial"/>
                <w:sz w:val="15"/>
                <w:szCs w:val="15"/>
                <w:color w:val="auto"/>
              </w:rPr>
              <w:t>Originations</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641.9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379.2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262.7</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69</w:t>
            </w:r>
          </w:p>
        </w:tc>
      </w:tr>
      <w:tr>
        <w:trPr>
          <w:trHeight w:val="193"/>
        </w:trPr>
        <w:tc>
          <w:tcPr>
            <w:tcW w:w="5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 Items and Other</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378.0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424.3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(46.3)</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w:t>
            </w:r>
          </w:p>
        </w:tc>
      </w:tr>
      <w:tr>
        <w:trPr>
          <w:trHeight w:val="185"/>
        </w:trPr>
        <w:tc>
          <w:tcPr>
            <w:tcW w:w="532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11,767.7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10,651.1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1,116.6</w:t>
            </w:r>
          </w:p>
        </w:tc>
        <w:tc>
          <w:tcPr>
            <w:tcW w:w="1220" w:type="dxa"/>
            <w:vAlign w:val="bottom"/>
          </w:tcPr>
          <w:p>
            <w:pPr>
              <w:jc w:val="right"/>
              <w:spacing w:after="0"/>
              <w:rPr>
                <w:sz w:val="20"/>
                <w:szCs w:val="20"/>
                <w:color w:val="auto"/>
              </w:rPr>
            </w:pPr>
            <w:r>
              <w:rPr>
                <w:rFonts w:ascii="Arial" w:cs="Arial" w:eastAsia="Arial" w:hAnsi="Arial"/>
                <w:sz w:val="15"/>
                <w:szCs w:val="15"/>
                <w:color w:val="auto"/>
              </w:rPr>
              <w:t>10 %</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99"/>
        </w:trPr>
        <w:tc>
          <w:tcPr>
            <w:tcW w:w="5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HMBS-related borrowings, at fair value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6,823.9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6,772.7</w:t>
            </w:r>
          </w:p>
        </w:tc>
        <w:tc>
          <w:tcPr>
            <w:tcW w:w="100" w:type="dxa"/>
            <w:vAlign w:val="bottom"/>
          </w:tcPr>
          <w:p>
            <w:pPr>
              <w:spacing w:after="0"/>
              <w:rPr>
                <w:sz w:val="16"/>
                <w:szCs w:val="16"/>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51.2</w:t>
            </w:r>
          </w:p>
        </w:tc>
        <w:tc>
          <w:tcPr>
            <w:tcW w:w="1220" w:type="dxa"/>
            <w:vAlign w:val="bottom"/>
          </w:tcPr>
          <w:p>
            <w:pPr>
              <w:jc w:val="right"/>
              <w:spacing w:after="0"/>
              <w:rPr>
                <w:sz w:val="20"/>
                <w:szCs w:val="20"/>
                <w:color w:val="auto"/>
              </w:rPr>
            </w:pPr>
            <w:r>
              <w:rPr>
                <w:rFonts w:ascii="Arial" w:cs="Arial" w:eastAsia="Arial" w:hAnsi="Arial"/>
                <w:sz w:val="15"/>
                <w:szCs w:val="15"/>
                <w:color w:val="auto"/>
              </w:rPr>
              <w:t>1 %</w:t>
            </w:r>
          </w:p>
        </w:tc>
      </w:tr>
      <w:tr>
        <w:trPr>
          <w:trHeight w:val="194"/>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Other financing liabilities, at fair value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576.7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(32.4)</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w:t>
            </w: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Advance match funded liabilities</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530.2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581.3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(51.1)</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(9)</w:t>
            </w:r>
          </w:p>
        </w:tc>
      </w:tr>
      <w:tr>
        <w:trPr>
          <w:trHeight w:val="194"/>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Mortgage loan warehouse facilities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773.4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451.7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321.7</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71</w:t>
            </w: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MSR financing facilities, net</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1,012.5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437.7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574.8</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131</w:t>
            </w:r>
          </w:p>
        </w:tc>
      </w:tr>
      <w:tr>
        <w:trPr>
          <w:trHeight w:val="194"/>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Senior secured term loan</w:t>
            </w: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(179.8)</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w:t>
            </w: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Senior notes, net</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610.6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311.9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298.7</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96</w:t>
            </w:r>
          </w:p>
        </w:tc>
      </w:tr>
      <w:tr>
        <w:trPr>
          <w:trHeight w:val="194"/>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1,025.8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924.0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101.8</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w:t>
            </w:r>
          </w:p>
        </w:tc>
      </w:tr>
      <w:tr>
        <w:trPr>
          <w:trHeight w:val="184"/>
        </w:trPr>
        <w:tc>
          <w:tcPr>
            <w:tcW w:w="5320" w:type="dxa"/>
            <w:vAlign w:val="bottom"/>
          </w:tcPr>
          <w:p>
            <w:pPr>
              <w:ind w:left="100"/>
              <w:spacing w:after="0"/>
              <w:rPr>
                <w:sz w:val="20"/>
                <w:szCs w:val="20"/>
                <w:color w:val="auto"/>
              </w:rPr>
            </w:pPr>
            <w:r>
              <w:rPr>
                <w:rFonts w:ascii="Arial" w:cs="Arial" w:eastAsia="Arial" w:hAnsi="Arial"/>
                <w:sz w:val="15"/>
                <w:szCs w:val="15"/>
                <w:color w:val="auto"/>
              </w:rPr>
              <w:t>Total liabilities</w:t>
            </w:r>
          </w:p>
        </w:tc>
        <w:tc>
          <w:tcPr>
            <w:tcW w:w="200" w:type="dxa"/>
            <w:vAlign w:val="bottom"/>
          </w:tcPr>
          <w:p>
            <w:pPr>
              <w:spacing w:after="0"/>
              <w:rPr>
                <w:sz w:val="15"/>
                <w:szCs w:val="15"/>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11,320.6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10,235.8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1,084.8</w:t>
            </w:r>
          </w:p>
        </w:tc>
        <w:tc>
          <w:tcPr>
            <w:tcW w:w="1220" w:type="dxa"/>
            <w:vAlign w:val="bottom"/>
          </w:tcPr>
          <w:p>
            <w:pPr>
              <w:jc w:val="right"/>
              <w:spacing w:after="0"/>
              <w:rPr>
                <w:sz w:val="20"/>
                <w:szCs w:val="20"/>
                <w:color w:val="auto"/>
              </w:rPr>
            </w:pPr>
            <w:r>
              <w:rPr>
                <w:rFonts w:ascii="Arial" w:cs="Arial" w:eastAsia="Arial" w:hAnsi="Arial"/>
                <w:sz w:val="15"/>
                <w:szCs w:val="15"/>
                <w:color w:val="auto"/>
              </w:rPr>
              <w:t>11 %</w:t>
            </w:r>
          </w:p>
        </w:tc>
      </w:tr>
      <w:tr>
        <w:trPr>
          <w:trHeight w:val="137"/>
        </w:trPr>
        <w:tc>
          <w:tcPr>
            <w:tcW w:w="5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447.1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415.4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31.7</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8</w:t>
            </w:r>
          </w:p>
        </w:tc>
      </w:tr>
      <w:tr>
        <w:trPr>
          <w:trHeight w:val="137"/>
        </w:trPr>
        <w:tc>
          <w:tcPr>
            <w:tcW w:w="53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5"/>
                <w:szCs w:val="15"/>
                <w:color w:val="auto"/>
              </w:rPr>
              <w:t>Total liabilities and equity</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11,767.7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10,651.2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1,116.5</w:t>
            </w:r>
          </w:p>
        </w:tc>
        <w:tc>
          <w:tcPr>
            <w:tcW w:w="1220" w:type="dxa"/>
            <w:vAlign w:val="bottom"/>
          </w:tcPr>
          <w:p>
            <w:pPr>
              <w:jc w:val="right"/>
              <w:spacing w:after="0"/>
              <w:rPr>
                <w:sz w:val="20"/>
                <w:szCs w:val="20"/>
                <w:color w:val="auto"/>
              </w:rPr>
            </w:pPr>
            <w:r>
              <w:rPr>
                <w:rFonts w:ascii="Arial" w:cs="Arial" w:eastAsia="Arial" w:hAnsi="Arial"/>
                <w:sz w:val="15"/>
                <w:szCs w:val="15"/>
                <w:color w:val="auto"/>
              </w:rPr>
              <w:t>10 %</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99"/>
        </w:trPr>
        <w:tc>
          <w:tcPr>
            <w:tcW w:w="5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92"/>
        </w:trPr>
        <w:tc>
          <w:tcPr>
            <w:tcW w:w="5320" w:type="dxa"/>
            <w:vAlign w:val="bottom"/>
          </w:tcPr>
          <w:p>
            <w:pPr>
              <w:spacing w:after="0"/>
              <w:rPr>
                <w:sz w:val="20"/>
                <w:szCs w:val="20"/>
                <w:color w:val="auto"/>
              </w:rPr>
            </w:pPr>
            <w:r>
              <w:rPr>
                <w:rFonts w:ascii="Arial" w:cs="Arial" w:eastAsia="Arial" w:hAnsi="Arial"/>
                <w:sz w:val="15"/>
                <w:szCs w:val="15"/>
                <w:color w:val="auto"/>
              </w:rPr>
              <w:t>Total Liabilities by Segment</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9,955.8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9,163.5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792.3</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w:t>
            </w:r>
          </w:p>
        </w:tc>
      </w:tr>
      <w:tr>
        <w:trPr>
          <w:trHeight w:val="192"/>
        </w:trPr>
        <w:tc>
          <w:tcPr>
            <w:tcW w:w="5320" w:type="dxa"/>
            <w:vAlign w:val="bottom"/>
          </w:tcPr>
          <w:p>
            <w:pPr>
              <w:ind w:left="100"/>
              <w:spacing w:after="0"/>
              <w:rPr>
                <w:sz w:val="20"/>
                <w:szCs w:val="20"/>
                <w:color w:val="auto"/>
              </w:rPr>
            </w:pPr>
            <w:r>
              <w:rPr>
                <w:rFonts w:ascii="Arial" w:cs="Arial" w:eastAsia="Arial" w:hAnsi="Arial"/>
                <w:sz w:val="15"/>
                <w:szCs w:val="15"/>
                <w:color w:val="auto"/>
              </w:rPr>
              <w:t>Originations</w:t>
            </w:r>
          </w:p>
        </w:tc>
        <w:tc>
          <w:tcPr>
            <w:tcW w:w="200" w:type="dxa"/>
            <w:vAlign w:val="bottom"/>
          </w:tcPr>
          <w:p>
            <w:pPr>
              <w:spacing w:after="0"/>
              <w:rPr>
                <w:sz w:val="16"/>
                <w:szCs w:val="16"/>
                <w:color w:val="auto"/>
              </w:rPr>
            </w:pPr>
          </w:p>
        </w:tc>
        <w:tc>
          <w:tcPr>
            <w:tcW w:w="1320" w:type="dxa"/>
            <w:vAlign w:val="bottom"/>
          </w:tcPr>
          <w:p>
            <w:pPr>
              <w:jc w:val="right"/>
              <w:ind w:right="124"/>
              <w:spacing w:after="0"/>
              <w:rPr>
                <w:sz w:val="20"/>
                <w:szCs w:val="20"/>
                <w:color w:val="auto"/>
              </w:rPr>
            </w:pPr>
            <w:r>
              <w:rPr>
                <w:rFonts w:ascii="Arial" w:cs="Arial" w:eastAsia="Arial" w:hAnsi="Arial"/>
                <w:sz w:val="15"/>
                <w:szCs w:val="15"/>
                <w:color w:val="auto"/>
              </w:rPr>
              <w:t>606.2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5"/>
                <w:szCs w:val="15"/>
                <w:color w:val="auto"/>
              </w:rPr>
              <w:t>428.5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177.7</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41</w:t>
            </w:r>
          </w:p>
        </w:tc>
      </w:tr>
      <w:tr>
        <w:trPr>
          <w:trHeight w:val="193"/>
        </w:trPr>
        <w:tc>
          <w:tcPr>
            <w:tcW w:w="5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 Items and Other</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758.7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643.7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115.0</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18</w:t>
            </w:r>
          </w:p>
        </w:tc>
      </w:tr>
      <w:tr>
        <w:trPr>
          <w:trHeight w:val="185"/>
        </w:trPr>
        <w:tc>
          <w:tcPr>
            <w:tcW w:w="532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11,320.6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10,235.8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1,084.8</w:t>
            </w:r>
          </w:p>
        </w:tc>
        <w:tc>
          <w:tcPr>
            <w:tcW w:w="1220" w:type="dxa"/>
            <w:vAlign w:val="bottom"/>
          </w:tcPr>
          <w:p>
            <w:pPr>
              <w:jc w:val="right"/>
              <w:spacing w:after="0"/>
              <w:rPr>
                <w:sz w:val="20"/>
                <w:szCs w:val="20"/>
                <w:color w:val="auto"/>
              </w:rPr>
            </w:pPr>
            <w:r>
              <w:rPr>
                <w:rFonts w:ascii="Arial" w:cs="Arial" w:eastAsia="Arial" w:hAnsi="Arial"/>
                <w:sz w:val="15"/>
                <w:szCs w:val="15"/>
                <w:color w:val="auto"/>
              </w:rPr>
              <w:t>11 %</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99"/>
        </w:trPr>
        <w:tc>
          <w:tcPr>
            <w:tcW w:w="5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91"/>
        </w:trPr>
        <w:tc>
          <w:tcPr>
            <w:tcW w:w="5320" w:type="dxa"/>
            <w:vAlign w:val="bottom"/>
          </w:tcPr>
          <w:p>
            <w:pPr>
              <w:spacing w:after="0"/>
              <w:rPr>
                <w:sz w:val="20"/>
                <w:szCs w:val="20"/>
                <w:color w:val="auto"/>
              </w:rPr>
            </w:pPr>
            <w:r>
              <w:rPr>
                <w:rFonts w:ascii="Arial" w:cs="Arial" w:eastAsia="Arial" w:hAnsi="Arial"/>
                <w:sz w:val="15"/>
                <w:szCs w:val="15"/>
                <w:color w:val="auto"/>
              </w:rPr>
              <w:t>Book value per share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48.66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47.81</w:t>
            </w:r>
          </w:p>
        </w:tc>
        <w:tc>
          <w:tcPr>
            <w:tcW w:w="100" w:type="dxa"/>
            <w:vAlign w:val="bottom"/>
          </w:tcPr>
          <w:p>
            <w:pPr>
              <w:spacing w:after="0"/>
              <w:rPr>
                <w:sz w:val="16"/>
                <w:szCs w:val="16"/>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0.85</w:t>
            </w:r>
          </w:p>
        </w:tc>
        <w:tc>
          <w:tcPr>
            <w:tcW w:w="1220" w:type="dxa"/>
            <w:vAlign w:val="bottom"/>
          </w:tcPr>
          <w:p>
            <w:pPr>
              <w:jc w:val="right"/>
              <w:spacing w:after="0"/>
              <w:rPr>
                <w:sz w:val="20"/>
                <w:szCs w:val="20"/>
                <w:color w:val="auto"/>
              </w:rPr>
            </w:pPr>
            <w:r>
              <w:rPr>
                <w:rFonts w:ascii="Arial" w:cs="Arial" w:eastAsia="Arial" w:hAnsi="Arial"/>
                <w:sz w:val="15"/>
                <w:szCs w:val="15"/>
                <w:color w:val="auto"/>
              </w:rPr>
              <w:t>2 %</w:t>
            </w:r>
          </w:p>
        </w:tc>
      </w:tr>
    </w:tbl>
    <w:p>
      <w:pPr>
        <w:spacing w:after="0" w:line="150" w:lineRule="exact"/>
        <w:rPr>
          <w:sz w:val="20"/>
          <w:szCs w:val="20"/>
          <w:color w:val="auto"/>
        </w:rPr>
      </w:pPr>
    </w:p>
    <w:p>
      <w:pPr>
        <w:ind w:right="140" w:firstLine="272"/>
        <w:spacing w:after="0" w:line="285" w:lineRule="auto"/>
        <w:rPr>
          <w:sz w:val="20"/>
          <w:szCs w:val="20"/>
          <w:color w:val="auto"/>
        </w:rPr>
      </w:pPr>
      <w:r>
        <w:rPr>
          <w:rFonts w:ascii="Arial" w:cs="Arial" w:eastAsia="Arial" w:hAnsi="Arial"/>
          <w:sz w:val="14"/>
          <w:szCs w:val="14"/>
          <w:color w:val="auto"/>
        </w:rPr>
        <w:t>Total assets increased $1.1 billion between December 31, 2020 and June 30, 2021, mostly due to the $308.2 million increase in our loans held for sale portfolio - driven by higher production volumes - and a $777.7 million or 60% increase in our MSR portfolio - mostly driven by MSR bulk acquisitions and new capitalized MSRs. Loans held for investment increased by $114.1 million mostly due to the continued growth of our reverse mortgage business. Servicing advances declined $66.2 million mostly due to heightened payoff activity. The $39.3 million increase in other assets is mostly attributable to the increase in the Ginnie Mae contingent repurchase rights of loans under forbearance.</w:t>
      </w:r>
    </w:p>
    <w:p>
      <w:pPr>
        <w:spacing w:after="0" w:line="52" w:lineRule="exact"/>
        <w:rPr>
          <w:sz w:val="20"/>
          <w:szCs w:val="20"/>
          <w:color w:val="auto"/>
        </w:rPr>
      </w:pPr>
    </w:p>
    <w:p>
      <w:pPr>
        <w:ind w:right="140" w:firstLine="272"/>
        <w:spacing w:after="0" w:line="292" w:lineRule="auto"/>
        <w:rPr>
          <w:sz w:val="20"/>
          <w:szCs w:val="20"/>
          <w:color w:val="auto"/>
        </w:rPr>
      </w:pPr>
      <w:r>
        <w:rPr>
          <w:rFonts w:ascii="Arial" w:cs="Arial" w:eastAsia="Arial" w:hAnsi="Arial"/>
          <w:sz w:val="14"/>
          <w:szCs w:val="14"/>
          <w:color w:val="auto"/>
        </w:rPr>
        <w:t>Total liabilities increased by $1.1 billion as compared to December 31, 2020, with similar effects as described above. Our borrowings under warehouse lines and MSR financing facilities increased $321.7 million and $574.8 million, respectively, due to higher loan production volumes and MSR bulk acquisitions, respectively. Our senior notes increased $298.7 million due to the refinancing transactions completed on March 4, 2021 and May 3, 2021. We issued $627.1 million of new senior notes, net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00"/>
          </w:cols>
          <w:pgMar w:left="320" w:top="885" w:right="379" w:bottom="1440" w:gutter="0" w:footer="0" w:header="0"/>
        </w:sectPr>
      </w:pPr>
    </w:p>
    <w:bookmarkStart w:id="68" w:name="page69"/>
    <w:bookmarkEnd w:id="68"/>
    <w:p>
      <w:pPr>
        <w:ind w:right="80"/>
        <w:spacing w:after="0" w:line="265" w:lineRule="auto"/>
        <w:rPr>
          <w:sz w:val="20"/>
          <w:szCs w:val="20"/>
          <w:color w:val="auto"/>
        </w:rPr>
      </w:pPr>
      <w:r>
        <w:rPr>
          <w:rFonts w:ascii="Arial" w:cs="Arial" w:eastAsia="Arial" w:hAnsi="Arial"/>
          <w:sz w:val="15"/>
          <w:szCs w:val="15"/>
          <w:color w:val="auto"/>
        </w:rPr>
        <w:t>of discount, repaid in full $313.1 million of existing senior notes and repaid the $185.0 million SSTL. Advance match funded liabilities decreased $51.1 million consistent with the decline in servicing advances. Further, the $101.8 million increase in other liabilities is driven by the increase in the Ginnie Mae contingent repurchase rights of loans under forbearance and the increase in purchase price holdback on MSR bulk acquisitions.</w:t>
      </w:r>
    </w:p>
    <w:p>
      <w:pPr>
        <w:spacing w:after="0" w:line="64" w:lineRule="exact"/>
        <w:rPr>
          <w:sz w:val="20"/>
          <w:szCs w:val="20"/>
          <w:color w:val="auto"/>
        </w:rPr>
      </w:pPr>
    </w:p>
    <w:p>
      <w:pPr>
        <w:ind w:right="1560" w:firstLine="272"/>
        <w:spacing w:after="0" w:line="378" w:lineRule="auto"/>
        <w:rPr>
          <w:sz w:val="20"/>
          <w:szCs w:val="20"/>
          <w:color w:val="auto"/>
        </w:rPr>
      </w:pPr>
      <w:r>
        <w:rPr>
          <w:rFonts w:ascii="Arial" w:cs="Arial" w:eastAsia="Arial" w:hAnsi="Arial"/>
          <w:sz w:val="15"/>
          <w:szCs w:val="15"/>
          <w:color w:val="auto"/>
        </w:rPr>
        <w:t xml:space="preserve">Total equity increased $31.7 million mostly due to the issuance of common stock and warrants to Oaktree. See Note 14 – Equity for additional information. </w:t>
      </w:r>
      <w:r>
        <w:rPr>
          <w:rFonts w:ascii="Arial" w:cs="Arial" w:eastAsia="Arial" w:hAnsi="Arial"/>
          <w:sz w:val="15"/>
          <w:szCs w:val="15"/>
          <w:b w:val="1"/>
          <w:bCs w:val="1"/>
          <w:color w:val="auto"/>
        </w:rPr>
        <w:t>Outlook</w:t>
      </w:r>
    </w:p>
    <w:p>
      <w:pPr>
        <w:spacing w:after="0" w:line="1" w:lineRule="exact"/>
        <w:rPr>
          <w:sz w:val="20"/>
          <w:szCs w:val="20"/>
          <w:color w:val="auto"/>
        </w:rPr>
      </w:pPr>
    </w:p>
    <w:p>
      <w:pPr>
        <w:ind w:right="100" w:firstLine="272"/>
        <w:spacing w:after="0" w:line="278" w:lineRule="auto"/>
        <w:rPr>
          <w:sz w:val="20"/>
          <w:szCs w:val="20"/>
          <w:color w:val="auto"/>
        </w:rPr>
      </w:pPr>
      <w:r>
        <w:rPr>
          <w:rFonts w:ascii="Arial" w:cs="Arial" w:eastAsia="Arial" w:hAnsi="Arial"/>
          <w:sz w:val="15"/>
          <w:szCs w:val="15"/>
          <w:color w:val="auto"/>
        </w:rPr>
        <w:t>The following discussion provides outlook information for certain key drivers of our financial performance. Also refer to the Segment results of operations section for further detail and the description of our business initiatives.</w:t>
      </w:r>
    </w:p>
    <w:p>
      <w:pPr>
        <w:spacing w:after="0" w:line="54" w:lineRule="exact"/>
        <w:rPr>
          <w:sz w:val="20"/>
          <w:szCs w:val="20"/>
          <w:color w:val="auto"/>
        </w:rPr>
      </w:pPr>
    </w:p>
    <w:p>
      <w:pPr>
        <w:ind w:right="40"/>
        <w:spacing w:after="0" w:line="307" w:lineRule="auto"/>
        <w:rPr>
          <w:sz w:val="20"/>
          <w:szCs w:val="20"/>
          <w:color w:val="auto"/>
        </w:rPr>
      </w:pPr>
      <w:r>
        <w:rPr>
          <w:rFonts w:ascii="Arial" w:cs="Arial" w:eastAsia="Arial" w:hAnsi="Arial"/>
          <w:sz w:val="13"/>
          <w:szCs w:val="13"/>
          <w:i w:val="1"/>
          <w:iCs w:val="1"/>
          <w:color w:val="auto"/>
        </w:rPr>
        <w:t xml:space="preserve">Servicing fee revenue </w:t>
      </w:r>
      <w:r>
        <w:rPr>
          <w:rFonts w:ascii="Arial" w:cs="Arial" w:eastAsia="Arial" w:hAnsi="Arial"/>
          <w:sz w:val="13"/>
          <w:szCs w:val="13"/>
          <w:color w:val="auto"/>
        </w:rPr>
        <w:t>- Our servicing fee revenue is a function of the volume being serviced - UPB for servicing fees and loan count for subservicing fees. We expect we will continue to</w:t>
      </w:r>
      <w:r>
        <w:rPr>
          <w:rFonts w:ascii="Arial" w:cs="Arial" w:eastAsia="Arial" w:hAnsi="Arial"/>
          <w:sz w:val="13"/>
          <w:szCs w:val="13"/>
          <w:i w:val="1"/>
          <w:iCs w:val="1"/>
          <w:color w:val="auto"/>
        </w:rPr>
        <w:t xml:space="preserve"> </w:t>
      </w:r>
      <w:r>
        <w:rPr>
          <w:rFonts w:ascii="Arial" w:cs="Arial" w:eastAsia="Arial" w:hAnsi="Arial"/>
          <w:sz w:val="13"/>
          <w:szCs w:val="13"/>
          <w:color w:val="auto"/>
        </w:rPr>
        <w:t>replenish and grow our servicing portfolio through our multi-channel Originations platform for the remainder of 2021, with a rebalancing of the relative mix between servicing and subservicing volume. The launch of the relationship with MAV is expected to facilitate this servicing-subservicing mix rebalancing as MAV acquires MSRs that PMC would subservice. The expected volume increase is also intended to exceed the portfolio serviced on behalf of NRZ that may end in July 2022. Servicing revenue and ancillary income have been adversely impacted by COVID-19 and the low rate environment, which may persist throughout 2021, until forbearance plan exits and the end of the foreclosure moratorium.</w:t>
      </w:r>
    </w:p>
    <w:p>
      <w:pPr>
        <w:spacing w:after="0" w:line="4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i w:val="1"/>
          <w:iCs w:val="1"/>
          <w:color w:val="auto"/>
        </w:rPr>
        <w:t xml:space="preserve">Gain on sale of loans held for sale </w:t>
      </w:r>
      <w:r>
        <w:rPr>
          <w:rFonts w:ascii="Arial" w:cs="Arial" w:eastAsia="Arial" w:hAnsi="Arial"/>
          <w:sz w:val="15"/>
          <w:szCs w:val="15"/>
          <w:color w:val="auto"/>
        </w:rPr>
        <w:t>- Our gain on sale is driven by both volume and margin and is channel-sensitive, with recapture generating relatively higher margins than</w:t>
      </w:r>
      <w:r>
        <w:rPr>
          <w:rFonts w:ascii="Arial" w:cs="Arial" w:eastAsia="Arial" w:hAnsi="Arial"/>
          <w:sz w:val="15"/>
          <w:szCs w:val="15"/>
          <w:i w:val="1"/>
          <w:iCs w:val="1"/>
          <w:color w:val="auto"/>
        </w:rPr>
        <w:t xml:space="preserve"> </w:t>
      </w:r>
      <w:r>
        <w:rPr>
          <w:rFonts w:ascii="Arial" w:cs="Arial" w:eastAsia="Arial" w:hAnsi="Arial"/>
          <w:sz w:val="15"/>
          <w:szCs w:val="15"/>
          <w:color w:val="auto"/>
        </w:rPr>
        <w:t>correspondent. While we continue to increase our recapture rate by expanding our channel operating capacity, the volume mix is expected to shift to purchase as the volume of refinance activity by borrowers is expected to continue to decline, consistent with expected industry trends. Intense competition is expected to perdure in the correspondent channel and Agency Cash Window and co-issue programs for the remainder of 2021 imposing a trade-off between volumes and margins.</w:t>
      </w:r>
    </w:p>
    <w:p>
      <w:pPr>
        <w:spacing w:after="0" w:line="6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i w:val="1"/>
          <w:iCs w:val="1"/>
          <w:color w:val="auto"/>
        </w:rPr>
        <w:t xml:space="preserve">Reverse mortgage revenue, net </w:t>
      </w:r>
      <w:r>
        <w:rPr>
          <w:rFonts w:ascii="Arial" w:cs="Arial" w:eastAsia="Arial" w:hAnsi="Arial"/>
          <w:sz w:val="15"/>
          <w:szCs w:val="15"/>
          <w:color w:val="auto"/>
        </w:rPr>
        <w:t>- The reverse mortgage origination gain is driven by the same factors as gain on sale of loans held for sale, with smaller volumes in the reverse mortgage</w:t>
      </w:r>
      <w:r>
        <w:rPr>
          <w:rFonts w:ascii="Arial" w:cs="Arial" w:eastAsia="Arial" w:hAnsi="Arial"/>
          <w:sz w:val="15"/>
          <w:szCs w:val="15"/>
          <w:i w:val="1"/>
          <w:iCs w:val="1"/>
          <w:color w:val="auto"/>
        </w:rPr>
        <w:t xml:space="preserve"> </w:t>
      </w:r>
      <w:r>
        <w:rPr>
          <w:rFonts w:ascii="Arial" w:cs="Arial" w:eastAsia="Arial" w:hAnsi="Arial"/>
          <w:sz w:val="15"/>
          <w:szCs w:val="15"/>
          <w:color w:val="auto"/>
        </w:rPr>
        <w:t>market and generally larger margins. With our experience and brand in the marketplace, we expect to continue to grow our volumes at similar margins in each channel, however the channel mix may vary. With the expected assignment of RMS subservicing agreement to PMC in the second half of 2021, reverse mortgage servicing revenue is expected to grow significantly, absent any significant change in interest rates.</w:t>
      </w:r>
    </w:p>
    <w:p>
      <w:pPr>
        <w:spacing w:after="0" w:line="67" w:lineRule="exact"/>
        <w:rPr>
          <w:sz w:val="20"/>
          <w:szCs w:val="20"/>
          <w:color w:val="auto"/>
        </w:rPr>
      </w:pPr>
    </w:p>
    <w:p>
      <w:pPr>
        <w:spacing w:after="0" w:line="258" w:lineRule="auto"/>
        <w:rPr>
          <w:sz w:val="20"/>
          <w:szCs w:val="20"/>
          <w:color w:val="auto"/>
        </w:rPr>
      </w:pPr>
      <w:r>
        <w:rPr>
          <w:rFonts w:ascii="Arial" w:cs="Arial" w:eastAsia="Arial" w:hAnsi="Arial"/>
          <w:sz w:val="15"/>
          <w:szCs w:val="15"/>
          <w:i w:val="1"/>
          <w:iCs w:val="1"/>
          <w:color w:val="auto"/>
        </w:rPr>
        <w:t xml:space="preserve">MSR valuation adjustments, net - </w:t>
      </w:r>
      <w:r>
        <w:rPr>
          <w:rFonts w:ascii="Arial" w:cs="Arial" w:eastAsia="Arial" w:hAnsi="Arial"/>
          <w:sz w:val="15"/>
          <w:szCs w:val="15"/>
          <w:color w:val="auto"/>
        </w:rPr>
        <w:t>Our net MSR fair value changes include multiple components. First, the MSR realization of cash flows is effectively an amortization of our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as the underlying loans amortize and payoff and is a function of the UPB of the MSR. We expect the MSR realization of cash flows to increase as we have recently grown our MSR portfolio.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now larger MSR portfolio. Refer to the sensitivity analysis in Item 3 - Quantitative and qualitative disclosures about market risk for further detail.</w:t>
      </w:r>
    </w:p>
    <w:p>
      <w:pPr>
        <w:spacing w:after="0" w:line="7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 Compensation and benefits is a significant component of our cost-to-service and cost-per-loan and is directly correlated to headcount levels. As servicing volume is</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to increase (see above), we expect an increase in our workforce. We expect we will continue to moderately increase our Originations workforce for the remainder of 2021 to accompany the growth of the channels. Other operating expenses are expected to favorably correlate with volumes, as productivity and efficiencies are expected with our technology and continuous improvement initiatives.</w:t>
      </w:r>
    </w:p>
    <w:p>
      <w:pPr>
        <w:spacing w:after="0" w:line="67" w:lineRule="exact"/>
        <w:rPr>
          <w:sz w:val="20"/>
          <w:szCs w:val="20"/>
          <w:color w:val="auto"/>
        </w:rPr>
      </w:pPr>
    </w:p>
    <w:p>
      <w:pPr>
        <w:spacing w:after="0" w:line="278" w:lineRule="auto"/>
        <w:rPr>
          <w:sz w:val="20"/>
          <w:szCs w:val="20"/>
          <w:color w:val="auto"/>
        </w:rPr>
      </w:pPr>
      <w:r>
        <w:rPr>
          <w:rFonts w:ascii="Arial" w:cs="Arial" w:eastAsia="Arial" w:hAnsi="Arial"/>
          <w:sz w:val="15"/>
          <w:szCs w:val="15"/>
          <w:i w:val="1"/>
          <w:iCs w:val="1"/>
          <w:color w:val="auto"/>
        </w:rPr>
        <w:t xml:space="preserve">Stockholders’ equity </w:t>
      </w:r>
      <w:r>
        <w:rPr>
          <w:rFonts w:ascii="Arial" w:cs="Arial" w:eastAsia="Arial" w:hAnsi="Arial"/>
          <w:sz w:val="15"/>
          <w:szCs w:val="15"/>
          <w:color w:val="auto"/>
        </w:rPr>
        <w:t>- With the above considerations, we expect our businesses to generate net income and increase our equity for the remainder of 2021, absent any significant change in</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rates.</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54" w:lineRule="exact"/>
        <w:rPr>
          <w:sz w:val="20"/>
          <w:szCs w:val="20"/>
          <w:color w:val="auto"/>
        </w:rPr>
      </w:pPr>
    </w:p>
    <w:p>
      <w:pPr>
        <w:ind w:right="260" w:firstLine="272"/>
        <w:spacing w:after="0" w:line="278" w:lineRule="auto"/>
        <w:rPr>
          <w:sz w:val="20"/>
          <w:szCs w:val="20"/>
          <w:color w:val="auto"/>
        </w:rPr>
      </w:pPr>
      <w:r>
        <w:rPr>
          <w:rFonts w:ascii="Arial" w:cs="Arial" w:eastAsia="Arial" w:hAnsi="Arial"/>
          <w:sz w:val="15"/>
          <w:szCs w:val="15"/>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65" w:lineRule="exact"/>
        <w:rPr>
          <w:sz w:val="20"/>
          <w:szCs w:val="20"/>
          <w:color w:val="auto"/>
        </w:rPr>
      </w:pPr>
    </w:p>
    <w:p>
      <w:pPr>
        <w:ind w:right="400" w:firstLine="272"/>
        <w:spacing w:after="0" w:line="278" w:lineRule="auto"/>
        <w:rPr>
          <w:sz w:val="20"/>
          <w:szCs w:val="20"/>
          <w:color w:val="auto"/>
        </w:rPr>
      </w:pPr>
      <w:r>
        <w:rPr>
          <w:rFonts w:ascii="Arial" w:cs="Arial" w:eastAsia="Arial" w:hAnsi="Arial"/>
          <w:sz w:val="15"/>
          <w:szCs w:val="15"/>
          <w:color w:val="auto"/>
        </w:rPr>
        <w:t>We earn contractual monthly servicing fees pursuant to servicing agreements, which are typically payable as a percentage of UPB, as well as ancillary fees, including late fees, modification incentive fees, REO referral commissions, float earnings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9" w:name="page70"/>
    <w:bookmarkEnd w:id="69"/>
    <w:p>
      <w:pPr>
        <w:ind w:left="9" w:right="120"/>
        <w:spacing w:after="0" w:line="302" w:lineRule="auto"/>
        <w:rPr>
          <w:sz w:val="20"/>
          <w:szCs w:val="20"/>
          <w:color w:val="auto"/>
        </w:rPr>
      </w:pPr>
      <w:r>
        <w:rPr>
          <w:rFonts w:ascii="Arial" w:cs="Arial" w:eastAsia="Arial" w:hAnsi="Arial"/>
          <w:sz w:val="13"/>
          <w:szCs w:val="13"/>
          <w:color w:val="auto"/>
        </w:rPr>
        <w:t>Speedpay/collection fees. In addition, we earn performance or incentive fees depending on operational and other metrics exceeding certain service level agreement targets. We also earn fees under both subservicing and special servicing arrangements with banks and other institutions that own the MSRs. Subservicing and special servicing fees are earned either as a percentage of UPB or on a per-loan basis. Per-loan fees typically vary based on type of investor and on delinquency status. As of June 30, 2021, we serviced approximately 1.3 million mortgage loans with an aggregate UPB of $237.3 billion. The average UPB of loans serviced during the second quarter of 2021 increased by 6% or $10.5 billion compared to the first quarter of 2021, mostly due to our replenishment and growth strategy that resulted in newly originated and purchased MSRs exceeding high levels of portfolio runoff. Compared to the six months ended June 30, 2020, the average UPB of loans serviced during the six months ended June 30, 2021 decreased by 7% or $14.8 billion mostly due to the heightened portfolio runoff due to the low rate environment and the termination of the PMC servicing agreement by NRZ with the transfer of $34.2 billion UPB of loans completed in October 2020.</w:t>
      </w:r>
    </w:p>
    <w:p>
      <w:pPr>
        <w:spacing w:after="0" w:line="45" w:lineRule="exact"/>
        <w:rPr>
          <w:sz w:val="20"/>
          <w:szCs w:val="20"/>
          <w:color w:val="auto"/>
        </w:rPr>
      </w:pPr>
    </w:p>
    <w:p>
      <w:pPr>
        <w:ind w:left="9" w:right="140" w:firstLine="272"/>
        <w:spacing w:after="0" w:line="285" w:lineRule="auto"/>
        <w:rPr>
          <w:sz w:val="20"/>
          <w:szCs w:val="20"/>
          <w:color w:val="auto"/>
        </w:rPr>
      </w:pPr>
      <w:r>
        <w:rPr>
          <w:rFonts w:ascii="Arial" w:cs="Arial" w:eastAsia="Arial" w:hAnsi="Arial"/>
          <w:sz w:val="14"/>
          <w:szCs w:val="14"/>
          <w:color w:val="auto"/>
        </w:rPr>
        <w:t>NRZ is our largest subservicing client, accounting for 26% and 36%, respectively, of the UPB and loan count in our servicing portfolio as of June 30, 2021. NRZ servicing fees retained by Ocwen represented approximately 17% of the total servicing and subservicing fees earned by Ocwen, net of servicing fees remitted to NRZ and excluding ancillary income, for the second quarter of 2021, and 21% for the first quarter of 2021. NRZ’s portfolio represents approximately 63% of all delinquent loans that Ocwen serviced, for which the cost to service and the associated risks are higher. However, consistent with a subservicing relationship, NRZ is responsible for funding the advances we service for NRZ.</w:t>
      </w:r>
    </w:p>
    <w:p>
      <w:pPr>
        <w:spacing w:after="0" w:line="52" w:lineRule="exact"/>
        <w:rPr>
          <w:sz w:val="20"/>
          <w:szCs w:val="20"/>
          <w:color w:val="auto"/>
        </w:rPr>
      </w:pPr>
    </w:p>
    <w:p>
      <w:pPr>
        <w:ind w:left="9" w:right="40" w:firstLine="272"/>
        <w:spacing w:after="0" w:line="256" w:lineRule="auto"/>
        <w:rPr>
          <w:sz w:val="20"/>
          <w:szCs w:val="20"/>
          <w:color w:val="auto"/>
        </w:rPr>
      </w:pPr>
      <w:r>
        <w:rPr>
          <w:rFonts w:ascii="Arial" w:cs="Arial" w:eastAsia="Arial" w:hAnsi="Arial"/>
          <w:sz w:val="15"/>
          <w:szCs w:val="15"/>
          <w:color w:val="auto"/>
        </w:rPr>
        <w:t>Our MSR portfolio is carried at fair value, with changes in fair value recorded in MSR valuation adjustments, net. The value of our MSRs is typically correlated to changes in interest rates; as interest rates decrease, the value of the servicing portfolio typically decreases as a result of higher anticipated prepayment speeds. The sensitivity of MSR fair value to interest rates is typically higher for higher credit quality loans, such as our Agency loans. Our Non-Agency portfolio is significantly seasoned, with an average loan age of approximately 15 years, exhibiting little response to movements in market interest rates. Valuation is also impacted by loan delinquency rates whereby as delinquency rates rise, the value of the servicing portfolio declines. The MSR portfolio is an investment that decreases in value over time, through portfolio runoff, as we realize its cash flows and yield. MSR portfolio runoff is an expense to our Servicing segment as a fair value loss, and represents the realization of expected cash flows and yield based on projected borrower behavior, including scheduled amortization of the loan UPB together with prepayments.</w:t>
      </w:r>
    </w:p>
    <w:p>
      <w:pPr>
        <w:spacing w:after="0" w:line="74" w:lineRule="exact"/>
        <w:rPr>
          <w:sz w:val="20"/>
          <w:szCs w:val="20"/>
          <w:color w:val="auto"/>
        </w:rPr>
      </w:pPr>
    </w:p>
    <w:p>
      <w:pPr>
        <w:ind w:left="9" w:right="40" w:firstLine="272"/>
        <w:spacing w:after="0" w:line="285" w:lineRule="auto"/>
        <w:rPr>
          <w:sz w:val="20"/>
          <w:szCs w:val="20"/>
          <w:color w:val="auto"/>
        </w:rPr>
      </w:pPr>
      <w:r>
        <w:rPr>
          <w:rFonts w:ascii="Arial" w:cs="Arial" w:eastAsia="Arial" w:hAnsi="Arial"/>
          <w:sz w:val="14"/>
          <w:szCs w:val="14"/>
          <w:color w:val="auto"/>
        </w:rPr>
        <w:t>For those MSR sale transactions with NRZ that do not achieve sale accounting treatment, we present on a gross basis the pledged MSR as an asset at fair value and the corresponding liability amount pledged MSR liability on our balance sheet. The changes in fair value of the pledged MSR are reflected as MSR valuation adjustments, net and the corresponding changes in fair value of the pledged MSR liability are reported within Pledged MSR liability expense, without any net earnings impact. In addition, the total servicing fees collected on behalf of NRZ are reported within Servicing and subservicing fees, and the servicing fees remitted to NRZ are presented within Pledged MSR liability expense.</w:t>
      </w:r>
    </w:p>
    <w:p>
      <w:pPr>
        <w:spacing w:after="0" w:line="5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Loan Resolutions</w:t>
      </w:r>
    </w:p>
    <w:p>
      <w:pPr>
        <w:spacing w:after="0" w:line="100" w:lineRule="exact"/>
        <w:rPr>
          <w:sz w:val="20"/>
          <w:szCs w:val="20"/>
          <w:color w:val="auto"/>
        </w:rPr>
      </w:pPr>
    </w:p>
    <w:p>
      <w:pPr>
        <w:ind w:left="9" w:firstLine="272"/>
        <w:spacing w:after="0" w:line="296" w:lineRule="auto"/>
        <w:rPr>
          <w:sz w:val="20"/>
          <w:szCs w:val="20"/>
          <w:color w:val="auto"/>
        </w:rPr>
      </w:pPr>
      <w:r>
        <w:rPr>
          <w:rFonts w:ascii="Arial" w:cs="Arial" w:eastAsia="Arial" w:hAnsi="Arial"/>
          <w:sz w:val="13"/>
          <w:szCs w:val="13"/>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w:t>
      </w:r>
    </w:p>
    <w:p>
      <w:pPr>
        <w:spacing w:after="0" w:line="1" w:lineRule="exact"/>
        <w:rPr>
          <w:sz w:val="20"/>
          <w:szCs w:val="20"/>
          <w:color w:val="auto"/>
        </w:rPr>
      </w:pPr>
    </w:p>
    <w:p>
      <w:pPr>
        <w:ind w:left="9" w:right="40" w:hanging="9"/>
        <w:spacing w:after="0" w:line="255" w:lineRule="auto"/>
        <w:tabs>
          <w:tab w:leader="none" w:pos="232"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73" w:lineRule="exact"/>
        <w:rPr>
          <w:sz w:val="20"/>
          <w:szCs w:val="20"/>
          <w:color w:val="auto"/>
        </w:rPr>
      </w:pPr>
    </w:p>
    <w:p>
      <w:pPr>
        <w:ind w:left="9" w:right="260" w:firstLine="272"/>
        <w:spacing w:after="0" w:line="278" w:lineRule="auto"/>
        <w:rPr>
          <w:sz w:val="20"/>
          <w:szCs w:val="20"/>
          <w:color w:val="auto"/>
        </w:rPr>
      </w:pPr>
      <w:r>
        <w:rPr>
          <w:rFonts w:ascii="Arial" w:cs="Arial" w:eastAsia="Arial" w:hAnsi="Arial"/>
          <w:sz w:val="15"/>
          <w:szCs w:val="15"/>
          <w:color w:val="auto"/>
        </w:rPr>
        <w:t>Our future financial performance will be less impacted by loan resolutions because, under our NRZ agreements, NRZ receives all deferred servicing fees. Deferred servicing fees related to delinquent borrower payments were $158.1 million at June 30, 2021, of which $124.4 million were attributable to NRZ agreements.</w:t>
      </w:r>
    </w:p>
    <w:p>
      <w:pPr>
        <w:spacing w:after="0" w:line="54"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Advance Obligation</w:t>
      </w:r>
    </w:p>
    <w:p>
      <w:pPr>
        <w:spacing w:after="0" w:line="100" w:lineRule="exact"/>
        <w:rPr>
          <w:sz w:val="20"/>
          <w:szCs w:val="20"/>
          <w:color w:val="auto"/>
        </w:rPr>
      </w:pPr>
    </w:p>
    <w:p>
      <w:pPr>
        <w:ind w:left="9" w:right="140" w:firstLine="272"/>
        <w:spacing w:after="0" w:line="261" w:lineRule="auto"/>
        <w:rPr>
          <w:sz w:val="20"/>
          <w:szCs w:val="20"/>
          <w:color w:val="auto"/>
        </w:rPr>
      </w:pPr>
      <w:r>
        <w:rPr>
          <w:rFonts w:ascii="Arial" w:cs="Arial" w:eastAsia="Arial" w:hAnsi="Arial"/>
          <w:sz w:val="15"/>
          <w:szCs w:val="15"/>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w:t>
      </w:r>
    </w:p>
    <w:p>
      <w:pPr>
        <w:spacing w:after="0" w:line="200" w:lineRule="exact"/>
        <w:rPr>
          <w:sz w:val="20"/>
          <w:szCs w:val="20"/>
          <w:color w:val="auto"/>
        </w:rPr>
      </w:pPr>
    </w:p>
    <w:p>
      <w:pPr>
        <w:spacing w:after="0" w:line="24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70" w:name="page71"/>
    <w:bookmarkEnd w:id="70"/>
    <w:p>
      <w:pPr>
        <w:ind w:right="220"/>
        <w:spacing w:after="0" w:line="278" w:lineRule="auto"/>
        <w:rPr>
          <w:sz w:val="20"/>
          <w:szCs w:val="20"/>
          <w:color w:val="auto"/>
        </w:rPr>
      </w:pPr>
      <w:r>
        <w:rPr>
          <w:rFonts w:ascii="Arial" w:cs="Arial" w:eastAsia="Arial" w:hAnsi="Arial"/>
          <w:sz w:val="15"/>
          <w:szCs w:val="15"/>
          <w:color w:val="auto"/>
        </w:rPr>
        <w:t>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54" w:lineRule="exact"/>
        <w:rPr>
          <w:sz w:val="20"/>
          <w:szCs w:val="20"/>
          <w:color w:val="auto"/>
        </w:rPr>
      </w:pPr>
    </w:p>
    <w:p>
      <w:pPr>
        <w:ind w:right="40" w:firstLine="272"/>
        <w:spacing w:after="0" w:line="285" w:lineRule="auto"/>
        <w:rPr>
          <w:sz w:val="20"/>
          <w:szCs w:val="20"/>
          <w:color w:val="auto"/>
        </w:rPr>
      </w:pPr>
      <w:r>
        <w:rPr>
          <w:rFonts w:ascii="Arial" w:cs="Arial" w:eastAsia="Arial" w:hAnsi="Arial"/>
          <w:sz w:val="14"/>
          <w:szCs w:val="14"/>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NRZ, provide for prompt reimbursement of any advances from the owner of the servicing rights.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Third-Party Servicer Ratings</w:t>
      </w:r>
    </w:p>
    <w:p>
      <w:pPr>
        <w:spacing w:after="0" w:line="100" w:lineRule="exact"/>
        <w:rPr>
          <w:sz w:val="20"/>
          <w:szCs w:val="20"/>
          <w:color w:val="auto"/>
        </w:rPr>
      </w:pPr>
    </w:p>
    <w:p>
      <w:pPr>
        <w:ind w:right="220" w:firstLine="272"/>
        <w:spacing w:after="0" w:line="278" w:lineRule="auto"/>
        <w:rPr>
          <w:sz w:val="20"/>
          <w:szCs w:val="20"/>
          <w:color w:val="auto"/>
        </w:rPr>
      </w:pPr>
      <w:r>
        <w:rPr>
          <w:rFonts w:ascii="Arial" w:cs="Arial" w:eastAsia="Arial" w:hAnsi="Arial"/>
          <w:sz w:val="15"/>
          <w:szCs w:val="15"/>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summarizes our key servicer ratings: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3560" w:type="dxa"/>
            <w:vAlign w:val="bottom"/>
            <w:tcBorders>
              <w:bottom w:val="single" w:sz="8" w:color="auto"/>
            </w:tcBorders>
            <w:gridSpan w:val="5"/>
          </w:tcPr>
          <w:p>
            <w:pPr>
              <w:jc w:val="center"/>
              <w:ind w:left="1144"/>
              <w:spacing w:after="0"/>
              <w:rPr>
                <w:sz w:val="20"/>
                <w:szCs w:val="20"/>
                <w:color w:val="auto"/>
              </w:rPr>
            </w:pPr>
            <w:r>
              <w:rPr>
                <w:rFonts w:ascii="Arial" w:cs="Arial" w:eastAsia="Arial" w:hAnsi="Arial"/>
                <w:sz w:val="15"/>
                <w:szCs w:val="15"/>
                <w:b w:val="1"/>
                <w:bCs w:val="1"/>
                <w:color w:val="auto"/>
                <w:w w:val="97"/>
              </w:rPr>
              <w:t>PHH Mortgage Corporation (PMC)</w:t>
            </w:r>
          </w:p>
        </w:tc>
        <w:tc>
          <w:tcPr>
            <w:tcW w:w="1240" w:type="dxa"/>
            <w:vAlign w:val="bottom"/>
            <w:tcBorders>
              <w:bottom w:val="single" w:sz="8" w:color="auto"/>
            </w:tcBorders>
          </w:tcPr>
          <w:p>
            <w:pPr>
              <w:spacing w:after="0"/>
              <w:rPr>
                <w:sz w:val="16"/>
                <w:szCs w:val="16"/>
                <w:color w:val="auto"/>
              </w:rPr>
            </w:pPr>
          </w:p>
        </w:tc>
      </w:tr>
      <w:tr>
        <w:trPr>
          <w:trHeight w:val="185"/>
        </w:trPr>
        <w:tc>
          <w:tcPr>
            <w:tcW w:w="64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Moody’s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S&amp;P</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4"/>
              <w:spacing w:after="0"/>
              <w:rPr>
                <w:sz w:val="20"/>
                <w:szCs w:val="20"/>
                <w:color w:val="auto"/>
              </w:rPr>
            </w:pPr>
            <w:r>
              <w:rPr>
                <w:rFonts w:ascii="Arial" w:cs="Arial" w:eastAsia="Arial" w:hAnsi="Arial"/>
                <w:sz w:val="15"/>
                <w:szCs w:val="15"/>
                <w:b w:val="1"/>
                <w:bCs w:val="1"/>
                <w:color w:val="auto"/>
                <w:w w:val="94"/>
              </w:rPr>
              <w:t>Fitch</w:t>
            </w:r>
          </w:p>
        </w:tc>
      </w:tr>
      <w:tr>
        <w:trPr>
          <w:trHeight w:val="184"/>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Prime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SQ3</w:t>
            </w:r>
          </w:p>
        </w:tc>
        <w:tc>
          <w:tcPr>
            <w:tcW w:w="1940" w:type="dxa"/>
            <w:vAlign w:val="bottom"/>
            <w:gridSpan w:val="3"/>
            <w:shd w:val="clear" w:color="auto" w:fill="CCEEFF"/>
          </w:tcPr>
          <w:p>
            <w:pPr>
              <w:jc w:val="center"/>
              <w:ind w:right="400"/>
              <w:spacing w:after="0"/>
              <w:rPr>
                <w:sz w:val="20"/>
                <w:szCs w:val="20"/>
                <w:color w:val="auto"/>
              </w:rPr>
            </w:pPr>
            <w:r>
              <w:rPr>
                <w:rFonts w:ascii="Arial" w:cs="Arial" w:eastAsia="Arial" w:hAnsi="Arial"/>
                <w:sz w:val="15"/>
                <w:szCs w:val="15"/>
                <w:color w:val="auto"/>
                <w:w w:val="89"/>
              </w:rPr>
              <w:t>Average</w:t>
            </w:r>
          </w:p>
        </w:tc>
        <w:tc>
          <w:tcPr>
            <w:tcW w:w="1240" w:type="dxa"/>
            <w:vAlign w:val="bottom"/>
            <w:shd w:val="clear" w:color="auto" w:fill="CCEEFF"/>
          </w:tcPr>
          <w:p>
            <w:pPr>
              <w:jc w:val="center"/>
              <w:ind w:right="224"/>
              <w:spacing w:after="0"/>
              <w:rPr>
                <w:sz w:val="20"/>
                <w:szCs w:val="20"/>
                <w:color w:val="auto"/>
              </w:rPr>
            </w:pPr>
            <w:r>
              <w:rPr>
                <w:rFonts w:ascii="Arial" w:cs="Arial" w:eastAsia="Arial" w:hAnsi="Arial"/>
                <w:sz w:val="15"/>
                <w:szCs w:val="15"/>
                <w:color w:val="auto"/>
                <w:w w:val="86"/>
              </w:rPr>
              <w:t>RPS3</w:t>
            </w:r>
          </w:p>
        </w:tc>
      </w:tr>
      <w:tr>
        <w:trPr>
          <w:trHeight w:val="192"/>
        </w:trPr>
        <w:tc>
          <w:tcPr>
            <w:tcW w:w="6420" w:type="dxa"/>
            <w:vAlign w:val="bottom"/>
          </w:tcPr>
          <w:p>
            <w:pPr>
              <w:ind w:left="20"/>
              <w:spacing w:after="0"/>
              <w:rPr>
                <w:sz w:val="20"/>
                <w:szCs w:val="20"/>
                <w:color w:val="auto"/>
              </w:rPr>
            </w:pPr>
            <w:r>
              <w:rPr>
                <w:rFonts w:ascii="Arial" w:cs="Arial" w:eastAsia="Arial" w:hAnsi="Arial"/>
                <w:sz w:val="15"/>
                <w:szCs w:val="15"/>
                <w:color w:val="auto"/>
              </w:rPr>
              <w:t>Residential Subprime Servicer</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SQ3</w:t>
            </w:r>
          </w:p>
        </w:tc>
        <w:tc>
          <w:tcPr>
            <w:tcW w:w="1940" w:type="dxa"/>
            <w:vAlign w:val="bottom"/>
            <w:gridSpan w:val="3"/>
          </w:tcPr>
          <w:p>
            <w:pPr>
              <w:jc w:val="center"/>
              <w:ind w:right="400"/>
              <w:spacing w:after="0"/>
              <w:rPr>
                <w:sz w:val="20"/>
                <w:szCs w:val="20"/>
                <w:color w:val="auto"/>
              </w:rPr>
            </w:pPr>
            <w:r>
              <w:rPr>
                <w:rFonts w:ascii="Arial" w:cs="Arial" w:eastAsia="Arial" w:hAnsi="Arial"/>
                <w:sz w:val="15"/>
                <w:szCs w:val="15"/>
                <w:color w:val="auto"/>
                <w:w w:val="89"/>
              </w:rPr>
              <w:t>Average</w:t>
            </w:r>
          </w:p>
        </w:tc>
        <w:tc>
          <w:tcPr>
            <w:tcW w:w="1240" w:type="dxa"/>
            <w:vAlign w:val="bottom"/>
          </w:tcPr>
          <w:p>
            <w:pPr>
              <w:jc w:val="center"/>
              <w:ind w:right="224"/>
              <w:spacing w:after="0"/>
              <w:rPr>
                <w:sz w:val="20"/>
                <w:szCs w:val="20"/>
                <w:color w:val="auto"/>
              </w:rPr>
            </w:pPr>
            <w:r>
              <w:rPr>
                <w:rFonts w:ascii="Arial" w:cs="Arial" w:eastAsia="Arial" w:hAnsi="Arial"/>
                <w:sz w:val="15"/>
                <w:szCs w:val="15"/>
                <w:color w:val="auto"/>
                <w:w w:val="86"/>
              </w:rPr>
              <w:t>RPS3</w:t>
            </w:r>
          </w:p>
        </w:tc>
      </w:tr>
      <w:tr>
        <w:trPr>
          <w:trHeight w:val="194"/>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Special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SQ3</w:t>
            </w:r>
          </w:p>
        </w:tc>
        <w:tc>
          <w:tcPr>
            <w:tcW w:w="1940" w:type="dxa"/>
            <w:vAlign w:val="bottom"/>
            <w:gridSpan w:val="3"/>
            <w:shd w:val="clear" w:color="auto" w:fill="CCEEFF"/>
          </w:tcPr>
          <w:p>
            <w:pPr>
              <w:jc w:val="center"/>
              <w:ind w:right="400"/>
              <w:spacing w:after="0"/>
              <w:rPr>
                <w:sz w:val="20"/>
                <w:szCs w:val="20"/>
                <w:color w:val="auto"/>
              </w:rPr>
            </w:pPr>
            <w:r>
              <w:rPr>
                <w:rFonts w:ascii="Arial" w:cs="Arial" w:eastAsia="Arial" w:hAnsi="Arial"/>
                <w:sz w:val="15"/>
                <w:szCs w:val="15"/>
                <w:color w:val="auto"/>
                <w:w w:val="89"/>
              </w:rPr>
              <w:t>Average</w:t>
            </w:r>
          </w:p>
        </w:tc>
        <w:tc>
          <w:tcPr>
            <w:tcW w:w="1240" w:type="dxa"/>
            <w:vAlign w:val="bottom"/>
            <w:shd w:val="clear" w:color="auto" w:fill="CCEEFF"/>
          </w:tcPr>
          <w:p>
            <w:pPr>
              <w:jc w:val="center"/>
              <w:ind w:right="224"/>
              <w:spacing w:after="0"/>
              <w:rPr>
                <w:sz w:val="20"/>
                <w:szCs w:val="20"/>
                <w:color w:val="auto"/>
              </w:rPr>
            </w:pPr>
            <w:r>
              <w:rPr>
                <w:rFonts w:ascii="Arial" w:cs="Arial" w:eastAsia="Arial" w:hAnsi="Arial"/>
                <w:sz w:val="15"/>
                <w:szCs w:val="15"/>
                <w:color w:val="auto"/>
                <w:w w:val="86"/>
              </w:rPr>
              <w:t>RSS3</w:t>
            </w:r>
          </w:p>
        </w:tc>
      </w:tr>
      <w:tr>
        <w:trPr>
          <w:trHeight w:val="192"/>
        </w:trPr>
        <w:tc>
          <w:tcPr>
            <w:tcW w:w="6420" w:type="dxa"/>
            <w:vAlign w:val="bottom"/>
          </w:tcPr>
          <w:p>
            <w:pPr>
              <w:ind w:left="20"/>
              <w:spacing w:after="0"/>
              <w:rPr>
                <w:sz w:val="20"/>
                <w:szCs w:val="20"/>
                <w:color w:val="auto"/>
              </w:rPr>
            </w:pPr>
            <w:r>
              <w:rPr>
                <w:rFonts w:ascii="Arial" w:cs="Arial" w:eastAsia="Arial" w:hAnsi="Arial"/>
                <w:sz w:val="15"/>
                <w:szCs w:val="15"/>
                <w:color w:val="auto"/>
              </w:rPr>
              <w:t>Residential Second/Subordinate Lien Servicer</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SQ3</w:t>
            </w:r>
          </w:p>
        </w:tc>
        <w:tc>
          <w:tcPr>
            <w:tcW w:w="1940" w:type="dxa"/>
            <w:vAlign w:val="bottom"/>
            <w:gridSpan w:val="3"/>
          </w:tcPr>
          <w:p>
            <w:pPr>
              <w:jc w:val="center"/>
              <w:ind w:right="400"/>
              <w:spacing w:after="0"/>
              <w:rPr>
                <w:sz w:val="20"/>
                <w:szCs w:val="20"/>
                <w:color w:val="auto"/>
              </w:rPr>
            </w:pPr>
            <w:r>
              <w:rPr>
                <w:rFonts w:ascii="Arial" w:cs="Arial" w:eastAsia="Arial" w:hAnsi="Arial"/>
                <w:sz w:val="15"/>
                <w:szCs w:val="15"/>
                <w:color w:val="auto"/>
                <w:w w:val="89"/>
              </w:rPr>
              <w:t>Average</w:t>
            </w:r>
          </w:p>
        </w:tc>
        <w:tc>
          <w:tcPr>
            <w:tcW w:w="1240" w:type="dxa"/>
            <w:vAlign w:val="bottom"/>
          </w:tcPr>
          <w:p>
            <w:pPr>
              <w:jc w:val="center"/>
              <w:ind w:right="224"/>
              <w:spacing w:after="0"/>
              <w:rPr>
                <w:sz w:val="20"/>
                <w:szCs w:val="20"/>
                <w:color w:val="auto"/>
              </w:rPr>
            </w:pPr>
            <w:r>
              <w:rPr>
                <w:rFonts w:ascii="Arial" w:cs="Arial" w:eastAsia="Arial" w:hAnsi="Arial"/>
                <w:sz w:val="15"/>
                <w:szCs w:val="15"/>
                <w:color w:val="auto"/>
                <w:w w:val="86"/>
              </w:rPr>
              <w:t>RPS3</w:t>
            </w:r>
          </w:p>
        </w:tc>
      </w:tr>
      <w:tr>
        <w:trPr>
          <w:trHeight w:val="194"/>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Residential Home Equity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w:t>
            </w:r>
          </w:p>
        </w:tc>
        <w:tc>
          <w:tcPr>
            <w:tcW w:w="1940" w:type="dxa"/>
            <w:vAlign w:val="bottom"/>
            <w:gridSpan w:val="3"/>
            <w:shd w:val="clear" w:color="auto" w:fill="CCEEFF"/>
          </w:tcPr>
          <w:p>
            <w:pPr>
              <w:jc w:val="center"/>
              <w:ind w:right="400"/>
              <w:spacing w:after="0"/>
              <w:rPr>
                <w:sz w:val="20"/>
                <w:szCs w:val="20"/>
                <w:color w:val="auto"/>
              </w:rPr>
            </w:pPr>
            <w:r>
              <w:rPr>
                <w:rFonts w:ascii="Arial" w:cs="Arial" w:eastAsia="Arial" w:hAnsi="Arial"/>
                <w:sz w:val="15"/>
                <w:szCs w:val="15"/>
                <w:color w:val="auto"/>
                <w:w w:val="93"/>
              </w:rPr>
              <w:t>—</w:t>
            </w:r>
          </w:p>
        </w:tc>
        <w:tc>
          <w:tcPr>
            <w:tcW w:w="1240" w:type="dxa"/>
            <w:vAlign w:val="bottom"/>
            <w:shd w:val="clear" w:color="auto" w:fill="CCEEFF"/>
          </w:tcPr>
          <w:p>
            <w:pPr>
              <w:jc w:val="center"/>
              <w:ind w:right="224"/>
              <w:spacing w:after="0"/>
              <w:rPr>
                <w:sz w:val="20"/>
                <w:szCs w:val="20"/>
                <w:color w:val="auto"/>
              </w:rPr>
            </w:pPr>
            <w:r>
              <w:rPr>
                <w:rFonts w:ascii="Arial" w:cs="Arial" w:eastAsia="Arial" w:hAnsi="Arial"/>
                <w:sz w:val="15"/>
                <w:szCs w:val="15"/>
                <w:color w:val="auto"/>
                <w:w w:val="86"/>
              </w:rPr>
              <w:t>RPS3</w:t>
            </w:r>
          </w:p>
        </w:tc>
      </w:tr>
      <w:tr>
        <w:trPr>
          <w:trHeight w:val="192"/>
        </w:trPr>
        <w:tc>
          <w:tcPr>
            <w:tcW w:w="6420" w:type="dxa"/>
            <w:vAlign w:val="bottom"/>
          </w:tcPr>
          <w:p>
            <w:pPr>
              <w:ind w:left="20"/>
              <w:spacing w:after="0"/>
              <w:rPr>
                <w:sz w:val="20"/>
                <w:szCs w:val="20"/>
                <w:color w:val="auto"/>
              </w:rPr>
            </w:pPr>
            <w:r>
              <w:rPr>
                <w:rFonts w:ascii="Arial" w:cs="Arial" w:eastAsia="Arial" w:hAnsi="Arial"/>
                <w:sz w:val="15"/>
                <w:szCs w:val="15"/>
                <w:color w:val="auto"/>
              </w:rPr>
              <w:t>Residential Alt-A Servicer</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940" w:type="dxa"/>
            <w:vAlign w:val="bottom"/>
            <w:gridSpan w:val="3"/>
          </w:tcPr>
          <w:p>
            <w:pPr>
              <w:jc w:val="center"/>
              <w:ind w:right="400"/>
              <w:spacing w:after="0"/>
              <w:rPr>
                <w:sz w:val="20"/>
                <w:szCs w:val="20"/>
                <w:color w:val="auto"/>
              </w:rPr>
            </w:pPr>
            <w:r>
              <w:rPr>
                <w:rFonts w:ascii="Arial" w:cs="Arial" w:eastAsia="Arial" w:hAnsi="Arial"/>
                <w:sz w:val="15"/>
                <w:szCs w:val="15"/>
                <w:color w:val="auto"/>
                <w:w w:val="93"/>
              </w:rPr>
              <w:t>—</w:t>
            </w:r>
          </w:p>
        </w:tc>
        <w:tc>
          <w:tcPr>
            <w:tcW w:w="1240" w:type="dxa"/>
            <w:vAlign w:val="bottom"/>
          </w:tcPr>
          <w:p>
            <w:pPr>
              <w:jc w:val="center"/>
              <w:ind w:right="224"/>
              <w:spacing w:after="0"/>
              <w:rPr>
                <w:sz w:val="20"/>
                <w:szCs w:val="20"/>
                <w:color w:val="auto"/>
              </w:rPr>
            </w:pPr>
            <w:r>
              <w:rPr>
                <w:rFonts w:ascii="Arial" w:cs="Arial" w:eastAsia="Arial" w:hAnsi="Arial"/>
                <w:sz w:val="15"/>
                <w:szCs w:val="15"/>
                <w:color w:val="auto"/>
                <w:w w:val="86"/>
              </w:rPr>
              <w:t>RPS3</w:t>
            </w:r>
          </w:p>
        </w:tc>
      </w:tr>
      <w:tr>
        <w:trPr>
          <w:trHeight w:val="194"/>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Master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SQ3</w:t>
            </w:r>
          </w:p>
        </w:tc>
        <w:tc>
          <w:tcPr>
            <w:tcW w:w="1940" w:type="dxa"/>
            <w:vAlign w:val="bottom"/>
            <w:gridSpan w:val="3"/>
            <w:shd w:val="clear" w:color="auto" w:fill="CCEEFF"/>
          </w:tcPr>
          <w:p>
            <w:pPr>
              <w:jc w:val="center"/>
              <w:ind w:right="400"/>
              <w:spacing w:after="0"/>
              <w:rPr>
                <w:sz w:val="20"/>
                <w:szCs w:val="20"/>
                <w:color w:val="auto"/>
              </w:rPr>
            </w:pPr>
            <w:r>
              <w:rPr>
                <w:rFonts w:ascii="Arial" w:cs="Arial" w:eastAsia="Arial" w:hAnsi="Arial"/>
                <w:sz w:val="15"/>
                <w:szCs w:val="15"/>
                <w:color w:val="auto"/>
                <w:w w:val="91"/>
              </w:rPr>
              <w:t>Above Average</w:t>
            </w:r>
          </w:p>
        </w:tc>
        <w:tc>
          <w:tcPr>
            <w:tcW w:w="1240" w:type="dxa"/>
            <w:vAlign w:val="bottom"/>
            <w:shd w:val="clear" w:color="auto" w:fill="CCEEFF"/>
          </w:tcPr>
          <w:p>
            <w:pPr>
              <w:jc w:val="center"/>
              <w:ind w:right="244"/>
              <w:spacing w:after="0"/>
              <w:rPr>
                <w:sz w:val="20"/>
                <w:szCs w:val="20"/>
                <w:color w:val="auto"/>
              </w:rPr>
            </w:pPr>
            <w:r>
              <w:rPr>
                <w:rFonts w:ascii="Arial" w:cs="Arial" w:eastAsia="Arial" w:hAnsi="Arial"/>
                <w:sz w:val="15"/>
                <w:szCs w:val="15"/>
                <w:color w:val="auto"/>
                <w:w w:val="95"/>
              </w:rPr>
              <w:t>RMS3</w:t>
            </w:r>
          </w:p>
        </w:tc>
      </w:tr>
      <w:tr>
        <w:trPr>
          <w:trHeight w:val="192"/>
        </w:trPr>
        <w:tc>
          <w:tcPr>
            <w:tcW w:w="6420" w:type="dxa"/>
            <w:vAlign w:val="bottom"/>
          </w:tcPr>
          <w:p>
            <w:pPr>
              <w:ind w:left="20"/>
              <w:spacing w:after="0"/>
              <w:rPr>
                <w:sz w:val="20"/>
                <w:szCs w:val="20"/>
                <w:color w:val="auto"/>
              </w:rPr>
            </w:pPr>
            <w:r>
              <w:rPr>
                <w:rFonts w:ascii="Arial" w:cs="Arial" w:eastAsia="Arial" w:hAnsi="Arial"/>
                <w:sz w:val="15"/>
                <w:szCs w:val="15"/>
                <w:color w:val="auto"/>
              </w:rPr>
              <w:t>Ratings Outlook</w:t>
            </w:r>
          </w:p>
        </w:tc>
        <w:tc>
          <w:tcPr>
            <w:tcW w:w="1620" w:type="dxa"/>
            <w:vAlign w:val="bottom"/>
            <w:gridSpan w:val="2"/>
          </w:tcPr>
          <w:p>
            <w:pPr>
              <w:jc w:val="center"/>
              <w:ind w:right="120"/>
              <w:spacing w:after="0"/>
              <w:rPr>
                <w:sz w:val="20"/>
                <w:szCs w:val="20"/>
                <w:color w:val="auto"/>
              </w:rPr>
            </w:pPr>
            <w:r>
              <w:rPr>
                <w:rFonts w:ascii="Arial" w:cs="Arial" w:eastAsia="Arial" w:hAnsi="Arial"/>
                <w:sz w:val="15"/>
                <w:szCs w:val="15"/>
                <w:color w:val="auto"/>
              </w:rPr>
              <w:t>N/A</w:t>
            </w:r>
          </w:p>
        </w:tc>
        <w:tc>
          <w:tcPr>
            <w:tcW w:w="1940" w:type="dxa"/>
            <w:vAlign w:val="bottom"/>
            <w:gridSpan w:val="3"/>
          </w:tcPr>
          <w:p>
            <w:pPr>
              <w:jc w:val="center"/>
              <w:ind w:right="400"/>
              <w:spacing w:after="0"/>
              <w:rPr>
                <w:sz w:val="20"/>
                <w:szCs w:val="20"/>
                <w:color w:val="auto"/>
              </w:rPr>
            </w:pPr>
            <w:r>
              <w:rPr>
                <w:rFonts w:ascii="Arial" w:cs="Arial" w:eastAsia="Arial" w:hAnsi="Arial"/>
                <w:sz w:val="15"/>
                <w:szCs w:val="15"/>
                <w:color w:val="auto"/>
                <w:w w:val="89"/>
              </w:rPr>
              <w:t>Stable</w:t>
            </w:r>
          </w:p>
        </w:tc>
        <w:tc>
          <w:tcPr>
            <w:tcW w:w="1240" w:type="dxa"/>
            <w:vAlign w:val="bottom"/>
          </w:tcPr>
          <w:p>
            <w:pPr>
              <w:jc w:val="center"/>
              <w:ind w:right="224"/>
              <w:spacing w:after="0"/>
              <w:rPr>
                <w:sz w:val="20"/>
                <w:szCs w:val="20"/>
                <w:color w:val="auto"/>
              </w:rPr>
            </w:pPr>
            <w:r>
              <w:rPr>
                <w:rFonts w:ascii="Arial" w:cs="Arial" w:eastAsia="Arial" w:hAnsi="Arial"/>
                <w:sz w:val="15"/>
                <w:szCs w:val="15"/>
                <w:color w:val="auto"/>
                <w:w w:val="89"/>
              </w:rPr>
              <w:t>Stable</w:t>
            </w:r>
          </w:p>
        </w:tc>
      </w:tr>
      <w:tr>
        <w:trPr>
          <w:trHeight w:val="137"/>
        </w:trPr>
        <w:tc>
          <w:tcPr>
            <w:tcW w:w="64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91"/>
        </w:trPr>
        <w:tc>
          <w:tcPr>
            <w:tcW w:w="6420" w:type="dxa"/>
            <w:vAlign w:val="bottom"/>
          </w:tcPr>
          <w:p>
            <w:pPr>
              <w:ind w:left="20"/>
              <w:spacing w:after="0"/>
              <w:rPr>
                <w:sz w:val="20"/>
                <w:szCs w:val="20"/>
                <w:color w:val="auto"/>
              </w:rPr>
            </w:pPr>
            <w:r>
              <w:rPr>
                <w:rFonts w:ascii="Arial" w:cs="Arial" w:eastAsia="Arial" w:hAnsi="Arial"/>
                <w:sz w:val="15"/>
                <w:szCs w:val="15"/>
                <w:color w:val="auto"/>
              </w:rPr>
              <w:t>Date of last action</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August 29, 2019</w:t>
            </w:r>
          </w:p>
        </w:tc>
        <w:tc>
          <w:tcPr>
            <w:tcW w:w="1940" w:type="dxa"/>
            <w:vAlign w:val="bottom"/>
            <w:gridSpan w:val="3"/>
          </w:tcPr>
          <w:p>
            <w:pPr>
              <w:jc w:val="center"/>
              <w:ind w:right="400"/>
              <w:spacing w:after="0"/>
              <w:rPr>
                <w:sz w:val="20"/>
                <w:szCs w:val="20"/>
                <w:color w:val="auto"/>
              </w:rPr>
            </w:pPr>
            <w:r>
              <w:rPr>
                <w:rFonts w:ascii="Arial" w:cs="Arial" w:eastAsia="Arial" w:hAnsi="Arial"/>
                <w:sz w:val="15"/>
                <w:szCs w:val="15"/>
                <w:color w:val="auto"/>
                <w:w w:val="90"/>
              </w:rPr>
              <w:t>June 29, 2021</w:t>
            </w:r>
          </w:p>
        </w:tc>
        <w:tc>
          <w:tcPr>
            <w:tcW w:w="1240" w:type="dxa"/>
            <w:vAlign w:val="bottom"/>
          </w:tcPr>
          <w:p>
            <w:pPr>
              <w:jc w:val="center"/>
              <w:ind w:right="244"/>
              <w:spacing w:after="0"/>
              <w:rPr>
                <w:sz w:val="20"/>
                <w:szCs w:val="20"/>
                <w:color w:val="auto"/>
              </w:rPr>
            </w:pPr>
            <w:r>
              <w:rPr>
                <w:rFonts w:ascii="Arial" w:cs="Arial" w:eastAsia="Arial" w:hAnsi="Arial"/>
                <w:sz w:val="15"/>
                <w:szCs w:val="15"/>
                <w:color w:val="auto"/>
                <w:w w:val="95"/>
              </w:rPr>
              <w:t>April 28, 2021</w:t>
            </w:r>
          </w:p>
        </w:tc>
      </w:tr>
    </w:tbl>
    <w:p>
      <w:pPr>
        <w:spacing w:after="0" w:line="150" w:lineRule="exact"/>
        <w:rPr>
          <w:sz w:val="20"/>
          <w:szCs w:val="20"/>
          <w:color w:val="auto"/>
        </w:rPr>
      </w:pPr>
    </w:p>
    <w:p>
      <w:pPr>
        <w:ind w:right="100" w:firstLine="272"/>
        <w:spacing w:after="0" w:line="299" w:lineRule="auto"/>
        <w:rPr>
          <w:sz w:val="20"/>
          <w:szCs w:val="20"/>
          <w:color w:val="auto"/>
        </w:rPr>
      </w:pPr>
      <w:r>
        <w:rPr>
          <w:rFonts w:ascii="Arial" w:cs="Arial" w:eastAsia="Arial" w:hAnsi="Arial"/>
          <w:sz w:val="13"/>
          <w:szCs w:val="13"/>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 other factors mentioned by S&amp;P. On March 24, 2020, Fitch placed all U.S RMBS servicer ratings on Negative outlook resulting from a rapidly 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OFC.</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1" w:name="page72"/>
    <w:bookmarkEnd w:id="71"/>
    <w:p>
      <w:pPr>
        <w:ind w:left="9" w:right="220" w:firstLine="272"/>
        <w:spacing w:after="0" w:line="278" w:lineRule="auto"/>
        <w:rPr>
          <w:sz w:val="20"/>
          <w:szCs w:val="20"/>
          <w:color w:val="auto"/>
        </w:rPr>
      </w:pPr>
      <w:r>
        <w:rPr>
          <w:rFonts w:ascii="Arial" w:cs="Arial" w:eastAsia="Arial" w:hAnsi="Arial"/>
          <w:sz w:val="15"/>
          <w:szCs w:val="15"/>
          <w:color w:val="auto"/>
        </w:rPr>
        <w:t>The following table presents selected results of operations of our Servicing segment. The amounts presented are before the elimination of balances and transactions with our other segments:</w:t>
      </w:r>
    </w:p>
    <w:p>
      <w:pPr>
        <w:spacing w:after="0" w:line="107"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20" w:type="dxa"/>
            <w:vAlign w:val="bottom"/>
          </w:tcPr>
          <w:p>
            <w:pPr>
              <w:spacing w:after="0"/>
              <w:rPr>
                <w:sz w:val="16"/>
                <w:szCs w:val="16"/>
                <w:color w:val="auto"/>
              </w:rPr>
            </w:pPr>
          </w:p>
        </w:tc>
        <w:tc>
          <w:tcPr>
            <w:tcW w:w="116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60" w:type="dxa"/>
            <w:vAlign w:val="bottom"/>
          </w:tcPr>
          <w:p>
            <w:pPr>
              <w:spacing w:after="0"/>
              <w:rPr>
                <w:sz w:val="16"/>
                <w:szCs w:val="16"/>
                <w:color w:val="auto"/>
              </w:rPr>
            </w:pPr>
          </w:p>
        </w:tc>
        <w:tc>
          <w:tcPr>
            <w:tcW w:w="1120" w:type="dxa"/>
            <w:vAlign w:val="bottom"/>
          </w:tcPr>
          <w:p>
            <w:pPr>
              <w:jc w:val="right"/>
              <w:ind w:right="344"/>
              <w:spacing w:after="0"/>
              <w:rPr>
                <w:sz w:val="20"/>
                <w:szCs w:val="20"/>
                <w:color w:val="auto"/>
              </w:rPr>
            </w:pPr>
            <w:r>
              <w:rPr>
                <w:rFonts w:ascii="Arial" w:cs="Arial" w:eastAsia="Arial" w:hAnsi="Arial"/>
                <w:sz w:val="15"/>
                <w:szCs w:val="15"/>
                <w:b w:val="1"/>
                <w:bCs w:val="1"/>
                <w:color w:val="auto"/>
              </w:rPr>
              <w:t>June 30,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260" w:type="dxa"/>
            <w:vAlign w:val="bottom"/>
          </w:tcPr>
          <w:p>
            <w:pPr>
              <w:spacing w:after="0"/>
              <w:rPr>
                <w:sz w:val="18"/>
                <w:szCs w:val="18"/>
                <w:color w:val="auto"/>
              </w:rPr>
            </w:pPr>
          </w:p>
        </w:tc>
        <w:tc>
          <w:tcPr>
            <w:tcW w:w="1140" w:type="dxa"/>
            <w:vAlign w:val="bottom"/>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8"/>
                <w:szCs w:val="18"/>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 Change</w:t>
            </w:r>
          </w:p>
        </w:tc>
      </w:tr>
      <w:tr>
        <w:trPr>
          <w:trHeight w:val="174"/>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Servicing and subservicing fees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Residential</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168.7</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349.9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385.2</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(9)</w:t>
            </w:r>
          </w:p>
        </w:tc>
      </w:tr>
      <w:tr>
        <w:trPr>
          <w:trHeight w:val="192"/>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Commercial</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0.7</w:t>
            </w:r>
          </w:p>
        </w:tc>
        <w:tc>
          <w:tcPr>
            <w:tcW w:w="110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11</w:t>
            </w:r>
          </w:p>
        </w:tc>
      </w:tr>
      <w:tr>
        <w:trPr>
          <w:trHeight w:val="185"/>
        </w:trPr>
        <w:tc>
          <w:tcPr>
            <w:tcW w:w="3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169.4</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351.5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386.7</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(9)</w:t>
            </w: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Gain on loans held for sale, net</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3.5</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4.0</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91</w:t>
            </w: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Reverse mortgage revenue, net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415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14.0</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(10)</w:t>
            </w:r>
          </w:p>
        </w:tc>
      </w:tr>
      <w:tr>
        <w:trPr>
          <w:trHeight w:val="192"/>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revenue, net</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0.5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0.5</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(49)</w:t>
            </w:r>
          </w:p>
        </w:tc>
      </w:tr>
      <w:tr>
        <w:trPr>
          <w:trHeight w:val="18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197.3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175.4</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372.7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406.6</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(8)</w:t>
            </w:r>
          </w:p>
        </w:tc>
      </w:tr>
      <w:tr>
        <w:trPr>
          <w:trHeight w:val="174"/>
        </w:trPr>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3"/>
        </w:trPr>
        <w:tc>
          <w:tcPr>
            <w:tcW w:w="3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MSR valuation adjustments, net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(22.7)</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(211.5)</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(56)</w:t>
            </w:r>
          </w:p>
        </w:tc>
      </w:tr>
      <w:tr>
        <w:trPr>
          <w:trHeight w:val="136"/>
        </w:trPr>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93"/>
        </w:trPr>
        <w:tc>
          <w:tcPr>
            <w:tcW w:w="3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Compensation and benefits</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26.1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25.1</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51.2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56.3</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(9)</w:t>
            </w: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and origination</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24.5</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34.0</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40</w:t>
            </w: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Occupancy and equipment</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6.5</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17.5</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(31)</w:t>
            </w: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Professional services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7.1</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14.1</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24</w:t>
            </w: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Technology and communications</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5.7</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14.0</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(20)</w:t>
            </w: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 overhead allocations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12.2</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33.9</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(27)</w:t>
            </w:r>
          </w:p>
        </w:tc>
      </w:tr>
      <w:tr>
        <w:trPr>
          <w:trHeight w:val="192"/>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expenses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1.6</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93</w:t>
            </w:r>
          </w:p>
        </w:tc>
      </w:tr>
      <w:tr>
        <w:trPr>
          <w:trHeight w:val="18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83.6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82.8</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166.4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170.9</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(3)</w:t>
            </w:r>
          </w:p>
        </w:tc>
      </w:tr>
      <w:tr>
        <w:trPr>
          <w:trHeight w:val="117"/>
        </w:trPr>
        <w:tc>
          <w:tcPr>
            <w:tcW w:w="3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93"/>
        </w:trPr>
        <w:tc>
          <w:tcPr>
            <w:tcW w:w="3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 (expense)</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Interest income</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1.3</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4.7</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(47)</w:t>
            </w: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Interest expense (1)</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(20.3)</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(47.6)</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(8)</w:t>
            </w: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Pledged MSR liability expense</w:t>
            </w:r>
          </w:p>
        </w:tc>
        <w:tc>
          <w:tcPr>
            <w:tcW w:w="2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(37.9)</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(77.7)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(48.3)</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61</w:t>
            </w: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0.5</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540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6.1</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(45)</w:t>
            </w:r>
          </w:p>
        </w:tc>
      </w:tr>
      <w:tr>
        <w:trPr>
          <w:trHeight w:val="184"/>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other expense, net</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(59.0)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(56.5)</w:t>
            </w:r>
          </w:p>
        </w:tc>
        <w:tc>
          <w:tcPr>
            <w:tcW w:w="110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(115.5)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(85.1)</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36</w:t>
            </w:r>
          </w:p>
        </w:tc>
      </w:tr>
      <w:tr>
        <w:trPr>
          <w:trHeight w:val="117"/>
        </w:trPr>
        <w:tc>
          <w:tcPr>
            <w:tcW w:w="32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84"/>
        </w:trPr>
        <w:tc>
          <w:tcPr>
            <w:tcW w:w="3220" w:type="dxa"/>
            <w:vAlign w:val="bottom"/>
          </w:tcPr>
          <w:p>
            <w:pPr>
              <w:spacing w:after="0"/>
              <w:rPr>
                <w:sz w:val="20"/>
                <w:szCs w:val="20"/>
                <w:color w:val="auto"/>
              </w:rPr>
            </w:pPr>
            <w:r>
              <w:rPr>
                <w:rFonts w:ascii="Arial" w:cs="Arial" w:eastAsia="Arial" w:hAnsi="Arial"/>
                <w:sz w:val="15"/>
                <w:szCs w:val="15"/>
                <w:b w:val="1"/>
                <w:bCs w:val="1"/>
                <w:color w:val="auto"/>
              </w:rPr>
              <w:t>Income (loss) before income taxes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13.5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(214)%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(60.9)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(97)%</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56"/>
        </w:trPr>
        <w:tc>
          <w:tcPr>
            <w:tcW w:w="32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n/m: not meaningful</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bl>
    <w:p>
      <w:pPr>
        <w:spacing w:after="0" w:line="139" w:lineRule="exact"/>
        <w:rPr>
          <w:sz w:val="20"/>
          <w:szCs w:val="20"/>
          <w:color w:val="auto"/>
        </w:rPr>
      </w:pPr>
    </w:p>
    <w:p>
      <w:pPr>
        <w:ind w:left="269" w:right="40" w:hanging="269"/>
        <w:spacing w:after="0" w:line="245" w:lineRule="auto"/>
        <w:tabs>
          <w:tab w:leader="none" w:pos="19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Beginning in the third quarter of 2020, we began allocating interest expense on the corporate debt used to fund servicing advances and other servicing assets from Corporate Items and Other to Servicing. The interest expense related to the corporate debt has been allocated from Corporate Items and Other to the Servicing segment for prior periods to conform to the current period presentation. See Note 19 – Business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72" w:name="page73"/>
    <w:bookmarkEnd w:id="72"/>
    <w:tbl>
      <w:tblPr>
        <w:tblLayout w:type="fixed"/>
        <w:tblInd w:w="9" w:type="dxa"/>
        <w:tblCellMar>
          <w:top w:w="0" w:type="dxa"/>
          <w:left w:w="0" w:type="dxa"/>
          <w:bottom w:w="0" w:type="dxa"/>
          <w:right w:w="0" w:type="dxa"/>
        </w:tblCellMar>
      </w:tblPr>
      <w:tr>
        <w:trPr>
          <w:trHeight w:val="191"/>
        </w:trPr>
        <w:tc>
          <w:tcPr>
            <w:tcW w:w="4600" w:type="dxa"/>
            <w:vAlign w:val="bottom"/>
          </w:tcPr>
          <w:p>
            <w:pPr>
              <w:ind w:left="260"/>
              <w:spacing w:after="0"/>
              <w:rPr>
                <w:sz w:val="20"/>
                <w:szCs w:val="20"/>
                <w:color w:val="auto"/>
              </w:rPr>
            </w:pPr>
            <w:r>
              <w:rPr>
                <w:rFonts w:ascii="Arial" w:cs="Arial" w:eastAsia="Arial" w:hAnsi="Arial"/>
                <w:sz w:val="15"/>
                <w:szCs w:val="15"/>
                <w:color w:val="auto"/>
              </w:rPr>
              <w:t>The following tables provide selected operating statistics: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18"/>
        </w:trPr>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20" w:type="dxa"/>
            <w:vAlign w:val="bottom"/>
          </w:tcPr>
          <w:p>
            <w:pPr>
              <w:spacing w:after="0"/>
              <w:rPr>
                <w:sz w:val="24"/>
                <w:szCs w:val="24"/>
                <w:color w:val="auto"/>
              </w:rPr>
            </w:pPr>
          </w:p>
        </w:tc>
        <w:tc>
          <w:tcPr>
            <w:tcW w:w="1180" w:type="dxa"/>
            <w:vAlign w:val="bottom"/>
          </w:tcPr>
          <w:p>
            <w:pPr>
              <w:jc w:val="right"/>
              <w:ind w:right="304"/>
              <w:spacing w:after="0"/>
              <w:rPr>
                <w:sz w:val="20"/>
                <w:szCs w:val="20"/>
                <w:color w:val="auto"/>
              </w:rPr>
            </w:pPr>
            <w:r>
              <w:rPr>
                <w:rFonts w:ascii="Arial" w:cs="Arial" w:eastAsia="Arial" w:hAnsi="Arial"/>
                <w:sz w:val="15"/>
                <w:szCs w:val="15"/>
                <w:b w:val="1"/>
                <w:bCs w:val="1"/>
                <w:color w:val="auto"/>
              </w:rPr>
              <w:t>March 31,</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364"/>
              <w:spacing w:after="0"/>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5"/>
                <w:szCs w:val="15"/>
                <w:b w:val="1"/>
                <w:bCs w:val="1"/>
                <w:color w:val="auto"/>
              </w:rPr>
              <w:t>% Change</w:t>
            </w:r>
          </w:p>
        </w:tc>
        <w:tc>
          <w:tcPr>
            <w:tcW w:w="260" w:type="dxa"/>
            <w:vAlign w:val="bottom"/>
          </w:tcPr>
          <w:p>
            <w:pPr>
              <w:spacing w:after="0"/>
              <w:rPr>
                <w:sz w:val="18"/>
                <w:szCs w:val="18"/>
                <w:color w:val="auto"/>
              </w:rPr>
            </w:pPr>
          </w:p>
        </w:tc>
        <w:tc>
          <w:tcPr>
            <w:tcW w:w="1140" w:type="dxa"/>
            <w:vAlign w:val="bottom"/>
          </w:tcPr>
          <w:p>
            <w:pPr>
              <w:jc w:val="right"/>
              <w:ind w:right="4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8"/>
                <w:szCs w:val="18"/>
                <w:color w:val="auto"/>
              </w:rPr>
            </w:pPr>
          </w:p>
        </w:tc>
        <w:tc>
          <w:tcPr>
            <w:tcW w:w="1060" w:type="dxa"/>
            <w:vAlign w:val="bottom"/>
          </w:tcPr>
          <w:p>
            <w:pPr>
              <w:jc w:val="right"/>
              <w:ind w:right="124"/>
              <w:spacing w:after="0"/>
              <w:rPr>
                <w:sz w:val="20"/>
                <w:szCs w:val="20"/>
                <w:color w:val="auto"/>
              </w:rPr>
            </w:pPr>
            <w:r>
              <w:rPr>
                <w:rFonts w:ascii="Arial" w:cs="Arial" w:eastAsia="Arial" w:hAnsi="Arial"/>
                <w:sz w:val="15"/>
                <w:szCs w:val="15"/>
                <w:b w:val="1"/>
                <w:bCs w:val="1"/>
                <w:color w:val="auto"/>
              </w:rPr>
              <w:t>% Change</w:t>
            </w:r>
          </w:p>
        </w:tc>
      </w:tr>
      <w:tr>
        <w:trPr>
          <w:trHeight w:val="174"/>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Residential Assets Serviced</w:t>
            </w: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92"/>
        </w:trPr>
        <w:tc>
          <w:tcPr>
            <w:tcW w:w="4600" w:type="dxa"/>
            <w:vAlign w:val="bottom"/>
          </w:tcPr>
          <w:p>
            <w:pPr>
              <w:ind w:left="100"/>
              <w:spacing w:after="0"/>
              <w:rPr>
                <w:sz w:val="20"/>
                <w:szCs w:val="20"/>
                <w:color w:val="auto"/>
              </w:rPr>
            </w:pPr>
            <w:r>
              <w:rPr>
                <w:rFonts w:ascii="Arial" w:cs="Arial" w:eastAsia="Arial" w:hAnsi="Arial"/>
                <w:sz w:val="15"/>
                <w:szCs w:val="15"/>
                <w:i w:val="1"/>
                <w:iCs w:val="1"/>
                <w:color w:val="auto"/>
              </w:rPr>
              <w:t>Unpaid principal balance (UPB) in billions: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Performing loans (1)</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19 %</w:t>
            </w:r>
          </w:p>
        </w:tc>
      </w:tr>
      <w:tr>
        <w:trPr>
          <w:trHeight w:val="192"/>
        </w:trPr>
        <w:tc>
          <w:tcPr>
            <w:tcW w:w="4600" w:type="dxa"/>
            <w:vAlign w:val="bottom"/>
          </w:tcPr>
          <w:p>
            <w:pPr>
              <w:ind w:left="180"/>
              <w:spacing w:after="0"/>
              <w:rPr>
                <w:sz w:val="20"/>
                <w:szCs w:val="20"/>
                <w:color w:val="auto"/>
              </w:rPr>
            </w:pPr>
            <w:r>
              <w:rPr>
                <w:rFonts w:ascii="Arial" w:cs="Arial" w:eastAsia="Arial" w:hAnsi="Arial"/>
                <w:sz w:val="15"/>
                <w:szCs w:val="15"/>
                <w:color w:val="auto"/>
              </w:rPr>
              <w:t>Non-performing loans</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w:t>
            </w:r>
          </w:p>
        </w:tc>
        <w:tc>
          <w:tcPr>
            <w:tcW w:w="1140" w:type="dxa"/>
            <w:vAlign w:val="bottom"/>
            <w:gridSpan w:val="2"/>
          </w:tcPr>
          <w:p>
            <w:pPr>
              <w:jc w:val="right"/>
              <w:ind w:right="84"/>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12.5</w:t>
            </w:r>
          </w:p>
        </w:tc>
        <w:tc>
          <w:tcPr>
            <w:tcW w:w="1140" w:type="dxa"/>
            <w:vAlign w:val="bottom"/>
            <w:gridSpan w:val="2"/>
          </w:tcPr>
          <w:p>
            <w:pPr>
              <w:jc w:val="right"/>
              <w:ind w:right="84"/>
              <w:spacing w:after="0"/>
              <w:rPr>
                <w:sz w:val="20"/>
                <w:szCs w:val="20"/>
                <w:color w:val="auto"/>
              </w:rPr>
            </w:pPr>
            <w:r>
              <w:rPr>
                <w:rFonts w:ascii="Arial" w:cs="Arial" w:eastAsia="Arial" w:hAnsi="Arial"/>
                <w:sz w:val="15"/>
                <w:szCs w:val="15"/>
                <w:color w:val="auto"/>
              </w:rPr>
              <w:t>(34)</w:t>
            </w:r>
          </w:p>
        </w:tc>
      </w:tr>
      <w:tr>
        <w:trPr>
          <w:trHeight w:val="193"/>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Non-performing real estate</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(54)</w:t>
            </w:r>
          </w:p>
        </w:tc>
      </w:tr>
      <w:tr>
        <w:trPr>
          <w:trHeight w:val="185"/>
        </w:trPr>
        <w:tc>
          <w:tcPr>
            <w:tcW w:w="4600" w:type="dxa"/>
            <w:vAlign w:val="bottom"/>
          </w:tcPr>
          <w:p>
            <w:pPr>
              <w:ind w:left="2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179.4</w:t>
            </w:r>
          </w:p>
        </w:tc>
        <w:tc>
          <w:tcPr>
            <w:tcW w:w="1140" w:type="dxa"/>
            <w:vAlign w:val="bottom"/>
            <w:gridSpan w:val="2"/>
          </w:tcPr>
          <w:p>
            <w:pPr>
              <w:jc w:val="right"/>
              <w:ind w:right="104"/>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206.0</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15 %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99"/>
        </w:trPr>
        <w:tc>
          <w:tcPr>
            <w:tcW w:w="46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192"/>
        </w:trPr>
        <w:tc>
          <w:tcPr>
            <w:tcW w:w="4600" w:type="dxa"/>
            <w:vAlign w:val="bottom"/>
          </w:tcPr>
          <w:p>
            <w:pPr>
              <w:ind w:left="180"/>
              <w:spacing w:after="0"/>
              <w:rPr>
                <w:sz w:val="20"/>
                <w:szCs w:val="20"/>
                <w:color w:val="auto"/>
              </w:rPr>
            </w:pPr>
            <w:r>
              <w:rPr>
                <w:rFonts w:ascii="Arial" w:cs="Arial" w:eastAsia="Arial" w:hAnsi="Arial"/>
                <w:sz w:val="15"/>
                <w:szCs w:val="15"/>
                <w:color w:val="auto"/>
              </w:rPr>
              <w:t>Conventional loans (2)</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133.7</w:t>
            </w:r>
          </w:p>
        </w:tc>
        <w:tc>
          <w:tcPr>
            <w:tcW w:w="10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75.6</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77 %</w:t>
            </w:r>
          </w:p>
        </w:tc>
        <w:tc>
          <w:tcPr>
            <w:tcW w:w="8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90.8</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47 %</w:t>
            </w:r>
          </w:p>
        </w:tc>
      </w:tr>
      <w:tr>
        <w:trPr>
          <w:trHeight w:val="194"/>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Government-insured loans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14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(5)</w:t>
            </w:r>
          </w:p>
        </w:tc>
      </w:tr>
      <w:tr>
        <w:trPr>
          <w:trHeight w:val="192"/>
        </w:trPr>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Non-Agency loans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w:t>
            </w:r>
          </w:p>
        </w:tc>
        <w:tc>
          <w:tcPr>
            <w:tcW w:w="114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81.8</w:t>
            </w:r>
          </w:p>
        </w:tc>
        <w:tc>
          <w:tcPr>
            <w:tcW w:w="114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(12)</w:t>
            </w:r>
          </w:p>
        </w:tc>
      </w:tr>
      <w:tr>
        <w:trPr>
          <w:trHeight w:val="21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79"/>
        </w:trPr>
        <w:tc>
          <w:tcPr>
            <w:tcW w:w="4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193"/>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Servicing portfolio (5)</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104 %</w:t>
            </w:r>
          </w:p>
        </w:tc>
      </w:tr>
      <w:tr>
        <w:trPr>
          <w:trHeight w:val="192"/>
        </w:trPr>
        <w:tc>
          <w:tcPr>
            <w:tcW w:w="4600" w:type="dxa"/>
            <w:vAlign w:val="bottom"/>
          </w:tcPr>
          <w:p>
            <w:pPr>
              <w:ind w:left="180"/>
              <w:spacing w:after="0"/>
              <w:rPr>
                <w:sz w:val="20"/>
                <w:szCs w:val="20"/>
                <w:color w:val="auto"/>
              </w:rPr>
            </w:pPr>
            <w:r>
              <w:rPr>
                <w:rFonts w:ascii="Arial" w:cs="Arial" w:eastAsia="Arial" w:hAnsi="Arial"/>
                <w:sz w:val="15"/>
                <w:szCs w:val="15"/>
                <w:color w:val="auto"/>
              </w:rPr>
              <w:t>Subservicing portfolio</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16.3</w:t>
            </w:r>
          </w:p>
        </w:tc>
        <w:tc>
          <w:tcPr>
            <w:tcW w:w="1140" w:type="dxa"/>
            <w:vAlign w:val="bottom"/>
            <w:gridSpan w:val="2"/>
          </w:tcPr>
          <w:p>
            <w:pPr>
              <w:jc w:val="right"/>
              <w:ind w:right="104"/>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20.0</w:t>
            </w:r>
          </w:p>
        </w:tc>
        <w:tc>
          <w:tcPr>
            <w:tcW w:w="1140" w:type="dxa"/>
            <w:vAlign w:val="bottom"/>
            <w:gridSpan w:val="2"/>
          </w:tcPr>
          <w:p>
            <w:pPr>
              <w:jc w:val="right"/>
              <w:ind w:right="84"/>
              <w:spacing w:after="0"/>
              <w:rPr>
                <w:sz w:val="20"/>
                <w:szCs w:val="20"/>
                <w:color w:val="auto"/>
              </w:rPr>
            </w:pPr>
            <w:r>
              <w:rPr>
                <w:rFonts w:ascii="Arial" w:cs="Arial" w:eastAsia="Arial" w:hAnsi="Arial"/>
                <w:sz w:val="15"/>
                <w:szCs w:val="15"/>
                <w:color w:val="auto"/>
              </w:rPr>
              <w:t>(4)</w:t>
            </w:r>
          </w:p>
        </w:tc>
      </w:tr>
      <w:tr>
        <w:trPr>
          <w:trHeight w:val="193"/>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NRZ (3) (6)</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(44)</w:t>
            </w:r>
          </w:p>
        </w:tc>
      </w:tr>
      <w:tr>
        <w:trPr>
          <w:trHeight w:val="185"/>
        </w:trPr>
        <w:tc>
          <w:tcPr>
            <w:tcW w:w="4600" w:type="dxa"/>
            <w:vAlign w:val="bottom"/>
          </w:tcPr>
          <w:p>
            <w:pPr>
              <w:ind w:left="2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179.4</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32 %</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206.0</w:t>
            </w:r>
          </w:p>
        </w:tc>
        <w:tc>
          <w:tcPr>
            <w:tcW w:w="1140" w:type="dxa"/>
            <w:vAlign w:val="bottom"/>
            <w:gridSpan w:val="2"/>
          </w:tcPr>
          <w:p>
            <w:pPr>
              <w:jc w:val="right"/>
              <w:ind w:right="104"/>
              <w:spacing w:after="0"/>
              <w:rPr>
                <w:sz w:val="20"/>
                <w:szCs w:val="20"/>
                <w:color w:val="auto"/>
              </w:rPr>
            </w:pPr>
            <w:r>
              <w:rPr>
                <w:rFonts w:ascii="Arial" w:cs="Arial" w:eastAsia="Arial" w:hAnsi="Arial"/>
                <w:sz w:val="15"/>
                <w:szCs w:val="15"/>
                <w:color w:val="auto"/>
              </w:rPr>
              <w:t>15</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99"/>
        </w:trPr>
        <w:tc>
          <w:tcPr>
            <w:tcW w:w="46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192"/>
        </w:trPr>
        <w:tc>
          <w:tcPr>
            <w:tcW w:w="4600" w:type="dxa"/>
            <w:vAlign w:val="bottom"/>
          </w:tcPr>
          <w:p>
            <w:pPr>
              <w:ind w:left="100"/>
              <w:spacing w:after="0"/>
              <w:rPr>
                <w:sz w:val="20"/>
                <w:szCs w:val="20"/>
                <w:color w:val="auto"/>
              </w:rPr>
            </w:pPr>
            <w:r>
              <w:rPr>
                <w:rFonts w:ascii="Arial" w:cs="Arial" w:eastAsia="Arial" w:hAnsi="Arial"/>
                <w:sz w:val="15"/>
                <w:szCs w:val="15"/>
                <w:i w:val="1"/>
                <w:iCs w:val="1"/>
                <w:color w:val="auto"/>
              </w:rPr>
              <w:t>Number (in 000’s):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Performing loans (1)</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192"/>
        </w:trPr>
        <w:tc>
          <w:tcPr>
            <w:tcW w:w="4600" w:type="dxa"/>
            <w:vAlign w:val="bottom"/>
          </w:tcPr>
          <w:p>
            <w:pPr>
              <w:ind w:left="180"/>
              <w:spacing w:after="0"/>
              <w:rPr>
                <w:sz w:val="20"/>
                <w:szCs w:val="20"/>
                <w:color w:val="auto"/>
              </w:rPr>
            </w:pPr>
            <w:r>
              <w:rPr>
                <w:rFonts w:ascii="Arial" w:cs="Arial" w:eastAsia="Arial" w:hAnsi="Arial"/>
                <w:sz w:val="15"/>
                <w:szCs w:val="15"/>
                <w:color w:val="auto"/>
              </w:rPr>
              <w:t>Non-performing loans</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45.5</w:t>
            </w:r>
          </w:p>
        </w:tc>
        <w:tc>
          <w:tcPr>
            <w:tcW w:w="1140" w:type="dxa"/>
            <w:vAlign w:val="bottom"/>
            <w:gridSpan w:val="2"/>
          </w:tcPr>
          <w:p>
            <w:pPr>
              <w:jc w:val="right"/>
              <w:ind w:right="84"/>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63.8</w:t>
            </w:r>
          </w:p>
        </w:tc>
        <w:tc>
          <w:tcPr>
            <w:tcW w:w="1140" w:type="dxa"/>
            <w:vAlign w:val="bottom"/>
            <w:gridSpan w:val="2"/>
          </w:tcPr>
          <w:p>
            <w:pPr>
              <w:jc w:val="right"/>
              <w:ind w:right="84"/>
              <w:spacing w:after="0"/>
              <w:rPr>
                <w:sz w:val="20"/>
                <w:szCs w:val="20"/>
                <w:color w:val="auto"/>
              </w:rPr>
            </w:pPr>
            <w:r>
              <w:rPr>
                <w:rFonts w:ascii="Arial" w:cs="Arial" w:eastAsia="Arial" w:hAnsi="Arial"/>
                <w:sz w:val="15"/>
                <w:szCs w:val="15"/>
                <w:color w:val="auto"/>
              </w:rPr>
              <w:t>(32)</w:t>
            </w:r>
          </w:p>
        </w:tc>
      </w:tr>
      <w:tr>
        <w:trPr>
          <w:trHeight w:val="193"/>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Non-performing real estate</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(40)</w:t>
            </w:r>
          </w:p>
        </w:tc>
      </w:tr>
      <w:tr>
        <w:trPr>
          <w:trHeight w:val="185"/>
        </w:trPr>
        <w:tc>
          <w:tcPr>
            <w:tcW w:w="4600" w:type="dxa"/>
            <w:vAlign w:val="bottom"/>
          </w:tcPr>
          <w:p>
            <w:pPr>
              <w:ind w:left="2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1,063.2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19 %</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1,367.4</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(7)%</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99"/>
        </w:trPr>
        <w:tc>
          <w:tcPr>
            <w:tcW w:w="46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192"/>
        </w:trPr>
        <w:tc>
          <w:tcPr>
            <w:tcW w:w="4600" w:type="dxa"/>
            <w:vAlign w:val="bottom"/>
          </w:tcPr>
          <w:p>
            <w:pPr>
              <w:ind w:left="180"/>
              <w:spacing w:after="0"/>
              <w:rPr>
                <w:sz w:val="20"/>
                <w:szCs w:val="20"/>
                <w:color w:val="auto"/>
              </w:rPr>
            </w:pPr>
            <w:r>
              <w:rPr>
                <w:rFonts w:ascii="Arial" w:cs="Arial" w:eastAsia="Arial" w:hAnsi="Arial"/>
                <w:sz w:val="15"/>
                <w:szCs w:val="15"/>
                <w:color w:val="auto"/>
              </w:rPr>
              <w:t>Conventional loans (2)</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344.3</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63 %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576.4</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w:t>
            </w:r>
          </w:p>
        </w:tc>
      </w:tr>
      <w:tr>
        <w:trPr>
          <w:trHeight w:val="194"/>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Government-insured loans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180.2</w:t>
            </w:r>
          </w:p>
        </w:tc>
        <w:tc>
          <w:tcPr>
            <w:tcW w:w="114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199.0</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(5)</w:t>
            </w:r>
          </w:p>
        </w:tc>
      </w:tr>
      <w:tr>
        <w:trPr>
          <w:trHeight w:val="192"/>
        </w:trPr>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Non-Agency loans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538.6</w:t>
            </w:r>
          </w:p>
        </w:tc>
        <w:tc>
          <w:tcPr>
            <w:tcW w:w="114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592.0</w:t>
            </w:r>
          </w:p>
        </w:tc>
        <w:tc>
          <w:tcPr>
            <w:tcW w:w="114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(12)</w:t>
            </w:r>
          </w:p>
        </w:tc>
      </w:tr>
      <w:tr>
        <w:trPr>
          <w:trHeight w:val="21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1,063.2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1,367.4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79"/>
        </w:trPr>
        <w:tc>
          <w:tcPr>
            <w:tcW w:w="4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193"/>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Servicing portfolio</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55 %</w:t>
            </w:r>
          </w:p>
        </w:tc>
      </w:tr>
      <w:tr>
        <w:trPr>
          <w:trHeight w:val="192"/>
        </w:trPr>
        <w:tc>
          <w:tcPr>
            <w:tcW w:w="4600" w:type="dxa"/>
            <w:vAlign w:val="bottom"/>
          </w:tcPr>
          <w:p>
            <w:pPr>
              <w:ind w:left="180"/>
              <w:spacing w:after="0"/>
              <w:rPr>
                <w:sz w:val="20"/>
                <w:szCs w:val="20"/>
                <w:color w:val="auto"/>
              </w:rPr>
            </w:pPr>
            <w:r>
              <w:rPr>
                <w:rFonts w:ascii="Arial" w:cs="Arial" w:eastAsia="Arial" w:hAnsi="Arial"/>
                <w:sz w:val="15"/>
                <w:szCs w:val="15"/>
                <w:color w:val="auto"/>
              </w:rPr>
              <w:t>Subservicing portfolio</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67.5</w:t>
            </w:r>
          </w:p>
        </w:tc>
        <w:tc>
          <w:tcPr>
            <w:tcW w:w="1140" w:type="dxa"/>
            <w:vAlign w:val="bottom"/>
            <w:gridSpan w:val="2"/>
          </w:tcPr>
          <w:p>
            <w:pPr>
              <w:jc w:val="right"/>
              <w:ind w:right="104"/>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81.2</w:t>
            </w:r>
          </w:p>
        </w:tc>
        <w:tc>
          <w:tcPr>
            <w:tcW w:w="1140" w:type="dxa"/>
            <w:vAlign w:val="bottom"/>
            <w:gridSpan w:val="2"/>
          </w:tcPr>
          <w:p>
            <w:pPr>
              <w:jc w:val="right"/>
              <w:ind w:right="84"/>
              <w:spacing w:after="0"/>
              <w:rPr>
                <w:sz w:val="20"/>
                <w:szCs w:val="20"/>
                <w:color w:val="auto"/>
              </w:rPr>
            </w:pPr>
            <w:r>
              <w:rPr>
                <w:rFonts w:ascii="Arial" w:cs="Arial" w:eastAsia="Arial" w:hAnsi="Arial"/>
                <w:sz w:val="15"/>
                <w:szCs w:val="15"/>
                <w:color w:val="auto"/>
              </w:rPr>
              <w:t>(5)</w:t>
            </w:r>
          </w:p>
        </w:tc>
      </w:tr>
      <w:tr>
        <w:trPr>
          <w:trHeight w:val="193"/>
        </w:trPr>
        <w:tc>
          <w:tcPr>
            <w:tcW w:w="46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NRZ (6)</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482.7</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814.4</w:t>
            </w:r>
          </w:p>
        </w:tc>
        <w:tc>
          <w:tcPr>
            <w:tcW w:w="1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(43)</w:t>
            </w:r>
          </w:p>
        </w:tc>
      </w:tr>
      <w:tr>
        <w:trPr>
          <w:trHeight w:val="185"/>
        </w:trPr>
        <w:tc>
          <w:tcPr>
            <w:tcW w:w="4600" w:type="dxa"/>
            <w:vAlign w:val="bottom"/>
          </w:tcPr>
          <w:p>
            <w:pPr>
              <w:ind w:left="2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1,063.2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19 %</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1,367.4</w:t>
            </w:r>
          </w:p>
        </w:tc>
        <w:tc>
          <w:tcPr>
            <w:tcW w:w="1140" w:type="dxa"/>
            <w:vAlign w:val="bottom"/>
            <w:gridSpan w:val="2"/>
          </w:tcPr>
          <w:p>
            <w:pPr>
              <w:jc w:val="right"/>
              <w:ind w:right="84"/>
              <w:spacing w:after="0"/>
              <w:rPr>
                <w:sz w:val="20"/>
                <w:szCs w:val="20"/>
                <w:color w:val="auto"/>
              </w:rPr>
            </w:pPr>
            <w:r>
              <w:rPr>
                <w:rFonts w:ascii="Arial" w:cs="Arial" w:eastAsia="Arial" w:hAnsi="Arial"/>
                <w:sz w:val="15"/>
                <w:szCs w:val="15"/>
                <w:color w:val="auto"/>
              </w:rPr>
              <w:t>(7)</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42"/>
        </w:trPr>
        <w:tc>
          <w:tcPr>
            <w:tcW w:w="4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22"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Pr>
          <w:p>
            <w:pPr>
              <w:spacing w:after="0"/>
              <w:rPr>
                <w:sz w:val="24"/>
                <w:szCs w:val="24"/>
                <w:color w:val="auto"/>
              </w:rPr>
            </w:pPr>
          </w:p>
        </w:tc>
        <w:tc>
          <w:tcPr>
            <w:tcW w:w="1280" w:type="dxa"/>
            <w:vAlign w:val="bottom"/>
          </w:tcPr>
          <w:p>
            <w:pPr>
              <w:jc w:val="right"/>
              <w:ind w:right="144"/>
              <w:spacing w:after="0"/>
              <w:rPr>
                <w:sz w:val="20"/>
                <w:szCs w:val="20"/>
                <w:color w:val="auto"/>
              </w:rPr>
            </w:pPr>
            <w:r>
              <w:rPr>
                <w:rFonts w:ascii="Arial" w:cs="Arial" w:eastAsia="Arial" w:hAnsi="Arial"/>
                <w:sz w:val="15"/>
                <w:szCs w:val="15"/>
                <w:b w:val="1"/>
                <w:bCs w:val="1"/>
                <w:color w:val="auto"/>
                <w:w w:val="97"/>
              </w:rPr>
              <w:t>March 31, 2021</w:t>
            </w:r>
          </w:p>
        </w:tc>
        <w:tc>
          <w:tcPr>
            <w:tcW w:w="80" w:type="dxa"/>
            <w:vAlign w:val="bottom"/>
          </w:tcPr>
          <w:p>
            <w:pPr>
              <w:spacing w:after="0"/>
              <w:rPr>
                <w:sz w:val="24"/>
                <w:szCs w:val="24"/>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5"/>
                <w:szCs w:val="15"/>
                <w:b w:val="1"/>
                <w:bCs w:val="1"/>
                <w:color w:val="auto"/>
              </w:rPr>
              <w:t>% Change</w:t>
            </w:r>
          </w:p>
        </w:tc>
        <w:tc>
          <w:tcPr>
            <w:tcW w:w="1100" w:type="dxa"/>
            <w:vAlign w:val="bottom"/>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74"/>
        </w:trPr>
        <w:tc>
          <w:tcPr>
            <w:tcW w:w="2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5"/>
                <w:szCs w:val="15"/>
                <w:i w:val="1"/>
                <w:iCs w:val="1"/>
                <w:color w:val="auto"/>
              </w:rPr>
              <w:t>Prepayment speed (CPR) (4):</w:t>
            </w: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00" w:type="dxa"/>
            <w:vAlign w:val="bottom"/>
          </w:tcPr>
          <w:p>
            <w:pPr>
              <w:ind w:left="180"/>
              <w:spacing w:after="0"/>
              <w:rPr>
                <w:sz w:val="20"/>
                <w:szCs w:val="20"/>
                <w:color w:val="auto"/>
              </w:rPr>
            </w:pPr>
            <w:r>
              <w:rPr>
                <w:rFonts w:ascii="Arial" w:cs="Arial" w:eastAsia="Arial" w:hAnsi="Arial"/>
                <w:sz w:val="15"/>
                <w:szCs w:val="15"/>
                <w:color w:val="auto"/>
              </w:rPr>
              <w:t>% Voluntary CPR</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15.6 %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21.70 %</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18.6 %</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12.5 %</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49 %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 Involuntary CPR</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0.80</w:t>
            </w:r>
          </w:p>
        </w:tc>
        <w:tc>
          <w:tcPr>
            <w:tcW w:w="104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0.9</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w:t>
            </w:r>
          </w:p>
        </w:tc>
        <w:tc>
          <w:tcPr>
            <w:tcW w:w="106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tcPr>
          <w:p>
            <w:pPr>
              <w:ind w:left="180"/>
              <w:spacing w:after="0"/>
              <w:rPr>
                <w:sz w:val="20"/>
                <w:szCs w:val="20"/>
                <w:color w:val="auto"/>
              </w:rPr>
            </w:pPr>
            <w:r>
              <w:rPr>
                <w:rFonts w:ascii="Arial" w:cs="Arial" w:eastAsia="Arial" w:hAnsi="Arial"/>
                <w:sz w:val="15"/>
                <w:szCs w:val="15"/>
                <w:color w:val="auto"/>
              </w:rPr>
              <w:t>% Total CPR</w:t>
            </w:r>
          </w:p>
        </w:tc>
        <w:tc>
          <w:tcPr>
            <w:tcW w:w="180" w:type="dxa"/>
            <w:vAlign w:val="bottom"/>
          </w:tcPr>
          <w:p>
            <w:pPr>
              <w:spacing w:after="0"/>
              <w:rPr>
                <w:sz w:val="16"/>
                <w:szCs w:val="16"/>
                <w:color w:val="auto"/>
              </w:rPr>
            </w:pPr>
          </w:p>
        </w:tc>
        <w:tc>
          <w:tcPr>
            <w:tcW w:w="1240" w:type="dxa"/>
            <w:vAlign w:val="bottom"/>
          </w:tcPr>
          <w:p>
            <w:pPr>
              <w:jc w:val="right"/>
              <w:ind w:right="104"/>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25.20</w:t>
            </w:r>
          </w:p>
        </w:tc>
        <w:tc>
          <w:tcPr>
            <w:tcW w:w="1040" w:type="dxa"/>
            <w:vAlign w:val="bottom"/>
            <w:gridSpan w:val="2"/>
          </w:tcPr>
          <w:p>
            <w:pPr>
              <w:jc w:val="right"/>
              <w:ind w:right="64"/>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22.4</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17.1</w:t>
            </w: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20"/>
                <w:szCs w:val="20"/>
                <w:color w:val="auto"/>
              </w:rPr>
            </w:pPr>
            <w:r>
              <w:rPr>
                <w:rFonts w:ascii="Arial" w:cs="Arial" w:eastAsia="Arial" w:hAnsi="Arial"/>
                <w:sz w:val="15"/>
                <w:szCs w:val="15"/>
                <w:color w:val="auto"/>
                <w:w w:val="95"/>
              </w:rPr>
              <w:t xml:space="preserve">Number of completed modifications </w:t>
            </w:r>
            <w:r>
              <w:rPr>
                <w:rFonts w:ascii="Arial" w:cs="Arial" w:eastAsia="Arial" w:hAnsi="Arial"/>
                <w:sz w:val="15"/>
                <w:szCs w:val="15"/>
                <w:i w:val="1"/>
                <w:iCs w:val="1"/>
                <w:color w:val="auto"/>
                <w:w w:val="95"/>
              </w:rPr>
              <w:t>(in 000’s)</w:t>
            </w:r>
          </w:p>
        </w:tc>
        <w:tc>
          <w:tcPr>
            <w:tcW w:w="180" w:type="dxa"/>
            <w:vAlign w:val="bottom"/>
          </w:tcPr>
          <w:p>
            <w:pPr>
              <w:spacing w:after="0"/>
              <w:rPr>
                <w:sz w:val="16"/>
                <w:szCs w:val="16"/>
                <w:color w:val="auto"/>
              </w:rPr>
            </w:pPr>
          </w:p>
        </w:tc>
        <w:tc>
          <w:tcPr>
            <w:tcW w:w="1240" w:type="dxa"/>
            <w:vAlign w:val="bottom"/>
          </w:tcPr>
          <w:p>
            <w:pPr>
              <w:jc w:val="right"/>
              <w:ind w:right="104"/>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4.8</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8.9</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15.6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8"/>
              </w:rPr>
              <w:t>Revenue recognized in connection with loan</w:t>
            </w:r>
          </w:p>
        </w:tc>
        <w:tc>
          <w:tcPr>
            <w:tcW w:w="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8.0</w:t>
            </w:r>
          </w:p>
        </w:tc>
        <w:tc>
          <w:tcPr>
            <w:tcW w:w="146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(9)%  $</w:t>
            </w: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15.2</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764"/>
              <w:spacing w:after="0"/>
              <w:rPr>
                <w:sz w:val="20"/>
                <w:szCs w:val="20"/>
                <w:color w:val="auto"/>
              </w:rPr>
            </w:pPr>
            <w:r>
              <w:rPr>
                <w:rFonts w:ascii="Arial" w:cs="Arial" w:eastAsia="Arial" w:hAnsi="Arial"/>
                <w:sz w:val="15"/>
                <w:szCs w:val="15"/>
                <w:color w:val="auto"/>
                <w:w w:val="95"/>
              </w:rPr>
              <w:t>$</w:t>
            </w:r>
          </w:p>
        </w:tc>
        <w:tc>
          <w:tcPr>
            <w:tcW w:w="5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20.1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modifications</w:t>
            </w:r>
          </w:p>
        </w:tc>
        <w:tc>
          <w:tcPr>
            <w:tcW w:w="18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460" w:type="dxa"/>
            <w:vAlign w:val="bottom"/>
            <w:gridSpan w:val="4"/>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9" w:right="100" w:hanging="269"/>
        <w:spacing w:after="0" w:line="255" w:lineRule="auto"/>
        <w:tabs>
          <w:tab w:leader="none" w:pos="269" w:val="left"/>
        </w:tabs>
        <w:numPr>
          <w:ilvl w:val="0"/>
          <w:numId w:val="39"/>
        </w:numPr>
        <w:rPr>
          <w:rFonts w:ascii="Arial" w:cs="Arial" w:eastAsia="Arial" w:hAnsi="Arial"/>
          <w:sz w:val="14"/>
          <w:szCs w:val="14"/>
          <w:color w:val="auto"/>
        </w:rPr>
      </w:pPr>
      <w:r>
        <w:rPr>
          <w:rFonts w:ascii="Arial" w:cs="Arial" w:eastAsia="Arial" w:hAnsi="Arial"/>
          <w:sz w:val="14"/>
          <w:szCs w:val="14"/>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spacing w:after="0" w:line="200" w:lineRule="exact"/>
        <w:rPr>
          <w:sz w:val="20"/>
          <w:szCs w:val="20"/>
          <w:color w:val="auto"/>
        </w:rPr>
      </w:pPr>
    </w:p>
    <w:p>
      <w:pPr>
        <w:spacing w:after="0" w:line="23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7" w:right="319" w:bottom="1440" w:gutter="0" w:footer="0" w:header="0"/>
        </w:sectPr>
      </w:pPr>
    </w:p>
    <w:bookmarkStart w:id="73" w:name="page74"/>
    <w:bookmarkEnd w:id="73"/>
    <w:p>
      <w:pPr>
        <w:ind w:left="269" w:right="560" w:hanging="269"/>
        <w:spacing w:after="0" w:line="286" w:lineRule="auto"/>
        <w:tabs>
          <w:tab w:leader="none" w:pos="269"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Conventional loans include 81,193 and 85,479 prime loans with a UPB of $14.6 billion and $15.3 billion at June 30, 2021 and March 31, 2021, respectively, that we service or subservice. This compares to 103,611 prime loans with a UPB of $18.9 billion at June 30, 2020. Prime loans are generally good credit quality loans that meet GSE underwriting standards.</w:t>
      </w:r>
    </w:p>
    <w:p>
      <w:pPr>
        <w:ind w:left="269" w:hanging="269"/>
        <w:spacing w:after="0" w:line="236" w:lineRule="auto"/>
        <w:tabs>
          <w:tab w:leader="none" w:pos="269" w:val="left"/>
        </w:tabs>
        <w:numPr>
          <w:ilvl w:val="0"/>
          <w:numId w:val="40"/>
        </w:numPr>
        <w:rPr>
          <w:rFonts w:ascii="Arial" w:cs="Arial" w:eastAsia="Arial" w:hAnsi="Arial"/>
          <w:sz w:val="14"/>
          <w:szCs w:val="14"/>
          <w:color w:val="auto"/>
        </w:rPr>
      </w:pPr>
      <w:r>
        <w:rPr>
          <w:rFonts w:ascii="Arial" w:cs="Arial" w:eastAsia="Arial" w:hAnsi="Arial"/>
          <w:sz w:val="14"/>
          <w:szCs w:val="14"/>
          <w:color w:val="auto"/>
        </w:rPr>
        <w:t>Loans serviced or subserviced pursuant to our agreements with NRZ.</w:t>
      </w:r>
    </w:p>
    <w:p>
      <w:pPr>
        <w:ind w:left="269" w:hanging="269"/>
        <w:spacing w:after="0" w:line="236" w:lineRule="auto"/>
        <w:tabs>
          <w:tab w:leader="none" w:pos="269" w:val="left"/>
        </w:tabs>
        <w:numPr>
          <w:ilvl w:val="0"/>
          <w:numId w:val="40"/>
        </w:numPr>
        <w:rPr>
          <w:rFonts w:ascii="Arial" w:cs="Arial" w:eastAsia="Arial" w:hAnsi="Arial"/>
          <w:sz w:val="14"/>
          <w:szCs w:val="14"/>
          <w:color w:val="auto"/>
        </w:rPr>
      </w:pPr>
      <w:r>
        <w:rPr>
          <w:rFonts w:ascii="Arial" w:cs="Arial" w:eastAsia="Arial" w:hAnsi="Arial"/>
          <w:sz w:val="14"/>
          <w:szCs w:val="14"/>
          <w:color w:val="auto"/>
        </w:rPr>
        <w:t>Average CPR includes voluntary and involuntary prepayments and scheduled principal amortization (not reflected in the above table).</w:t>
      </w:r>
    </w:p>
    <w:p>
      <w:pPr>
        <w:ind w:left="269" w:hanging="269"/>
        <w:spacing w:after="0" w:line="236" w:lineRule="auto"/>
        <w:tabs>
          <w:tab w:leader="none" w:pos="269"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$6.7 billion UPB of reverse mortgage loans that are recognized in our consolidated balance sheet at June 30, 2021.</w:t>
      </w:r>
    </w:p>
    <w:p>
      <w:pPr>
        <w:ind w:left="269" w:hanging="269"/>
        <w:spacing w:after="0"/>
        <w:tabs>
          <w:tab w:leader="none" w:pos="269"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$2.4 billion UPB of subserviced loans at June 30, 2021.</w:t>
      </w:r>
    </w:p>
    <w:p>
      <w:pPr>
        <w:spacing w:after="0" w:line="74" w:lineRule="exact"/>
        <w:rPr>
          <w:rFonts w:ascii="Arial" w:cs="Arial" w:eastAsia="Arial" w:hAnsi="Arial"/>
          <w:sz w:val="14"/>
          <w:szCs w:val="14"/>
          <w:color w:val="auto"/>
        </w:rPr>
      </w:pPr>
    </w:p>
    <w:p>
      <w:pPr>
        <w:ind w:left="269"/>
        <w:spacing w:after="0"/>
        <w:rPr>
          <w:rFonts w:ascii="Arial" w:cs="Arial" w:eastAsia="Arial" w:hAnsi="Arial"/>
          <w:sz w:val="14"/>
          <w:szCs w:val="14"/>
          <w:color w:val="auto"/>
        </w:rPr>
      </w:pPr>
      <w:r>
        <w:rPr>
          <w:rFonts w:ascii="Arial" w:cs="Arial" w:eastAsia="Arial" w:hAnsi="Arial"/>
          <w:sz w:val="15"/>
          <w:szCs w:val="15"/>
          <w:color w:val="auto"/>
        </w:rPr>
        <w:t>The following table provides selected operating statistics related to our reverse mortgage loans reported within our Servicing segment:</w:t>
      </w:r>
    </w:p>
    <w:p>
      <w:pPr>
        <w:spacing w:after="0" w:line="345"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w:t>
            </w:r>
          </w:p>
        </w:tc>
        <w:tc>
          <w:tcPr>
            <w:tcW w:w="260" w:type="dxa"/>
            <w:vAlign w:val="bottom"/>
          </w:tcPr>
          <w:p>
            <w:pPr>
              <w:spacing w:after="0"/>
              <w:rPr>
                <w:sz w:val="16"/>
                <w:szCs w:val="16"/>
                <w:color w:val="auto"/>
              </w:rPr>
            </w:pPr>
          </w:p>
        </w:tc>
        <w:tc>
          <w:tcPr>
            <w:tcW w:w="1220" w:type="dxa"/>
            <w:vAlign w:val="bottom"/>
          </w:tcPr>
          <w:p>
            <w:pPr>
              <w:jc w:val="right"/>
              <w:ind w:right="324"/>
              <w:spacing w:after="0"/>
              <w:rPr>
                <w:sz w:val="20"/>
                <w:szCs w:val="20"/>
                <w:color w:val="auto"/>
              </w:rPr>
            </w:pPr>
            <w:r>
              <w:rPr>
                <w:rFonts w:ascii="Arial" w:cs="Arial" w:eastAsia="Arial" w:hAnsi="Arial"/>
                <w:sz w:val="15"/>
                <w:szCs w:val="15"/>
                <w:b w:val="1"/>
                <w:bCs w:val="1"/>
                <w:color w:val="auto"/>
              </w:rPr>
              <w:t>March 31,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04"/>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 Change</w:t>
            </w:r>
          </w:p>
        </w:tc>
        <w:tc>
          <w:tcPr>
            <w:tcW w:w="280" w:type="dxa"/>
            <w:vAlign w:val="bottom"/>
          </w:tcPr>
          <w:p>
            <w:pPr>
              <w:spacing w:after="0"/>
              <w:rPr>
                <w:sz w:val="18"/>
                <w:szCs w:val="18"/>
                <w:color w:val="auto"/>
              </w:rPr>
            </w:pPr>
          </w:p>
        </w:tc>
        <w:tc>
          <w:tcPr>
            <w:tcW w:w="1200" w:type="dxa"/>
            <w:vAlign w:val="bottom"/>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b w:val="1"/>
                <w:bCs w:val="1"/>
                <w:color w:val="auto"/>
              </w:rPr>
              <w:t>% Change</w:t>
            </w:r>
          </w:p>
        </w:tc>
      </w:tr>
      <w:tr>
        <w:trPr>
          <w:trHeight w:val="174"/>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Reverse Mortgage Loans</w:t>
            </w: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92"/>
        </w:trPr>
        <w:tc>
          <w:tcPr>
            <w:tcW w:w="4500" w:type="dxa"/>
            <w:vAlign w:val="bottom"/>
          </w:tcPr>
          <w:p>
            <w:pPr>
              <w:ind w:left="100"/>
              <w:spacing w:after="0"/>
              <w:rPr>
                <w:sz w:val="20"/>
                <w:szCs w:val="20"/>
                <w:color w:val="auto"/>
              </w:rPr>
            </w:pPr>
            <w:r>
              <w:rPr>
                <w:rFonts w:ascii="Arial" w:cs="Arial" w:eastAsia="Arial" w:hAnsi="Arial"/>
                <w:sz w:val="15"/>
                <w:szCs w:val="15"/>
                <w:i w:val="1"/>
                <w:iCs w:val="1"/>
                <w:color w:val="auto"/>
              </w:rPr>
              <w:t>Unpaid principal balance (UPB) in millions: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45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Loans held for investment (1)</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6,341.2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6,326.1</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 %</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6,002.2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6 %</w:t>
            </w:r>
          </w:p>
        </w:tc>
      </w:tr>
      <w:tr>
        <w:trPr>
          <w:trHeight w:val="192"/>
        </w:trPr>
        <w:tc>
          <w:tcPr>
            <w:tcW w:w="4500" w:type="dxa"/>
            <w:vAlign w:val="bottom"/>
          </w:tcPr>
          <w:p>
            <w:pPr>
              <w:ind w:left="180"/>
              <w:spacing w:after="0"/>
              <w:rPr>
                <w:sz w:val="20"/>
                <w:szCs w:val="20"/>
                <w:color w:val="auto"/>
              </w:rPr>
            </w:pPr>
            <w:r>
              <w:rPr>
                <w:rFonts w:ascii="Arial" w:cs="Arial" w:eastAsia="Arial" w:hAnsi="Arial"/>
                <w:sz w:val="15"/>
                <w:szCs w:val="15"/>
                <w:color w:val="auto"/>
              </w:rPr>
              <w:t>Active Buyouts (2)</w:t>
            </w:r>
          </w:p>
        </w:tc>
        <w:tc>
          <w:tcPr>
            <w:tcW w:w="28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27.0</w:t>
            </w:r>
          </w:p>
        </w:tc>
        <w:tc>
          <w:tcPr>
            <w:tcW w:w="1060" w:type="dxa"/>
            <w:vAlign w:val="bottom"/>
            <w:gridSpan w:val="2"/>
          </w:tcPr>
          <w:p>
            <w:pPr>
              <w:jc w:val="right"/>
              <w:ind w:right="84"/>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29.8</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(18)%</w:t>
            </w:r>
          </w:p>
        </w:tc>
      </w:tr>
      <w:tr>
        <w:trPr>
          <w:trHeight w:val="193"/>
        </w:trPr>
        <w:tc>
          <w:tcPr>
            <w:tcW w:w="45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Inactive Buyouts (2)</w:t>
            </w: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81.0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75.9</w:t>
            </w:r>
          </w:p>
        </w:tc>
        <w:tc>
          <w:tcPr>
            <w:tcW w:w="106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85 %</w:t>
            </w:r>
          </w:p>
        </w:tc>
      </w:tr>
      <w:tr>
        <w:trPr>
          <w:trHeight w:val="185"/>
        </w:trPr>
        <w:tc>
          <w:tcPr>
            <w:tcW w:w="4500" w:type="dxa"/>
            <w:vAlign w:val="bottom"/>
          </w:tcPr>
          <w:p>
            <w:pPr>
              <w:ind w:left="380"/>
              <w:spacing w:after="0"/>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6,446.7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6,429.0</w:t>
            </w:r>
          </w:p>
        </w:tc>
        <w:tc>
          <w:tcPr>
            <w:tcW w:w="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6,075.9</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6 %</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78"/>
        </w:trPr>
        <w:tc>
          <w:tcPr>
            <w:tcW w:w="4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2"/>
        </w:trPr>
        <w:tc>
          <w:tcPr>
            <w:tcW w:w="4500" w:type="dxa"/>
            <w:vAlign w:val="bottom"/>
          </w:tcPr>
          <w:p>
            <w:pPr>
              <w:ind w:left="180"/>
              <w:spacing w:after="0"/>
              <w:rPr>
                <w:sz w:val="20"/>
                <w:szCs w:val="20"/>
                <w:color w:val="auto"/>
              </w:rPr>
            </w:pPr>
            <w:r>
              <w:rPr>
                <w:rFonts w:ascii="Arial" w:cs="Arial" w:eastAsia="Arial" w:hAnsi="Arial"/>
                <w:sz w:val="15"/>
                <w:szCs w:val="15"/>
                <w:i w:val="1"/>
                <w:iCs w:val="1"/>
                <w:color w:val="auto"/>
              </w:rPr>
              <w:t>Inactive buyouts % to total</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1.18 %</w:t>
            </w: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0.72 %</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74 %</w:t>
            </w:r>
          </w:p>
        </w:tc>
      </w:tr>
      <w:tr>
        <w:trPr>
          <w:trHeight w:val="228"/>
        </w:trPr>
        <w:tc>
          <w:tcPr>
            <w:tcW w:w="4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92"/>
        </w:trPr>
        <w:tc>
          <w:tcPr>
            <w:tcW w:w="4500" w:type="dxa"/>
            <w:vAlign w:val="bottom"/>
          </w:tcPr>
          <w:p>
            <w:pPr>
              <w:ind w:left="100"/>
              <w:spacing w:after="0"/>
              <w:rPr>
                <w:sz w:val="20"/>
                <w:szCs w:val="20"/>
                <w:color w:val="auto"/>
              </w:rPr>
            </w:pPr>
            <w:r>
              <w:rPr>
                <w:rFonts w:ascii="Arial" w:cs="Arial" w:eastAsia="Arial" w:hAnsi="Arial"/>
                <w:sz w:val="15"/>
                <w:szCs w:val="15"/>
                <w:i w:val="1"/>
                <w:iCs w:val="1"/>
                <w:color w:val="auto"/>
              </w:rPr>
              <w:t>Future draw commitments (UPB) in millions:</w:t>
            </w:r>
          </w:p>
        </w:tc>
        <w:tc>
          <w:tcPr>
            <w:tcW w:w="28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2,045.5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2,052.6</w:t>
            </w:r>
          </w:p>
        </w:tc>
        <w:tc>
          <w:tcPr>
            <w:tcW w:w="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1,597.0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28 %</w:t>
            </w:r>
          </w:p>
        </w:tc>
      </w:tr>
      <w:tr>
        <w:trPr>
          <w:trHeight w:val="216"/>
        </w:trPr>
        <w:tc>
          <w:tcPr>
            <w:tcW w:w="4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2"/>
        </w:trPr>
        <w:tc>
          <w:tcPr>
            <w:tcW w:w="4500" w:type="dxa"/>
            <w:vAlign w:val="bottom"/>
          </w:tcPr>
          <w:p>
            <w:pPr>
              <w:ind w:left="100"/>
              <w:spacing w:after="0"/>
              <w:rPr>
                <w:sz w:val="20"/>
                <w:szCs w:val="20"/>
                <w:color w:val="auto"/>
              </w:rPr>
            </w:pPr>
            <w:r>
              <w:rPr>
                <w:rFonts w:ascii="Arial" w:cs="Arial" w:eastAsia="Arial" w:hAnsi="Arial"/>
                <w:sz w:val="15"/>
                <w:szCs w:val="15"/>
                <w:i w:val="1"/>
                <w:iCs w:val="1"/>
                <w:color w:val="auto"/>
              </w:rPr>
              <w:t>Fair value in millions: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45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Loans held for investment (1)</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6,928.5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6,874.9</w:t>
            </w:r>
          </w:p>
        </w:tc>
        <w:tc>
          <w:tcPr>
            <w:tcW w:w="106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6,587.9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5 %</w:t>
            </w:r>
          </w:p>
        </w:tc>
      </w:tr>
      <w:tr>
        <w:trPr>
          <w:trHeight w:val="192"/>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HMBS related borrowings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6,823.9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6,778.2</w:t>
            </w:r>
          </w:p>
        </w:tc>
        <w:tc>
          <w:tcPr>
            <w:tcW w:w="106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6,477.6</w:t>
            </w:r>
          </w:p>
        </w:tc>
        <w:tc>
          <w:tcPr>
            <w:tcW w:w="108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5</w:t>
            </w:r>
          </w:p>
        </w:tc>
      </w:tr>
      <w:tr>
        <w:trPr>
          <w:trHeight w:val="21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Net asset value</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104.6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96.7</w:t>
            </w:r>
          </w:p>
        </w:tc>
        <w:tc>
          <w:tcPr>
            <w:tcW w:w="106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110.3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05" w:lineRule="exact"/>
        <w:rPr>
          <w:sz w:val="20"/>
          <w:szCs w:val="20"/>
          <w:color w:val="auto"/>
        </w:rPr>
      </w:pPr>
    </w:p>
    <w:p>
      <w:pPr>
        <w:ind w:left="269" w:hanging="269"/>
        <w:spacing w:after="0"/>
        <w:tabs>
          <w:tab w:leader="none" w:pos="269"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Securitized loans only; excludes unsecuritized loans as reported within the Originations segment.</w:t>
      </w:r>
    </w:p>
    <w:p>
      <w:pPr>
        <w:spacing w:after="0" w:line="9" w:lineRule="exact"/>
        <w:rPr>
          <w:rFonts w:ascii="Arial" w:cs="Arial" w:eastAsia="Arial" w:hAnsi="Arial"/>
          <w:sz w:val="14"/>
          <w:szCs w:val="14"/>
          <w:color w:val="auto"/>
        </w:rPr>
      </w:pPr>
    </w:p>
    <w:p>
      <w:pPr>
        <w:ind w:left="269" w:hanging="269"/>
        <w:spacing w:after="0"/>
        <w:tabs>
          <w:tab w:leader="none" w:pos="269" w:val="left"/>
        </w:tabs>
        <w:numPr>
          <w:ilvl w:val="0"/>
          <w:numId w:val="41"/>
        </w:numPr>
        <w:rPr>
          <w:rFonts w:ascii="Arial" w:cs="Arial" w:eastAsia="Arial" w:hAnsi="Arial"/>
          <w:sz w:val="14"/>
          <w:szCs w:val="14"/>
          <w:color w:val="auto"/>
        </w:rPr>
      </w:pPr>
      <w:r>
        <w:rPr>
          <w:rFonts w:ascii="Arial" w:cs="Arial" w:eastAsia="Arial" w:hAnsi="Arial"/>
          <w:sz w:val="14"/>
          <w:szCs w:val="14"/>
          <w:color w:val="auto"/>
        </w:rPr>
        <w:t>Buyouts are reported as Loans held for sale, Accounts Receivable or REO depending on the loan and foreclosure status.</w:t>
      </w:r>
    </w:p>
    <w:p>
      <w:pPr>
        <w:spacing w:after="0" w:line="74" w:lineRule="exact"/>
        <w:rPr>
          <w:rFonts w:ascii="Arial" w:cs="Arial" w:eastAsia="Arial" w:hAnsi="Arial"/>
          <w:sz w:val="14"/>
          <w:szCs w:val="14"/>
          <w:color w:val="auto"/>
        </w:rPr>
      </w:pPr>
    </w:p>
    <w:p>
      <w:pPr>
        <w:ind w:left="269"/>
        <w:spacing w:after="0"/>
        <w:rPr>
          <w:rFonts w:ascii="Arial" w:cs="Arial" w:eastAsia="Arial" w:hAnsi="Arial"/>
          <w:sz w:val="14"/>
          <w:szCs w:val="14"/>
          <w:color w:val="auto"/>
        </w:rPr>
      </w:pPr>
      <w:r>
        <w:rPr>
          <w:rFonts w:ascii="Arial" w:cs="Arial" w:eastAsia="Arial" w:hAnsi="Arial"/>
          <w:sz w:val="15"/>
          <w:szCs w:val="15"/>
          <w:color w:val="auto"/>
        </w:rPr>
        <w:t>The following table provides a breakdown of our servicer advances:</w:t>
      </w:r>
    </w:p>
    <w:p>
      <w:pPr>
        <w:spacing w:after="0" w:line="119"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620"/>
              <w:spacing w:after="0"/>
              <w:rPr>
                <w:sz w:val="20"/>
                <w:szCs w:val="20"/>
                <w:color w:val="auto"/>
              </w:rPr>
            </w:pPr>
            <w:r>
              <w:rPr>
                <w:rFonts w:ascii="Arial" w:cs="Arial" w:eastAsia="Arial" w:hAnsi="Arial"/>
                <w:sz w:val="15"/>
                <w:szCs w:val="15"/>
                <w:b w:val="1"/>
                <w:bCs w:val="1"/>
                <w:color w:val="auto"/>
              </w:rPr>
              <w:t>June 30, 2021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5"/>
                <w:szCs w:val="15"/>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Principal and</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Taxes and</w:t>
            </w: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2"/>
              </w:rPr>
              <w:t>Foreclosures,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Principal and</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Taxes and</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4"/>
              </w:rPr>
              <w:t>Foreclosures,</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80" w:type="dxa"/>
            <w:vAlign w:val="bottom"/>
            <w:vMerge w:val="restart"/>
          </w:tcPr>
          <w:p>
            <w:pPr>
              <w:spacing w:after="0"/>
              <w:rPr>
                <w:sz w:val="20"/>
                <w:szCs w:val="20"/>
                <w:color w:val="auto"/>
              </w:rPr>
            </w:pPr>
            <w:r>
              <w:rPr>
                <w:rFonts w:ascii="Arial" w:cs="Arial" w:eastAsia="Arial" w:hAnsi="Arial"/>
                <w:sz w:val="15"/>
                <w:szCs w:val="15"/>
                <w:b w:val="1"/>
                <w:bCs w:val="1"/>
                <w:color w:val="auto"/>
              </w:rPr>
              <w:t>Advances by investor type</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6" w:lineRule="exact"/>
              <w:rPr>
                <w:sz w:val="20"/>
                <w:szCs w:val="20"/>
                <w:color w:val="auto"/>
              </w:rPr>
            </w:pPr>
            <w:r>
              <w:rPr>
                <w:rFonts w:ascii="Arial" w:cs="Arial" w:eastAsia="Arial" w:hAnsi="Arial"/>
                <w:sz w:val="14"/>
                <w:szCs w:val="14"/>
                <w:b w:val="1"/>
                <w:bCs w:val="1"/>
                <w:color w:val="auto"/>
                <w:w w:val="91"/>
              </w:rPr>
              <w:t>bankruptcy, REO</w:t>
            </w: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00"/>
              <w:spacing w:after="0" w:line="136" w:lineRule="exact"/>
              <w:rPr>
                <w:sz w:val="20"/>
                <w:szCs w:val="20"/>
                <w:color w:val="auto"/>
              </w:rPr>
            </w:pPr>
            <w:r>
              <w:rPr>
                <w:rFonts w:ascii="Arial" w:cs="Arial" w:eastAsia="Arial" w:hAnsi="Arial"/>
                <w:sz w:val="14"/>
                <w:szCs w:val="14"/>
                <w:b w:val="1"/>
                <w:bCs w:val="1"/>
                <w:color w:val="auto"/>
                <w:w w:val="91"/>
              </w:rPr>
              <w:t>bankruptcy, REO</w:t>
            </w:r>
          </w:p>
        </w:tc>
        <w:tc>
          <w:tcPr>
            <w:tcW w:w="220" w:type="dxa"/>
            <w:vAlign w:val="bottom"/>
          </w:tcPr>
          <w:p>
            <w:pPr>
              <w:spacing w:after="0"/>
              <w:rPr>
                <w:sz w:val="11"/>
                <w:szCs w:val="11"/>
                <w:color w:val="auto"/>
              </w:rPr>
            </w:pPr>
          </w:p>
        </w:tc>
        <w:tc>
          <w:tcPr>
            <w:tcW w:w="800" w:type="dxa"/>
            <w:vAlign w:val="bottom"/>
            <w:vMerge w:val="restart"/>
          </w:tcPr>
          <w:p>
            <w:pPr>
              <w:jc w:val="right"/>
              <w:ind w:right="28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Insurance</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and other</w:t>
            </w:r>
          </w:p>
        </w:tc>
        <w:tc>
          <w:tcPr>
            <w:tcW w:w="2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Insurance</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and other</w:t>
            </w: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Conventional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92"/>
        </w:trPr>
        <w:tc>
          <w:tcPr>
            <w:tcW w:w="1980" w:type="dxa"/>
            <w:vAlign w:val="bottom"/>
          </w:tcPr>
          <w:p>
            <w:pPr>
              <w:spacing w:after="0"/>
              <w:rPr>
                <w:sz w:val="20"/>
                <w:szCs w:val="20"/>
                <w:color w:val="auto"/>
              </w:rPr>
            </w:pPr>
            <w:r>
              <w:rPr>
                <w:rFonts w:ascii="Arial" w:cs="Arial" w:eastAsia="Arial" w:hAnsi="Arial"/>
                <w:sz w:val="15"/>
                <w:szCs w:val="15"/>
                <w:color w:val="auto"/>
              </w:rPr>
              <w:t>Government-insured</w:t>
            </w:r>
          </w:p>
        </w:tc>
        <w:tc>
          <w:tcPr>
            <w:tcW w:w="100" w:type="dxa"/>
            <w:vAlign w:val="bottom"/>
          </w:tcPr>
          <w:p>
            <w:pPr>
              <w:spacing w:after="0"/>
              <w:rPr>
                <w:sz w:val="16"/>
                <w:szCs w:val="16"/>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5"/>
                <w:szCs w:val="15"/>
                <w:color w:val="auto"/>
              </w:rPr>
              <w:t>Non-Agency</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246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262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653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185"/>
        </w:trPr>
        <w:tc>
          <w:tcPr>
            <w:tcW w:w="1980" w:type="dxa"/>
            <w:vAlign w:val="bottom"/>
          </w:tcPr>
          <w:p>
            <w:pPr>
              <w:ind w:left="100"/>
              <w:spacing w:after="0"/>
              <w:rPr>
                <w:sz w:val="20"/>
                <w:szCs w:val="20"/>
                <w:color w:val="auto"/>
              </w:rPr>
            </w:pPr>
            <w:r>
              <w:rPr>
                <w:rFonts w:ascii="Arial" w:cs="Arial" w:eastAsia="Arial" w:hAnsi="Arial"/>
                <w:sz w:val="15"/>
                <w:szCs w:val="15"/>
                <w:color w:val="auto"/>
              </w:rPr>
              <w:t>Total,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339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762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828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778" w:right="319" w:bottom="1440" w:gutter="0" w:footer="0" w:header="0"/>
        </w:sectPr>
      </w:pPr>
    </w:p>
    <w:bookmarkStart w:id="74" w:name="page75"/>
    <w:bookmarkEnd w:id="74"/>
    <w:p>
      <w:pPr>
        <w:ind w:left="269"/>
        <w:spacing w:after="0"/>
        <w:rPr>
          <w:sz w:val="20"/>
          <w:szCs w:val="20"/>
          <w:color w:val="auto"/>
        </w:rPr>
      </w:pPr>
      <w:r>
        <w:rPr>
          <w:rFonts w:ascii="Arial" w:cs="Arial" w:eastAsia="Arial" w:hAnsi="Arial"/>
          <w:sz w:val="15"/>
          <w:szCs w:val="15"/>
          <w:color w:val="auto"/>
        </w:rPr>
        <w:t>The following table provides information regarding the changes in our portfolio of residential assets serviced or subserviced:</w:t>
      </w:r>
    </w:p>
    <w:p>
      <w:pPr>
        <w:spacing w:after="0" w:line="119"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1840" w:type="dxa"/>
            <w:vAlign w:val="bottom"/>
            <w:gridSpan w:val="4"/>
          </w:tcPr>
          <w:p>
            <w:pPr>
              <w:jc w:val="right"/>
              <w:spacing w:after="0"/>
              <w:rPr>
                <w:sz w:val="20"/>
                <w:szCs w:val="20"/>
                <w:color w:val="auto"/>
              </w:rPr>
            </w:pPr>
            <w:r>
              <w:rPr>
                <w:rFonts w:ascii="Arial" w:cs="Arial" w:eastAsia="Arial" w:hAnsi="Arial"/>
                <w:sz w:val="15"/>
                <w:szCs w:val="15"/>
                <w:b w:val="1"/>
                <w:bCs w:val="1"/>
                <w:color w:val="auto"/>
              </w:rPr>
              <w:t>Amount of UPB (</w:t>
            </w:r>
            <w:r>
              <w:rPr>
                <w:rFonts w:ascii="Arial" w:cs="Arial" w:eastAsia="Arial" w:hAnsi="Arial"/>
                <w:sz w:val="15"/>
                <w:szCs w:val="15"/>
                <w:b w:val="1"/>
                <w:bCs w:val="1"/>
                <w:i w:val="1"/>
                <w:iCs w:val="1"/>
                <w:color w:val="auto"/>
              </w:rPr>
              <w:t>$</w:t>
            </w:r>
          </w:p>
        </w:tc>
        <w:tc>
          <w:tcPr>
            <w:tcW w:w="142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in billions)</w:t>
            </w:r>
          </w:p>
        </w:tc>
        <w:tc>
          <w:tcPr>
            <w:tcW w:w="2140" w:type="dxa"/>
            <w:vAlign w:val="bottom"/>
            <w:gridSpan w:val="3"/>
          </w:tcPr>
          <w:p>
            <w:pPr>
              <w:ind w:left="1160"/>
              <w:spacing w:after="0"/>
              <w:rPr>
                <w:sz w:val="20"/>
                <w:szCs w:val="20"/>
                <w:color w:val="auto"/>
              </w:rPr>
            </w:pPr>
            <w:r>
              <w:rPr>
                <w:rFonts w:ascii="Arial" w:cs="Arial" w:eastAsia="Arial" w:hAnsi="Arial"/>
                <w:sz w:val="15"/>
                <w:szCs w:val="15"/>
                <w:b w:val="1"/>
                <w:bCs w:val="1"/>
                <w:color w:val="auto"/>
              </w:rPr>
              <w:t>Count (000’s)</w:t>
            </w:r>
          </w:p>
        </w:tc>
        <w:tc>
          <w:tcPr>
            <w:tcW w:w="1020" w:type="dxa"/>
            <w:vAlign w:val="bottom"/>
          </w:tcPr>
          <w:p>
            <w:pPr>
              <w:spacing w:after="0"/>
              <w:rPr>
                <w:sz w:val="16"/>
                <w:szCs w:val="16"/>
                <w:color w:val="auto"/>
              </w:rPr>
            </w:pPr>
          </w:p>
        </w:tc>
      </w:tr>
      <w:tr>
        <w:trPr>
          <w:trHeight w:val="185"/>
        </w:trPr>
        <w:tc>
          <w:tcPr>
            <w:tcW w:w="476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r>
      <w:tr>
        <w:trPr>
          <w:trHeight w:val="184"/>
        </w:trPr>
        <w:tc>
          <w:tcPr>
            <w:tcW w:w="4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Portfolio at January 1</w:t>
            </w:r>
          </w:p>
        </w:tc>
        <w:tc>
          <w:tcPr>
            <w:tcW w:w="102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1,419.9</w:t>
            </w:r>
          </w:p>
        </w:tc>
      </w:tr>
      <w:tr>
        <w:trPr>
          <w:trHeight w:val="192"/>
        </w:trPr>
        <w:tc>
          <w:tcPr>
            <w:tcW w:w="4760" w:type="dxa"/>
            <w:vAlign w:val="bottom"/>
          </w:tcPr>
          <w:p>
            <w:pPr>
              <w:ind w:left="100"/>
              <w:spacing w:after="0"/>
              <w:rPr>
                <w:sz w:val="20"/>
                <w:szCs w:val="20"/>
                <w:color w:val="auto"/>
              </w:rPr>
            </w:pPr>
            <w:r>
              <w:rPr>
                <w:rFonts w:ascii="Arial" w:cs="Arial" w:eastAsia="Arial" w:hAnsi="Arial"/>
                <w:sz w:val="15"/>
                <w:szCs w:val="15"/>
                <w:color w:val="auto"/>
              </w:rPr>
              <w:t>Additions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28.8</w:t>
            </w:r>
          </w:p>
        </w:tc>
      </w:tr>
      <w:tr>
        <w:trPr>
          <w:trHeight w:val="194"/>
        </w:trPr>
        <w:tc>
          <w:tcPr>
            <w:tcW w:w="4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Sales</w:t>
            </w:r>
          </w:p>
        </w:tc>
        <w:tc>
          <w:tcPr>
            <w:tcW w:w="10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192"/>
        </w:trPr>
        <w:tc>
          <w:tcPr>
            <w:tcW w:w="4760" w:type="dxa"/>
            <w:vAlign w:val="bottom"/>
          </w:tcPr>
          <w:p>
            <w:pPr>
              <w:ind w:left="100"/>
              <w:spacing w:after="0"/>
              <w:rPr>
                <w:sz w:val="20"/>
                <w:szCs w:val="20"/>
                <w:color w:val="auto"/>
              </w:rPr>
            </w:pPr>
            <w:r>
              <w:rPr>
                <w:rFonts w:ascii="Arial" w:cs="Arial" w:eastAsia="Arial" w:hAnsi="Arial"/>
                <w:sz w:val="15"/>
                <w:szCs w:val="15"/>
                <w:color w:val="auto"/>
              </w:rPr>
              <w:t>Servicing transfers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94"/>
        </w:trPr>
        <w:tc>
          <w:tcPr>
            <w:tcW w:w="4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Runoff</w:t>
            </w:r>
          </w:p>
        </w:tc>
        <w:tc>
          <w:tcPr>
            <w:tcW w:w="10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w:t>
            </w:r>
          </w:p>
        </w:tc>
      </w:tr>
      <w:tr>
        <w:trPr>
          <w:trHeight w:val="184"/>
        </w:trPr>
        <w:tc>
          <w:tcPr>
            <w:tcW w:w="4760" w:type="dxa"/>
            <w:vAlign w:val="bottom"/>
          </w:tcPr>
          <w:p>
            <w:pPr>
              <w:spacing w:after="0"/>
              <w:rPr>
                <w:sz w:val="20"/>
                <w:szCs w:val="20"/>
                <w:color w:val="auto"/>
              </w:rPr>
            </w:pPr>
            <w:r>
              <w:rPr>
                <w:rFonts w:ascii="Arial" w:cs="Arial" w:eastAsia="Arial" w:hAnsi="Arial"/>
                <w:sz w:val="15"/>
                <w:szCs w:val="15"/>
                <w:b w:val="1"/>
                <w:bCs w:val="1"/>
                <w:color w:val="auto"/>
              </w:rPr>
              <w:t>Portfolio at March 31</w:t>
            </w:r>
          </w:p>
        </w:tc>
        <w:tc>
          <w:tcPr>
            <w:tcW w:w="1020" w:type="dxa"/>
            <w:vAlign w:val="bottom"/>
          </w:tcPr>
          <w:p>
            <w:pPr>
              <w:jc w:val="right"/>
              <w:ind w:right="86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179.4</w:t>
            </w:r>
          </w:p>
        </w:tc>
        <w:tc>
          <w:tcPr>
            <w:tcW w:w="100" w:type="dxa"/>
            <w:vAlign w:val="bottom"/>
          </w:tcPr>
          <w:p>
            <w:pPr>
              <w:spacing w:after="0"/>
              <w:rPr>
                <w:sz w:val="15"/>
                <w:szCs w:val="15"/>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208.8</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1,063.2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1,396.3</w:t>
            </w:r>
          </w:p>
        </w:tc>
      </w:tr>
      <w:tr>
        <w:trPr>
          <w:trHeight w:val="194"/>
        </w:trPr>
        <w:tc>
          <w:tcPr>
            <w:tcW w:w="4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Additions (1)</w:t>
            </w: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r>
      <w:tr>
        <w:trPr>
          <w:trHeight w:val="192"/>
        </w:trPr>
        <w:tc>
          <w:tcPr>
            <w:tcW w:w="4760" w:type="dxa"/>
            <w:vAlign w:val="bottom"/>
          </w:tcPr>
          <w:p>
            <w:pPr>
              <w:ind w:left="100"/>
              <w:spacing w:after="0"/>
              <w:rPr>
                <w:sz w:val="20"/>
                <w:szCs w:val="20"/>
                <w:color w:val="auto"/>
              </w:rPr>
            </w:pPr>
            <w:r>
              <w:rPr>
                <w:rFonts w:ascii="Arial" w:cs="Arial" w:eastAsia="Arial" w:hAnsi="Arial"/>
                <w:sz w:val="15"/>
                <w:szCs w:val="15"/>
                <w:color w:val="auto"/>
              </w:rPr>
              <w:t>Sales</w:t>
            </w:r>
          </w:p>
        </w:tc>
        <w:tc>
          <w:tcPr>
            <w:tcW w:w="10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214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194"/>
        </w:trPr>
        <w:tc>
          <w:tcPr>
            <w:tcW w:w="4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transfers (2)</w:t>
            </w:r>
          </w:p>
        </w:tc>
        <w:tc>
          <w:tcPr>
            <w:tcW w:w="10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192"/>
        </w:trPr>
        <w:tc>
          <w:tcPr>
            <w:tcW w:w="47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Runoff</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w:t>
            </w:r>
          </w:p>
        </w:tc>
      </w:tr>
      <w:tr>
        <w:trPr>
          <w:trHeight w:val="21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Portfolio at June 30</w:t>
            </w:r>
          </w:p>
        </w:tc>
        <w:tc>
          <w:tcPr>
            <w:tcW w:w="102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206.1</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1,367.3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269" w:right="220" w:hanging="269"/>
        <w:spacing w:after="0" w:line="242" w:lineRule="auto"/>
        <w:tabs>
          <w:tab w:leader="none" w:pos="269" w:val="left"/>
        </w:tabs>
        <w:numPr>
          <w:ilvl w:val="0"/>
          <w:numId w:val="42"/>
        </w:numPr>
        <w:rPr>
          <w:rFonts w:ascii="Arial" w:cs="Arial" w:eastAsia="Arial" w:hAnsi="Arial"/>
          <w:sz w:val="14"/>
          <w:szCs w:val="14"/>
          <w:color w:val="auto"/>
        </w:rPr>
      </w:pPr>
      <w:r>
        <w:rPr>
          <w:rFonts w:ascii="Arial" w:cs="Arial" w:eastAsia="Arial" w:hAnsi="Arial"/>
          <w:sz w:val="14"/>
          <w:szCs w:val="14"/>
          <w:color w:val="auto"/>
        </w:rPr>
        <w:t>Additions include purchased MSRs on portfolios consisting of 199,233 loans with a UPB of $52.9 billion that have not yet transferred to the Black Knight MSP servicing system as of June 30, 2021. Because we have legal title to the MSRs, the UPB and count of the loans are included in our reported servicing portfolio. The seller continues to subservice the loans on an interim basis until the servicing transfer date.</w:t>
      </w:r>
    </w:p>
    <w:p>
      <w:pPr>
        <w:spacing w:after="0" w:line="1" w:lineRule="exact"/>
        <w:rPr>
          <w:rFonts w:ascii="Arial" w:cs="Arial" w:eastAsia="Arial" w:hAnsi="Arial"/>
          <w:sz w:val="14"/>
          <w:szCs w:val="14"/>
          <w:color w:val="auto"/>
        </w:rPr>
      </w:pPr>
    </w:p>
    <w:p>
      <w:pPr>
        <w:ind w:left="269" w:right="340" w:hanging="269"/>
        <w:spacing w:after="0" w:line="238" w:lineRule="auto"/>
        <w:tabs>
          <w:tab w:leader="none" w:pos="326"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Excludes the volume UPB associated with short-term interim subservicing for some clients as a support to their originate-to-sell business, where loans are boarded and deboarded within the same quarter.</w:t>
      </w:r>
    </w:p>
    <w:p>
      <w:pPr>
        <w:spacing w:after="0" w:line="275"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3220" w:type="dxa"/>
            <w:vAlign w:val="bottom"/>
          </w:tcPr>
          <w:p>
            <w:pPr>
              <w:spacing w:after="0"/>
              <w:rPr>
                <w:sz w:val="20"/>
                <w:szCs w:val="20"/>
                <w:color w:val="auto"/>
              </w:rPr>
            </w:pPr>
            <w:r>
              <w:rPr>
                <w:rFonts w:ascii="Arial" w:cs="Arial" w:eastAsia="Arial" w:hAnsi="Arial"/>
                <w:sz w:val="15"/>
                <w:szCs w:val="15"/>
                <w:b w:val="1"/>
                <w:bCs w:val="1"/>
                <w:color w:val="auto"/>
              </w:rPr>
              <w:t>Servicing and Subservicing Fees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68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3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60" w:type="dxa"/>
            <w:vAlign w:val="bottom"/>
          </w:tcPr>
          <w:p>
            <w:pPr>
              <w:spacing w:after="0"/>
              <w:rPr>
                <w:sz w:val="16"/>
                <w:szCs w:val="16"/>
                <w:color w:val="auto"/>
              </w:rPr>
            </w:pPr>
          </w:p>
        </w:tc>
        <w:tc>
          <w:tcPr>
            <w:tcW w:w="1120" w:type="dxa"/>
            <w:vAlign w:val="bottom"/>
          </w:tcPr>
          <w:p>
            <w:pPr>
              <w:jc w:val="right"/>
              <w:ind w:right="344"/>
              <w:spacing w:after="0"/>
              <w:rPr>
                <w:sz w:val="20"/>
                <w:szCs w:val="20"/>
                <w:color w:val="auto"/>
              </w:rPr>
            </w:pPr>
            <w:r>
              <w:rPr>
                <w:rFonts w:ascii="Arial" w:cs="Arial" w:eastAsia="Arial" w:hAnsi="Arial"/>
                <w:sz w:val="15"/>
                <w:szCs w:val="15"/>
                <w:b w:val="1"/>
                <w:bCs w:val="1"/>
                <w:color w:val="auto"/>
              </w:rPr>
              <w:t>June 30,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b w:val="1"/>
                <w:bCs w:val="1"/>
                <w:color w:val="auto"/>
              </w:rPr>
              <w:t>2021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260" w:type="dxa"/>
            <w:vAlign w:val="bottom"/>
          </w:tcPr>
          <w:p>
            <w:pPr>
              <w:spacing w:after="0"/>
              <w:rPr>
                <w:sz w:val="18"/>
                <w:szCs w:val="18"/>
                <w:color w:val="auto"/>
              </w:rPr>
            </w:pPr>
          </w:p>
        </w:tc>
        <w:tc>
          <w:tcPr>
            <w:tcW w:w="1140" w:type="dxa"/>
            <w:vAlign w:val="bottom"/>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8"/>
                <w:szCs w:val="18"/>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 Change</w:t>
            </w:r>
          </w:p>
        </w:tc>
      </w:tr>
      <w:tr>
        <w:trPr>
          <w:trHeight w:val="174"/>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Loan servicing and subservicing fees:</w:t>
            </w:r>
          </w:p>
        </w:tc>
        <w:tc>
          <w:tcPr>
            <w:tcW w:w="9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92"/>
        </w:trPr>
        <w:tc>
          <w:tcPr>
            <w:tcW w:w="3220" w:type="dxa"/>
            <w:vAlign w:val="bottom"/>
          </w:tcPr>
          <w:p>
            <w:pPr>
              <w:ind w:left="80"/>
              <w:spacing w:after="0"/>
              <w:rPr>
                <w:sz w:val="20"/>
                <w:szCs w:val="20"/>
                <w:color w:val="auto"/>
              </w:rPr>
            </w:pPr>
            <w:r>
              <w:rPr>
                <w:rFonts w:ascii="Arial" w:cs="Arial" w:eastAsia="Arial" w:hAnsi="Arial"/>
                <w:sz w:val="15"/>
                <w:szCs w:val="15"/>
                <w:color w:val="auto"/>
              </w:rPr>
              <w:t>Servicing</w:t>
            </w:r>
          </w:p>
        </w:tc>
        <w:tc>
          <w:tcPr>
            <w:tcW w:w="980" w:type="dxa"/>
            <w:vAlign w:val="bottom"/>
          </w:tcPr>
          <w:p>
            <w:pPr>
              <w:jc w:val="right"/>
              <w:ind w:right="804"/>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79.4</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63.9</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143.3</w:t>
            </w:r>
          </w:p>
        </w:tc>
        <w:tc>
          <w:tcPr>
            <w:tcW w:w="1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107.7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33 %</w:t>
            </w:r>
          </w:p>
        </w:tc>
      </w:tr>
      <w:tr>
        <w:trPr>
          <w:trHeight w:val="194"/>
        </w:trPr>
        <w:tc>
          <w:tcPr>
            <w:tcW w:w="3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Subservicing</w:t>
            </w: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8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(61)</w:t>
            </w:r>
          </w:p>
        </w:tc>
      </w:tr>
      <w:tr>
        <w:trPr>
          <w:trHeight w:val="192"/>
        </w:trPr>
        <w:tc>
          <w:tcPr>
            <w:tcW w:w="322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NRZ</w:t>
            </w: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80.4</w:t>
            </w:r>
          </w:p>
        </w:tc>
        <w:tc>
          <w:tcPr>
            <w:tcW w:w="1080" w:type="dxa"/>
            <w:vAlign w:val="bottom"/>
            <w:tcBorders>
              <w:bottom w:val="single" w:sz="8" w:color="CCEEFF"/>
            </w:tcBorders>
            <w:gridSpan w:val="2"/>
          </w:tcPr>
          <w:p>
            <w:pPr>
              <w:jc w:val="right"/>
              <w:ind w:right="64"/>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208.1</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(24)</w:t>
            </w:r>
          </w:p>
        </w:tc>
      </w:tr>
      <w:tr>
        <w:trPr>
          <w:trHeight w:val="185"/>
        </w:trPr>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Servicing and subservicing fees</w:t>
            </w: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159.7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147.8</w:t>
            </w:r>
          </w:p>
        </w:tc>
        <w:tc>
          <w:tcPr>
            <w:tcW w:w="108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331.6</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(7)</w:t>
            </w:r>
          </w:p>
        </w:tc>
      </w:tr>
      <w:tr>
        <w:trPr>
          <w:trHeight w:val="192"/>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Ancillary income</w:t>
            </w: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w:t>
            </w:r>
          </w:p>
        </w:tc>
        <w:tc>
          <w:tcPr>
            <w:tcW w:w="108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(20)</w:t>
            </w:r>
          </w:p>
        </w:tc>
      </w:tr>
      <w:tr>
        <w:trPr>
          <w:trHeight w:val="210"/>
        </w:trPr>
        <w:tc>
          <w:tcPr>
            <w:tcW w:w="3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182.1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169.4</w:t>
            </w:r>
          </w:p>
        </w:tc>
        <w:tc>
          <w:tcPr>
            <w:tcW w:w="108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16" w:lineRule="exact"/>
        <w:rPr>
          <w:sz w:val="20"/>
          <w:szCs w:val="20"/>
          <w:color w:val="auto"/>
        </w:rPr>
      </w:pPr>
    </w:p>
    <w:p>
      <w:pPr>
        <w:ind w:left="9" w:right="20" w:firstLine="272"/>
        <w:spacing w:after="0" w:line="261" w:lineRule="auto"/>
        <w:rPr>
          <w:sz w:val="20"/>
          <w:szCs w:val="20"/>
          <w:color w:val="auto"/>
        </w:rPr>
      </w:pPr>
      <w:r>
        <w:rPr>
          <w:rFonts w:ascii="Arial" w:cs="Arial" w:eastAsia="Arial" w:hAnsi="Arial"/>
          <w:sz w:val="15"/>
          <w:szCs w:val="15"/>
          <w:color w:val="auto"/>
        </w:rPr>
        <w:t>We reported $182.1 million total servicing and subservicing fees in the second quarter of 2021, a $12.8 million, or 7% increase as compared to the first quarter of 2021. Our fee income increase is primarily due to a $15.5 million, or 24% increase in servicing fees on our owned MSRs driven by a 19% increase in our average UPB serviced. The increase in our UPB serviced is largely driven by our bulk acquisitions on June 1, 2021. Partially offsetting this increase, fees collected on behalf of NRZ declined by $2.7 million due to a 4% decline in average UPB.</w:t>
      </w:r>
    </w:p>
    <w:p>
      <w:pPr>
        <w:spacing w:after="0" w:line="67" w:lineRule="exact"/>
        <w:rPr>
          <w:sz w:val="20"/>
          <w:szCs w:val="20"/>
          <w:color w:val="auto"/>
        </w:rPr>
      </w:pPr>
    </w:p>
    <w:p>
      <w:pPr>
        <w:ind w:left="9" w:right="40" w:firstLine="272"/>
        <w:spacing w:after="0" w:line="285" w:lineRule="auto"/>
        <w:rPr>
          <w:sz w:val="20"/>
          <w:szCs w:val="20"/>
          <w:color w:val="auto"/>
        </w:rPr>
      </w:pPr>
      <w:r>
        <w:rPr>
          <w:rFonts w:ascii="Arial" w:cs="Arial" w:eastAsia="Arial" w:hAnsi="Arial"/>
          <w:sz w:val="14"/>
          <w:szCs w:val="14"/>
          <w:color w:val="auto"/>
        </w:rPr>
        <w:t>The $35.2 million, or 9% decline in total servicing and subservicing fees in the six months ended June 30, 2021 as compared to the six months ended June 30, 2020 is primarily driven by the reduction in fees collected on behalf of NRZ due to portfolio runoff and the PMC servicing termination, the reduction in ancillary income due to the COVID-19 environment and lower interest rates, partially offset by the increase in our owned MSR servicing fee income. The $35.6 million, or 33% increase in servicing fees on our owned MSR as compared to the six months ended June 30, 2020 is due to a 43% increase of our average volume serviced, driven by bulk acquisitions.</w:t>
      </w:r>
    </w:p>
    <w:p>
      <w:pPr>
        <w:spacing w:after="0" w:line="200" w:lineRule="exact"/>
        <w:rPr>
          <w:sz w:val="20"/>
          <w:szCs w:val="20"/>
          <w:color w:val="auto"/>
        </w:rPr>
      </w:pPr>
    </w:p>
    <w:p>
      <w:pPr>
        <w:spacing w:after="0" w:line="31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75" w:name="page76"/>
    <w:bookmarkEnd w:id="75"/>
    <w:p>
      <w:pPr>
        <w:ind w:left="269"/>
        <w:spacing w:after="0"/>
        <w:rPr>
          <w:sz w:val="20"/>
          <w:szCs w:val="20"/>
          <w:color w:val="auto"/>
        </w:rPr>
      </w:pPr>
      <w:r>
        <w:rPr>
          <w:rFonts w:ascii="Arial" w:cs="Arial" w:eastAsia="Arial" w:hAnsi="Arial"/>
          <w:sz w:val="15"/>
          <w:szCs w:val="15"/>
          <w:color w:val="auto"/>
        </w:rPr>
        <w:t>The following table below presents the respective drivers of residential loan servicing (owned MSR) and subservicing fees.</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16"/>
                <w:szCs w:val="16"/>
                <w:color w:val="auto"/>
              </w:rPr>
            </w:pPr>
          </w:p>
        </w:tc>
        <w:tc>
          <w:tcPr>
            <w:tcW w:w="116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244"/>
              <w:spacing w:after="0"/>
              <w:rPr>
                <w:sz w:val="20"/>
                <w:szCs w:val="20"/>
                <w:color w:val="auto"/>
              </w:rPr>
            </w:pPr>
            <w:r>
              <w:rPr>
                <w:rFonts w:ascii="Arial" w:cs="Arial" w:eastAsia="Arial" w:hAnsi="Arial"/>
                <w:sz w:val="15"/>
                <w:szCs w:val="15"/>
                <w:b w:val="1"/>
                <w:bCs w:val="1"/>
                <w:color w:val="auto"/>
              </w:rPr>
              <w:t>June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320" w:type="dxa"/>
            <w:vAlign w:val="bottom"/>
          </w:tcPr>
          <w:p>
            <w:pPr>
              <w:spacing w:after="0"/>
              <w:rPr>
                <w:sz w:val="18"/>
                <w:szCs w:val="18"/>
                <w:color w:val="auto"/>
              </w:rPr>
            </w:pPr>
          </w:p>
        </w:tc>
        <w:tc>
          <w:tcPr>
            <w:tcW w:w="1080" w:type="dxa"/>
            <w:vAlign w:val="bottom"/>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464"/>
              <w:spacing w:after="0"/>
              <w:rPr>
                <w:sz w:val="20"/>
                <w:szCs w:val="20"/>
                <w:color w:val="auto"/>
              </w:rPr>
            </w:pPr>
            <w:r>
              <w:rPr>
                <w:rFonts w:ascii="Arial" w:cs="Arial" w:eastAsia="Arial" w:hAnsi="Arial"/>
                <w:sz w:val="15"/>
                <w:szCs w:val="15"/>
                <w:b w:val="1"/>
                <w:bCs w:val="1"/>
                <w:color w:val="auto"/>
                <w:w w:val="83"/>
              </w:rPr>
              <w:t>2020</w:t>
            </w:r>
          </w:p>
        </w:tc>
        <w:tc>
          <w:tcPr>
            <w:tcW w:w="120" w:type="dxa"/>
            <w:vAlign w:val="bottom"/>
          </w:tcPr>
          <w:p>
            <w:pPr>
              <w:spacing w:after="0"/>
              <w:rPr>
                <w:sz w:val="18"/>
                <w:szCs w:val="18"/>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74"/>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Servicing and subservicing fee</w:t>
            </w: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80"/>
              <w:spacing w:after="0"/>
              <w:rPr>
                <w:sz w:val="20"/>
                <w:szCs w:val="20"/>
                <w:color w:val="auto"/>
              </w:rPr>
            </w:pPr>
            <w:r>
              <w:rPr>
                <w:rFonts w:ascii="Arial" w:cs="Arial" w:eastAsia="Arial" w:hAnsi="Arial"/>
                <w:sz w:val="15"/>
                <w:szCs w:val="15"/>
                <w:color w:val="auto"/>
              </w:rPr>
              <w:t>Servicing fee</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63.9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143.3</w:t>
            </w:r>
          </w:p>
        </w:tc>
        <w:tc>
          <w:tcPr>
            <w:tcW w:w="100" w:type="dxa"/>
            <w:vAlign w:val="bottom"/>
          </w:tcPr>
          <w:p>
            <w:pPr>
              <w:spacing w:after="0"/>
              <w:rPr>
                <w:sz w:val="16"/>
                <w:szCs w:val="16"/>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107.7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33 %</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Average servicing fee (% of UPB)</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0.27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0.29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Subservicing fee</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3.5</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92"/>
        </w:trPr>
        <w:tc>
          <w:tcPr>
            <w:tcW w:w="3200" w:type="dxa"/>
            <w:vAlign w:val="bottom"/>
          </w:tcPr>
          <w:p>
            <w:pPr>
              <w:ind w:left="100"/>
              <w:spacing w:after="0"/>
              <w:rPr>
                <w:sz w:val="20"/>
                <w:szCs w:val="20"/>
                <w:color w:val="auto"/>
              </w:rPr>
            </w:pPr>
            <w:r>
              <w:rPr>
                <w:rFonts w:ascii="Arial" w:cs="Arial" w:eastAsia="Arial" w:hAnsi="Arial"/>
                <w:sz w:val="15"/>
                <w:szCs w:val="15"/>
                <w:color w:val="auto"/>
              </w:rPr>
              <w:t>Average monthly fee per loan (in dollars)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13</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35 %</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rPr>
                <w:sz w:val="20"/>
                <w:szCs w:val="20"/>
                <w:color w:val="auto"/>
              </w:rPr>
            </w:pPr>
            <w:r>
              <w:rPr>
                <w:rFonts w:ascii="Arial" w:cs="Arial" w:eastAsia="Arial" w:hAnsi="Arial"/>
                <w:sz w:val="15"/>
                <w:szCs w:val="15"/>
                <w:b w:val="1"/>
                <w:bCs w:val="1"/>
                <w:color w:val="auto"/>
              </w:rPr>
              <w:t>Residential assets serviced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Average UPB ($ in billions):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180"/>
              <w:spacing w:after="0"/>
              <w:rPr>
                <w:sz w:val="20"/>
                <w:szCs w:val="20"/>
                <w:color w:val="auto"/>
              </w:rPr>
            </w:pPr>
            <w:r>
              <w:rPr>
                <w:rFonts w:ascii="Arial" w:cs="Arial" w:eastAsia="Arial" w:hAnsi="Arial"/>
                <w:sz w:val="15"/>
                <w:szCs w:val="15"/>
                <w:color w:val="auto"/>
              </w:rPr>
              <w:t>Servicing portfolio</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116.0</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97.8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19 %</w:t>
            </w:r>
          </w:p>
        </w:tc>
        <w:tc>
          <w:tcPr>
            <w:tcW w:w="10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108.0</w:t>
            </w:r>
          </w:p>
        </w:tc>
        <w:tc>
          <w:tcPr>
            <w:tcW w:w="100" w:type="dxa"/>
            <w:vAlign w:val="bottom"/>
          </w:tcPr>
          <w:p>
            <w:pPr>
              <w:spacing w:after="0"/>
              <w:rPr>
                <w:sz w:val="16"/>
                <w:szCs w:val="16"/>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75.5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43 %</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Subservicing portfolio</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22.7</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NRZ</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62.9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65.8</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64.3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114.9</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7"/>
        </w:trPr>
        <w:tc>
          <w:tcPr>
            <w:tcW w:w="3200" w:type="dxa"/>
            <w:vAlign w:val="bottom"/>
            <w:tcBorders>
              <w:bottom w:val="single" w:sz="8" w:color="CCEEFF"/>
            </w:tcBorders>
            <w:shd w:val="clear" w:color="auto" w:fill="CCEEFF"/>
          </w:tcPr>
          <w:p>
            <w:pPr>
              <w:ind w:left="280"/>
              <w:spacing w:after="0" w:line="162" w:lineRule="exact"/>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196.8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186.3</w:t>
            </w:r>
          </w:p>
        </w:tc>
        <w:tc>
          <w:tcPr>
            <w:tcW w:w="1100" w:type="dxa"/>
            <w:vAlign w:val="bottom"/>
            <w:tcBorders>
              <w:bottom w:val="single" w:sz="8" w:color="CCEEFF"/>
            </w:tcBorders>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6 %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4"/>
              <w:spacing w:after="0" w:line="162"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193.2</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4"/>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208.1</w:t>
            </w:r>
          </w:p>
        </w:tc>
        <w:tc>
          <w:tcPr>
            <w:tcW w:w="1100" w:type="dxa"/>
            <w:vAlign w:val="bottom"/>
            <w:tcBorders>
              <w:bottom w:val="single" w:sz="8" w:color="CCEEFF"/>
            </w:tcBorders>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5"/>
                <w:szCs w:val="15"/>
                <w:i w:val="1"/>
                <w:iCs w:val="1"/>
                <w:color w:val="auto"/>
              </w:rPr>
              <w:t>Average number (in 000’s):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Servicing portfolio</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576.0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510.8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547.7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462.4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192"/>
        </w:trPr>
        <w:tc>
          <w:tcPr>
            <w:tcW w:w="3200" w:type="dxa"/>
            <w:vAlign w:val="bottom"/>
          </w:tcPr>
          <w:p>
            <w:pPr>
              <w:ind w:left="180"/>
              <w:spacing w:after="0"/>
              <w:rPr>
                <w:sz w:val="20"/>
                <w:szCs w:val="20"/>
                <w:color w:val="auto"/>
              </w:rPr>
            </w:pPr>
            <w:r>
              <w:rPr>
                <w:rFonts w:ascii="Arial" w:cs="Arial" w:eastAsia="Arial" w:hAnsi="Arial"/>
                <w:sz w:val="15"/>
                <w:szCs w:val="15"/>
                <w:color w:val="auto"/>
              </w:rPr>
              <w:t>Subservicing portfolio</w:t>
            </w:r>
          </w:p>
        </w:tc>
        <w:tc>
          <w:tcPr>
            <w:tcW w:w="260" w:type="dxa"/>
            <w:vAlign w:val="bottom"/>
          </w:tcPr>
          <w:p>
            <w:pPr>
              <w:spacing w:after="0"/>
              <w:rPr>
                <w:sz w:val="16"/>
                <w:szCs w:val="16"/>
                <w:color w:val="auto"/>
              </w:rPr>
            </w:pP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73.0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90.3</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83.7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291.8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NRZ</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473.1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491.5</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482.2</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636.1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1,122.1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1,092.6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3 %</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1,113.6</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1,390.3</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ind w:left="9" w:right="40" w:firstLine="272"/>
        <w:spacing w:after="0" w:line="314" w:lineRule="auto"/>
        <w:rPr>
          <w:sz w:val="20"/>
          <w:szCs w:val="20"/>
          <w:color w:val="auto"/>
        </w:rPr>
      </w:pPr>
      <w:r>
        <w:rPr>
          <w:rFonts w:ascii="Arial" w:cs="Arial" w:eastAsia="Arial" w:hAnsi="Arial"/>
          <w:sz w:val="14"/>
          <w:szCs w:val="14"/>
          <w:color w:val="auto"/>
        </w:rPr>
        <w:t>The following table presents both servicing fees collected and subservicing fees retained by Ocwen under the NRZ agreements, together with the previously recognized amortization gain of the lump-sum payments received in connection with the 2017 Agreements and New RMSR Agreements (through the second quarter of 2020 only):</w:t>
      </w:r>
    </w:p>
    <w:p>
      <w:pPr>
        <w:spacing w:after="0" w:line="142"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4600" w:type="dxa"/>
            <w:vAlign w:val="bottom"/>
          </w:tcPr>
          <w:p>
            <w:pPr>
              <w:spacing w:after="0"/>
              <w:rPr>
                <w:sz w:val="20"/>
                <w:szCs w:val="20"/>
                <w:color w:val="auto"/>
              </w:rPr>
            </w:pPr>
            <w:r>
              <w:rPr>
                <w:rFonts w:ascii="Arial" w:cs="Arial" w:eastAsia="Arial" w:hAnsi="Arial"/>
                <w:sz w:val="15"/>
                <w:szCs w:val="15"/>
                <w:b w:val="1"/>
                <w:bCs w:val="1"/>
                <w:color w:val="auto"/>
              </w:rPr>
              <w:t>NRZ servicing and subservicing fees</w:t>
            </w:r>
          </w:p>
        </w:tc>
        <w:tc>
          <w:tcPr>
            <w:tcW w:w="220" w:type="dxa"/>
            <w:vAlign w:val="bottom"/>
          </w:tcPr>
          <w:p>
            <w:pPr>
              <w:spacing w:after="0"/>
              <w:rPr>
                <w:sz w:val="16"/>
                <w:szCs w:val="16"/>
                <w:color w:val="auto"/>
              </w:rPr>
            </w:pPr>
          </w:p>
        </w:tc>
        <w:tc>
          <w:tcPr>
            <w:tcW w:w="3160" w:type="dxa"/>
            <w:vAlign w:val="bottom"/>
            <w:gridSpan w:val="5"/>
          </w:tcPr>
          <w:p>
            <w:pPr>
              <w:ind w:left="72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6"/>
                <w:szCs w:val="16"/>
                <w:color w:val="auto"/>
              </w:rPr>
            </w:pPr>
          </w:p>
        </w:tc>
        <w:tc>
          <w:tcPr>
            <w:tcW w:w="3060" w:type="dxa"/>
            <w:vAlign w:val="bottom"/>
            <w:gridSpan w:val="4"/>
          </w:tcPr>
          <w:p>
            <w:pPr>
              <w:jc w:val="right"/>
              <w:ind w:right="96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June 30, 2021</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2020</w:t>
            </w:r>
          </w:p>
        </w:tc>
        <w:tc>
          <w:tcPr>
            <w:tcW w:w="0" w:type="dxa"/>
            <w:vAlign w:val="bottom"/>
          </w:tcPr>
          <w:p>
            <w:pPr>
              <w:spacing w:after="0"/>
              <w:rPr>
                <w:sz w:val="1"/>
                <w:szCs w:val="1"/>
                <w:color w:val="auto"/>
              </w:rPr>
            </w:pPr>
          </w:p>
        </w:tc>
      </w:tr>
      <w:tr>
        <w:trPr>
          <w:trHeight w:val="184"/>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Servicing fees collected on behalf of NRZ</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77.7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80.4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158.1</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208.1</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Servicing fees remitted to NRZ (1)</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(56.4)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(153.2)</w:t>
            </w:r>
          </w:p>
        </w:tc>
        <w:tc>
          <w:tcPr>
            <w:tcW w:w="0" w:type="dxa"/>
            <w:vAlign w:val="bottom"/>
          </w:tcPr>
          <w:p>
            <w:pPr>
              <w:spacing w:after="0"/>
              <w:rPr>
                <w:sz w:val="1"/>
                <w:szCs w:val="1"/>
                <w:color w:val="auto"/>
              </w:rPr>
            </w:pPr>
          </w:p>
        </w:tc>
      </w:tr>
      <w:tr>
        <w:trPr>
          <w:trHeight w:val="185"/>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Retained subservicing fees on NRZ agreements (2)</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54.9</w:t>
            </w:r>
          </w:p>
        </w:tc>
        <w:tc>
          <w:tcPr>
            <w:tcW w:w="0" w:type="dxa"/>
            <w:vAlign w:val="bottom"/>
          </w:tcPr>
          <w:p>
            <w:pPr>
              <w:spacing w:after="0"/>
              <w:rPr>
                <w:sz w:val="1"/>
                <w:szCs w:val="1"/>
                <w:color w:val="auto"/>
              </w:rPr>
            </w:pPr>
          </w:p>
        </w:tc>
      </w:tr>
      <w:tr>
        <w:trPr>
          <w:trHeight w:val="148"/>
        </w:trPr>
        <w:tc>
          <w:tcPr>
            <w:tcW w:w="4600" w:type="dxa"/>
            <w:vAlign w:val="bottom"/>
          </w:tcPr>
          <w:p>
            <w:pPr>
              <w:spacing w:after="0" w:line="149" w:lineRule="exact"/>
              <w:rPr>
                <w:sz w:val="20"/>
                <w:szCs w:val="20"/>
                <w:color w:val="auto"/>
              </w:rPr>
            </w:pPr>
            <w:r>
              <w:rPr>
                <w:rFonts w:ascii="Arial" w:cs="Arial" w:eastAsia="Arial" w:hAnsi="Arial"/>
                <w:sz w:val="15"/>
                <w:szCs w:val="15"/>
                <w:color w:val="auto"/>
                <w:w w:val="99"/>
              </w:rPr>
              <w:t>Amortization gain of lump-sum cash payments received (including fair</w:t>
            </w:r>
          </w:p>
        </w:tc>
        <w:tc>
          <w:tcPr>
            <w:tcW w:w="220" w:type="dxa"/>
            <w:vAlign w:val="bottom"/>
          </w:tcPr>
          <w:p>
            <w:pPr>
              <w:spacing w:after="0"/>
              <w:rPr>
                <w:sz w:val="12"/>
                <w:szCs w:val="12"/>
                <w:color w:val="auto"/>
              </w:rPr>
            </w:pPr>
          </w:p>
        </w:tc>
        <w:tc>
          <w:tcPr>
            <w:tcW w:w="14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50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14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1360" w:type="dxa"/>
            <w:vAlign w:val="bottom"/>
            <w:vMerge w:val="restart"/>
          </w:tcPr>
          <w:p>
            <w:pPr>
              <w:jc w:val="right"/>
              <w:ind w:right="104"/>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191"/>
        </w:trPr>
        <w:tc>
          <w:tcPr>
            <w:tcW w:w="4600" w:type="dxa"/>
            <w:vAlign w:val="bottom"/>
          </w:tcPr>
          <w:p>
            <w:pPr>
              <w:ind w:left="140"/>
              <w:spacing w:after="0"/>
              <w:rPr>
                <w:sz w:val="20"/>
                <w:szCs w:val="20"/>
                <w:color w:val="auto"/>
              </w:rPr>
            </w:pPr>
            <w:r>
              <w:rPr>
                <w:rFonts w:ascii="Arial" w:cs="Arial" w:eastAsia="Arial" w:hAnsi="Arial"/>
                <w:sz w:val="15"/>
                <w:szCs w:val="15"/>
                <w:color w:val="auto"/>
              </w:rPr>
              <w:t>value change) (1)(3)</w:t>
            </w: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60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color w:val="auto"/>
                <w:w w:val="99"/>
              </w:rPr>
              <w:t>Total retained subservicing fees and amortization gain of lump-sum cash</w:t>
            </w:r>
          </w:p>
        </w:tc>
        <w:tc>
          <w:tcPr>
            <w:tcW w:w="220" w:type="dxa"/>
            <w:vAlign w:val="bottom"/>
            <w:tcBorders>
              <w:top w:val="single" w:sz="8" w:color="auto"/>
            </w:tcBorders>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22.5</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24.0</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46.5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89.1</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CCEEFF"/>
            </w:tcBorders>
            <w:shd w:val="clear" w:color="auto" w:fill="CCEEFF"/>
          </w:tcPr>
          <w:p>
            <w:pPr>
              <w:ind w:left="240"/>
              <w:spacing w:after="0" w:line="169" w:lineRule="exact"/>
              <w:rPr>
                <w:sz w:val="20"/>
                <w:szCs w:val="20"/>
                <w:color w:val="auto"/>
              </w:rPr>
            </w:pPr>
            <w:r>
              <w:rPr>
                <w:rFonts w:ascii="Arial" w:cs="Arial" w:eastAsia="Arial" w:hAnsi="Arial"/>
                <w:sz w:val="15"/>
                <w:szCs w:val="15"/>
                <w:color w:val="auto"/>
              </w:rPr>
              <w:t>payments (including fair value change)</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Average NRZ UPB ($ in billions) (4)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75.9</w:t>
            </w:r>
          </w:p>
        </w:tc>
        <w:tc>
          <w:tcPr>
            <w:tcW w:w="0" w:type="dxa"/>
            <w:vAlign w:val="bottom"/>
          </w:tcPr>
          <w:p>
            <w:pPr>
              <w:spacing w:after="0"/>
              <w:rPr>
                <w:sz w:val="1"/>
                <w:szCs w:val="1"/>
                <w:color w:val="auto"/>
              </w:rPr>
            </w:pPr>
          </w:p>
        </w:tc>
      </w:tr>
      <w:tr>
        <w:trPr>
          <w:trHeight w:val="148"/>
        </w:trPr>
        <w:tc>
          <w:tcPr>
            <w:tcW w:w="4600" w:type="dxa"/>
            <w:vAlign w:val="bottom"/>
          </w:tcPr>
          <w:p>
            <w:pPr>
              <w:spacing w:after="0" w:line="149" w:lineRule="exact"/>
              <w:rPr>
                <w:sz w:val="20"/>
                <w:szCs w:val="20"/>
                <w:color w:val="auto"/>
              </w:rPr>
            </w:pPr>
            <w:r>
              <w:rPr>
                <w:rFonts w:ascii="Arial" w:cs="Arial" w:eastAsia="Arial" w:hAnsi="Arial"/>
                <w:sz w:val="15"/>
                <w:szCs w:val="15"/>
                <w:color w:val="auto"/>
              </w:rPr>
              <w:t>Average annualized retained subservicing fees as a % of NRZ UPB</w:t>
            </w:r>
          </w:p>
        </w:tc>
        <w:tc>
          <w:tcPr>
            <w:tcW w:w="2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0.14 %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0.15 %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0.14 %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0.14 %</w:t>
            </w:r>
          </w:p>
        </w:tc>
        <w:tc>
          <w:tcPr>
            <w:tcW w:w="0" w:type="dxa"/>
            <w:vAlign w:val="bottom"/>
          </w:tcPr>
          <w:p>
            <w:pPr>
              <w:spacing w:after="0"/>
              <w:rPr>
                <w:sz w:val="1"/>
                <w:szCs w:val="1"/>
                <w:color w:val="auto"/>
              </w:rPr>
            </w:pPr>
          </w:p>
        </w:tc>
      </w:tr>
      <w:tr>
        <w:trPr>
          <w:trHeight w:val="191"/>
        </w:trPr>
        <w:tc>
          <w:tcPr>
            <w:tcW w:w="4600" w:type="dxa"/>
            <w:vAlign w:val="bottom"/>
          </w:tcPr>
          <w:p>
            <w:pPr>
              <w:ind w:left="140"/>
              <w:spacing w:after="0"/>
              <w:rPr>
                <w:sz w:val="20"/>
                <w:szCs w:val="20"/>
                <w:color w:val="auto"/>
              </w:rPr>
            </w:pPr>
            <w:r>
              <w:rPr>
                <w:rFonts w:ascii="Arial" w:cs="Arial" w:eastAsia="Arial" w:hAnsi="Arial"/>
                <w:sz w:val="15"/>
                <w:szCs w:val="15"/>
                <w:color w:val="auto"/>
              </w:rPr>
              <w:t>(excluding amortization gain of lump-sum cash payments)</w:t>
            </w: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69" w:right="280" w:hanging="269"/>
        <w:spacing w:after="0" w:line="286" w:lineRule="auto"/>
        <w:tabs>
          <w:tab w:leader="none" w:pos="269"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Reported within Pledged MSR liability expense. The NRZ servicing fee includes the total servicing fees collected on behalf of NRZ relating to the MSR sold but not derecognized from our balance sheet. Under GAAP, we separately present servicing fee collected and remitted on a gross basis, with the servicing fee remitted to NRZ reported as Pledged MSR liability expense.</w:t>
      </w:r>
    </w:p>
    <w:p>
      <w:pPr>
        <w:ind w:left="269" w:hanging="269"/>
        <w:spacing w:after="0"/>
        <w:tabs>
          <w:tab w:leader="none" w:pos="269" w:val="left"/>
        </w:tabs>
        <w:numPr>
          <w:ilvl w:val="0"/>
          <w:numId w:val="43"/>
        </w:numPr>
        <w:rPr>
          <w:rFonts w:ascii="Arial" w:cs="Arial" w:eastAsia="Arial" w:hAnsi="Arial"/>
          <w:sz w:val="12"/>
          <w:szCs w:val="12"/>
          <w:color w:val="auto"/>
        </w:rPr>
      </w:pPr>
      <w:r>
        <w:rPr>
          <w:rFonts w:ascii="Arial" w:cs="Arial" w:eastAsia="Arial" w:hAnsi="Arial"/>
          <w:sz w:val="12"/>
          <w:szCs w:val="12"/>
          <w:color w:val="auto"/>
        </w:rPr>
        <w:t>Excludes the servicing fees of loans under the PMC servicing agreement after February 20, 2020 due to the notice of termination by NRZ, and subservicing fees earned under subservicing agreements.</w:t>
      </w:r>
    </w:p>
    <w:p>
      <w:pPr>
        <w:spacing w:after="0" w:line="20" w:lineRule="exact"/>
        <w:rPr>
          <w:rFonts w:ascii="Arial" w:cs="Arial" w:eastAsia="Arial" w:hAnsi="Arial"/>
          <w:sz w:val="12"/>
          <w:szCs w:val="12"/>
          <w:color w:val="auto"/>
        </w:rPr>
      </w:pPr>
    </w:p>
    <w:p>
      <w:pPr>
        <w:ind w:left="269" w:right="40" w:hanging="269"/>
        <w:spacing w:after="0" w:line="296" w:lineRule="auto"/>
        <w:tabs>
          <w:tab w:leader="none" w:pos="269"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w:t>
      </w:r>
    </w:p>
    <w:p>
      <w:pPr>
        <w:spacing w:after="0" w:line="200" w:lineRule="exact"/>
        <w:rPr>
          <w:sz w:val="20"/>
          <w:szCs w:val="20"/>
          <w:color w:val="auto"/>
        </w:rPr>
      </w:pPr>
    </w:p>
    <w:p>
      <w:pPr>
        <w:spacing w:after="0" w:line="21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76" w:name="page77"/>
    <w:bookmarkEnd w:id="76"/>
    <w:p>
      <w:pPr>
        <w:ind w:left="269" w:right="100"/>
        <w:spacing w:after="0" w:line="283" w:lineRule="auto"/>
        <w:rPr>
          <w:sz w:val="20"/>
          <w:szCs w:val="20"/>
          <w:color w:val="auto"/>
        </w:rPr>
      </w:pPr>
      <w:r>
        <w:rPr>
          <w:rFonts w:ascii="Arial" w:cs="Arial" w:eastAsia="Arial" w:hAnsi="Arial"/>
          <w:sz w:val="12"/>
          <w:szCs w:val="12"/>
          <w:color w:val="auto"/>
        </w:rPr>
        <w:t>RMSR Agreements. These upfront payments generally represented the net present value of the difference between the future revenue stream Ocwen would have received under the original agreements and the future revenue Ocwen received under the renegotiated agreements. These upfront payments received from NRZ were deferred and recorded within Other income (expense), Pledged MSR liability expense, as they amortized through the term of the original agreements (April 2020). See Note 8 — Rights to MSRs for further information.</w:t>
      </w:r>
    </w:p>
    <w:p>
      <w:pPr>
        <w:ind w:left="269" w:right="500" w:hanging="269"/>
        <w:spacing w:after="0" w:line="238" w:lineRule="auto"/>
        <w:tabs>
          <w:tab w:leader="none" w:pos="269"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Excludes the UPB of loans subserviced under the PMC servicing agreement after February 20, 2020 due to the notice of termination by NRZ, and excludes the UPB of loans under subservicing agreements.</w:t>
      </w:r>
    </w:p>
    <w:p>
      <w:pPr>
        <w:spacing w:after="0" w:line="75" w:lineRule="exact"/>
        <w:rPr>
          <w:sz w:val="20"/>
          <w:szCs w:val="20"/>
          <w:color w:val="auto"/>
        </w:rPr>
      </w:pPr>
    </w:p>
    <w:p>
      <w:pPr>
        <w:ind w:left="9" w:firstLine="272"/>
        <w:spacing w:after="0" w:line="314" w:lineRule="auto"/>
        <w:rPr>
          <w:sz w:val="20"/>
          <w:szCs w:val="20"/>
          <w:color w:val="auto"/>
        </w:rPr>
      </w:pPr>
      <w:r>
        <w:rPr>
          <w:rFonts w:ascii="Arial" w:cs="Arial" w:eastAsia="Arial" w:hAnsi="Arial"/>
          <w:sz w:val="14"/>
          <w:szCs w:val="14"/>
          <w:color w:val="auto"/>
        </w:rPr>
        <w:t>The net retained fee of our NRZ portfolio declined $1.5 million, or 6%, in the second quarter of 2021 as compared to the first quarter of 2021 primarily due to the 4% decline in UPB serviced associated with portfolio runoff and prepayments, resulting in a decrease in the average annualized retained subservicing fee from 15 to 14 basis points.</w:t>
      </w:r>
    </w:p>
    <w:p>
      <w:pPr>
        <w:spacing w:after="0" w:line="33" w:lineRule="exact"/>
        <w:rPr>
          <w:sz w:val="20"/>
          <w:szCs w:val="20"/>
          <w:color w:val="auto"/>
        </w:rPr>
      </w:pPr>
    </w:p>
    <w:p>
      <w:pPr>
        <w:ind w:left="9" w:right="40" w:firstLine="272"/>
        <w:spacing w:after="0" w:line="285" w:lineRule="auto"/>
        <w:rPr>
          <w:sz w:val="20"/>
          <w:szCs w:val="20"/>
          <w:color w:val="auto"/>
        </w:rPr>
      </w:pPr>
      <w:r>
        <w:rPr>
          <w:rFonts w:ascii="Arial" w:cs="Arial" w:eastAsia="Arial" w:hAnsi="Arial"/>
          <w:sz w:val="14"/>
          <w:szCs w:val="14"/>
          <w:color w:val="auto"/>
        </w:rPr>
        <w:t>The net retained fee of our NRZ portfolio decreased by $8.3 million, or 15%, in the six months ended June 30, 2021 as compared to the six months ended June 30, 2020. The decline in the NRZ fee collection and remittance is primarily driven by the decline in the average UPB of 44%, explained by the NRZ portfolio runoff and the derecognition of the MSRs in connection with the termination of the PMC agreement by NRZ on February 20, 2020. As the NRZ relationship is effectively a subservicing agreement, the COVID-19 environment, loans under forbearance and the fee collection do not impact our financial results to the same extent as for serviced loans with our owned MSRs.</w:t>
      </w:r>
    </w:p>
    <w:p>
      <w:pPr>
        <w:spacing w:after="0" w:line="52" w:lineRule="exact"/>
        <w:rPr>
          <w:sz w:val="20"/>
          <w:szCs w:val="20"/>
          <w:color w:val="auto"/>
        </w:rPr>
      </w:pPr>
    </w:p>
    <w:p>
      <w:pPr>
        <w:ind w:left="269"/>
        <w:spacing w:after="0"/>
        <w:rPr>
          <w:sz w:val="20"/>
          <w:szCs w:val="20"/>
          <w:color w:val="auto"/>
        </w:rPr>
      </w:pPr>
      <w:r>
        <w:rPr>
          <w:rFonts w:ascii="Arial" w:cs="Arial" w:eastAsia="Arial" w:hAnsi="Arial"/>
          <w:sz w:val="15"/>
          <w:szCs w:val="15"/>
          <w:color w:val="auto"/>
        </w:rPr>
        <w:t>The following table presents the detail of our ancillary income:</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2960" w:type="dxa"/>
            <w:vAlign w:val="bottom"/>
          </w:tcPr>
          <w:p>
            <w:pPr>
              <w:ind w:left="140"/>
              <w:spacing w:after="0"/>
              <w:rPr>
                <w:sz w:val="20"/>
                <w:szCs w:val="20"/>
                <w:color w:val="auto"/>
              </w:rPr>
            </w:pPr>
            <w:r>
              <w:rPr>
                <w:rFonts w:ascii="Arial" w:cs="Arial" w:eastAsia="Arial" w:hAnsi="Arial"/>
                <w:sz w:val="15"/>
                <w:szCs w:val="15"/>
                <w:b w:val="1"/>
                <w:bCs w:val="1"/>
                <w:color w:val="auto"/>
              </w:rPr>
              <w:t>Ancillary Income</w:t>
            </w: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04"/>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8"/>
              </w:rPr>
              <w:t>June 30, 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9"/>
              </w:rPr>
              <w:t>March 31, 2021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June 30, 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8"/>
              </w:rPr>
              <w:t>June 30, 2020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 Change</w:t>
            </w:r>
          </w:p>
        </w:tc>
      </w:tr>
      <w:tr>
        <w:trPr>
          <w:trHeight w:val="184"/>
        </w:trPr>
        <w:tc>
          <w:tcPr>
            <w:tcW w:w="2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Late charges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w w:val="94"/>
              </w:rPr>
              <w:t>(24)%</w:t>
            </w:r>
          </w:p>
        </w:tc>
      </w:tr>
      <w:tr>
        <w:trPr>
          <w:trHeight w:val="192"/>
        </w:trPr>
        <w:tc>
          <w:tcPr>
            <w:tcW w:w="2960" w:type="dxa"/>
            <w:vAlign w:val="bottom"/>
          </w:tcPr>
          <w:p>
            <w:pPr>
              <w:ind w:left="100"/>
              <w:spacing w:after="0"/>
              <w:rPr>
                <w:sz w:val="20"/>
                <w:szCs w:val="20"/>
                <w:color w:val="auto"/>
              </w:rPr>
            </w:pPr>
            <w:r>
              <w:rPr>
                <w:rFonts w:ascii="Arial" w:cs="Arial" w:eastAsia="Arial" w:hAnsi="Arial"/>
                <w:sz w:val="15"/>
                <w:szCs w:val="15"/>
                <w:color w:val="auto"/>
              </w:rPr>
              <w:t>Custodial accounts (float earnings)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7.7</w:t>
            </w:r>
          </w:p>
        </w:tc>
        <w:tc>
          <w:tcPr>
            <w:tcW w:w="1100" w:type="dxa"/>
            <w:vAlign w:val="bottom"/>
            <w:gridSpan w:val="2"/>
          </w:tcPr>
          <w:p>
            <w:pPr>
              <w:ind w:left="700"/>
              <w:spacing w:after="0"/>
              <w:rPr>
                <w:sz w:val="20"/>
                <w:szCs w:val="20"/>
                <w:color w:val="auto"/>
              </w:rPr>
            </w:pPr>
            <w:r>
              <w:rPr>
                <w:rFonts w:ascii="Arial" w:cs="Arial" w:eastAsia="Arial" w:hAnsi="Arial"/>
                <w:sz w:val="15"/>
                <w:szCs w:val="15"/>
                <w:color w:val="auto"/>
              </w:rPr>
              <w:t>(70)</w:t>
            </w:r>
          </w:p>
        </w:tc>
      </w:tr>
      <w:tr>
        <w:trPr>
          <w:trHeight w:val="194"/>
        </w:trPr>
        <w:tc>
          <w:tcPr>
            <w:tcW w:w="2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 collection fees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(18)</w:t>
            </w:r>
          </w:p>
        </w:tc>
      </w:tr>
      <w:tr>
        <w:trPr>
          <w:trHeight w:val="192"/>
        </w:trPr>
        <w:tc>
          <w:tcPr>
            <w:tcW w:w="2960" w:type="dxa"/>
            <w:vAlign w:val="bottom"/>
          </w:tcPr>
          <w:p>
            <w:pPr>
              <w:ind w:left="100"/>
              <w:spacing w:after="0"/>
              <w:rPr>
                <w:sz w:val="20"/>
                <w:szCs w:val="20"/>
                <w:color w:val="auto"/>
              </w:rPr>
            </w:pPr>
            <w:r>
              <w:rPr>
                <w:rFonts w:ascii="Arial" w:cs="Arial" w:eastAsia="Arial" w:hAnsi="Arial"/>
                <w:sz w:val="15"/>
                <w:szCs w:val="15"/>
                <w:color w:val="auto"/>
              </w:rPr>
              <w:t>Recording fees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3.7</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5.9</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16</w:t>
            </w:r>
          </w:p>
        </w:tc>
      </w:tr>
      <w:tr>
        <w:trPr>
          <w:trHeight w:val="194"/>
        </w:trPr>
        <w:tc>
          <w:tcPr>
            <w:tcW w:w="2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Boarding and deboarding fees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(24)</w:t>
            </w:r>
          </w:p>
        </w:tc>
      </w:tr>
      <w:tr>
        <w:trPr>
          <w:trHeight w:val="192"/>
        </w:trPr>
        <w:tc>
          <w:tcPr>
            <w:tcW w:w="29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29</w:t>
            </w:r>
          </w:p>
        </w:tc>
      </w:tr>
      <w:tr>
        <w:trPr>
          <w:trHeight w:val="210"/>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Ancillary income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5"/>
                <w:szCs w:val="15"/>
                <w:color w:val="auto"/>
                <w:w w:val="94"/>
              </w:rPr>
              <w:t>(20)%</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37" w:lineRule="exact"/>
        <w:rPr>
          <w:sz w:val="20"/>
          <w:szCs w:val="20"/>
          <w:color w:val="auto"/>
        </w:rPr>
      </w:pPr>
    </w:p>
    <w:p>
      <w:pPr>
        <w:ind w:left="9" w:right="320" w:firstLine="272"/>
        <w:spacing w:after="0" w:line="278" w:lineRule="auto"/>
        <w:rPr>
          <w:sz w:val="20"/>
          <w:szCs w:val="20"/>
          <w:color w:val="auto"/>
        </w:rPr>
      </w:pPr>
      <w:r>
        <w:rPr>
          <w:rFonts w:ascii="Arial" w:cs="Arial" w:eastAsia="Arial" w:hAnsi="Arial"/>
          <w:sz w:val="15"/>
          <w:szCs w:val="15"/>
          <w:color w:val="auto"/>
        </w:rPr>
        <w:t>Ancillary income increased by $0.8 million, or 4% in the second quarter of 2021 as compared to the first quarter of 2021, mostly due to higher late charges as a result of a larger serviced volume.</w:t>
      </w:r>
    </w:p>
    <w:p>
      <w:pPr>
        <w:spacing w:after="0" w:line="54" w:lineRule="exact"/>
        <w:rPr>
          <w:sz w:val="20"/>
          <w:szCs w:val="20"/>
          <w:color w:val="auto"/>
        </w:rPr>
      </w:pPr>
    </w:p>
    <w:p>
      <w:pPr>
        <w:ind w:left="9" w:right="40" w:firstLine="272"/>
        <w:spacing w:after="0" w:line="314" w:lineRule="auto"/>
        <w:rPr>
          <w:sz w:val="20"/>
          <w:szCs w:val="20"/>
          <w:color w:val="auto"/>
        </w:rPr>
      </w:pPr>
      <w:r>
        <w:rPr>
          <w:rFonts w:ascii="Arial" w:cs="Arial" w:eastAsia="Arial" w:hAnsi="Arial"/>
          <w:sz w:val="14"/>
          <w:szCs w:val="14"/>
          <w:color w:val="auto"/>
        </w:rPr>
        <w:t>As compared to the six months ended June 30, 2020, ancillary income for the six months ended June 30, 2021 declined by $11.1 million due to the combined effect of lower average servicing volume, the COVID-19 environment restricting late fees or collection fees on loans under forbearance, and lower interest rates on float earnings.</w:t>
      </w:r>
    </w:p>
    <w:p>
      <w:pPr>
        <w:spacing w:after="0" w:line="200" w:lineRule="exact"/>
        <w:rPr>
          <w:sz w:val="20"/>
          <w:szCs w:val="20"/>
          <w:color w:val="auto"/>
        </w:rPr>
      </w:pPr>
    </w:p>
    <w:p>
      <w:pPr>
        <w:spacing w:after="0" w:line="29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778" w:right="319" w:bottom="1440" w:gutter="0" w:footer="0" w:header="0"/>
        </w:sectPr>
      </w:pPr>
    </w:p>
    <w:bookmarkStart w:id="77" w:name="page78"/>
    <w:bookmarkEnd w:id="77"/>
    <w:p>
      <w:pPr>
        <w:ind w:left="9"/>
        <w:spacing w:after="0"/>
        <w:rPr>
          <w:sz w:val="20"/>
          <w:szCs w:val="20"/>
          <w:color w:val="auto"/>
        </w:rPr>
      </w:pPr>
      <w:r>
        <w:rPr>
          <w:rFonts w:ascii="Arial" w:cs="Arial" w:eastAsia="Arial" w:hAnsi="Arial"/>
          <w:sz w:val="15"/>
          <w:szCs w:val="15"/>
          <w:b w:val="1"/>
          <w:bCs w:val="1"/>
          <w:i w:val="1"/>
          <w:iCs w:val="1"/>
          <w:color w:val="auto"/>
        </w:rPr>
        <w:t>Reverse Mortgage Revenue, Net</w:t>
      </w:r>
    </w:p>
    <w:p>
      <w:pPr>
        <w:spacing w:after="0" w:line="100" w:lineRule="exact"/>
        <w:rPr>
          <w:sz w:val="20"/>
          <w:szCs w:val="20"/>
          <w:color w:val="auto"/>
        </w:rPr>
      </w:pPr>
    </w:p>
    <w:p>
      <w:pPr>
        <w:ind w:left="9" w:right="20" w:firstLine="272"/>
        <w:spacing w:after="0" w:line="307" w:lineRule="auto"/>
        <w:rPr>
          <w:sz w:val="20"/>
          <w:szCs w:val="20"/>
          <w:color w:val="auto"/>
        </w:rPr>
      </w:pPr>
      <w:r>
        <w:rPr>
          <w:rFonts w:ascii="Arial" w:cs="Arial" w:eastAsia="Arial" w:hAnsi="Arial"/>
          <w:sz w:val="13"/>
          <w:szCs w:val="13"/>
          <w:color w:val="auto"/>
        </w:rPr>
        <w:t>Reverse mortgage revenue, net is the net change in fair value of securitized loans held for investment and HMBS-related borrowings. 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typically represents our compensation for servicing the portfolio.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w:t>
      </w:r>
    </w:p>
    <w:p>
      <w:pPr>
        <w:spacing w:after="0" w:line="72"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64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04"/>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2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8"/>
              </w:rPr>
              <w:t>June 30, 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June 30, 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8"/>
              </w:rPr>
              <w:t>June 30, 2020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 Change</w:t>
            </w:r>
          </w:p>
        </w:tc>
      </w:tr>
      <w:tr>
        <w:trPr>
          <w:trHeight w:val="184"/>
        </w:trPr>
        <w:tc>
          <w:tcPr>
            <w:tcW w:w="2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interest income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center"/>
              <w:ind w:left="944"/>
              <w:spacing w:after="0"/>
              <w:rPr>
                <w:sz w:val="20"/>
                <w:szCs w:val="20"/>
                <w:color w:val="auto"/>
              </w:rPr>
            </w:pPr>
            <w:r>
              <w:rPr>
                <w:rFonts w:ascii="Arial" w:cs="Arial" w:eastAsia="Arial" w:hAnsi="Arial"/>
                <w:sz w:val="15"/>
                <w:szCs w:val="15"/>
                <w:color w:val="auto"/>
                <w:w w:val="86"/>
              </w:rPr>
              <w:t>5.0</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4 %</w:t>
            </w:r>
          </w:p>
        </w:tc>
      </w:tr>
      <w:tr>
        <w:trPr>
          <w:trHeight w:val="192"/>
        </w:trPr>
        <w:tc>
          <w:tcPr>
            <w:tcW w:w="29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fair value changes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924"/>
              <w:spacing w:after="0"/>
              <w:rPr>
                <w:sz w:val="20"/>
                <w:szCs w:val="20"/>
                <w:color w:val="auto"/>
              </w:rPr>
            </w:pPr>
            <w:r>
              <w:rPr>
                <w:rFonts w:ascii="Arial" w:cs="Arial" w:eastAsia="Arial" w:hAnsi="Arial"/>
                <w:sz w:val="15"/>
                <w:szCs w:val="15"/>
                <w:color w:val="auto"/>
                <w:w w:val="90"/>
              </w:rPr>
              <w:t>(2.9)</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(288)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(41)</w:t>
            </w:r>
          </w:p>
        </w:tc>
      </w:tr>
      <w:tr>
        <w:trPr>
          <w:trHeight w:val="210"/>
        </w:trPr>
        <w:tc>
          <w:tcPr>
            <w:tcW w:w="2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w w:val="99"/>
              </w:rPr>
              <w:t>Reverse mortgage revenue, net (Servicing)</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center"/>
              <w:ind w:left="944"/>
              <w:spacing w:after="0"/>
              <w:rPr>
                <w:sz w:val="20"/>
                <w:szCs w:val="20"/>
                <w:color w:val="auto"/>
              </w:rPr>
            </w:pPr>
            <w:r>
              <w:rPr>
                <w:rFonts w:ascii="Arial" w:cs="Arial" w:eastAsia="Arial" w:hAnsi="Arial"/>
                <w:sz w:val="15"/>
                <w:szCs w:val="15"/>
                <w:color w:val="auto"/>
                <w:w w:val="86"/>
              </w:rPr>
              <w:t>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415 %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10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(10)</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60" w:lineRule="exact"/>
        <w:rPr>
          <w:sz w:val="20"/>
          <w:szCs w:val="20"/>
          <w:color w:val="auto"/>
        </w:rPr>
      </w:pPr>
    </w:p>
    <w:p>
      <w:pPr>
        <w:ind w:left="9" w:right="80" w:firstLine="272"/>
        <w:spacing w:after="0" w:line="265" w:lineRule="auto"/>
        <w:rPr>
          <w:sz w:val="20"/>
          <w:szCs w:val="20"/>
          <w:color w:val="auto"/>
        </w:rPr>
      </w:pPr>
      <w:r>
        <w:rPr>
          <w:rFonts w:ascii="Arial" w:cs="Arial" w:eastAsia="Arial" w:hAnsi="Arial"/>
          <w:sz w:val="15"/>
          <w:szCs w:val="15"/>
          <w:color w:val="auto"/>
        </w:rPr>
        <w:t>The increase in Reverse mortgage revenue, net of $8.5 million, or 415%, for the second quarter of 2021 as compared to the first quarter of 2021 is primarily attributable to decreasing interest rates observed in the market during the second quarter of 2021 and opposite rate movements in the first quarter of 2021, partially offset by less favorable yield spread movement in the second quarter of 2021.</w:t>
      </w:r>
    </w:p>
    <w:p>
      <w:pPr>
        <w:spacing w:after="0" w:line="64" w:lineRule="exact"/>
        <w:rPr>
          <w:sz w:val="20"/>
          <w:szCs w:val="20"/>
          <w:color w:val="auto"/>
        </w:rPr>
      </w:pPr>
    </w:p>
    <w:p>
      <w:pPr>
        <w:ind w:left="9" w:right="80" w:firstLine="272"/>
        <w:spacing w:after="0" w:line="314" w:lineRule="auto"/>
        <w:rPr>
          <w:sz w:val="20"/>
          <w:szCs w:val="20"/>
          <w:color w:val="auto"/>
        </w:rPr>
      </w:pPr>
      <w:r>
        <w:rPr>
          <w:rFonts w:ascii="Arial" w:cs="Arial" w:eastAsia="Arial" w:hAnsi="Arial"/>
          <w:sz w:val="14"/>
          <w:szCs w:val="14"/>
          <w:color w:val="auto"/>
        </w:rPr>
        <w:t>As compared to the six months ended June 30, 2020, Reverse mortgage revenue for the six months ended June 30, 2021 decreased $1.4 million, or 10%, primarily due to the impact of increasing interest rates, partially offset by favorable impacts of yield spread tightening and other assumption adjustments as compared to the 2020 period.</w:t>
      </w:r>
    </w:p>
    <w:p>
      <w:pPr>
        <w:spacing w:after="0" w:line="3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MSR Valuation Adjustments, Net</w:t>
      </w:r>
    </w:p>
    <w:p>
      <w:pPr>
        <w:spacing w:after="0" w:line="100" w:lineRule="exact"/>
        <w:rPr>
          <w:sz w:val="20"/>
          <w:szCs w:val="20"/>
          <w:color w:val="auto"/>
        </w:rPr>
      </w:pPr>
    </w:p>
    <w:p>
      <w:pPr>
        <w:ind w:left="9" w:right="520" w:firstLine="272"/>
        <w:spacing w:after="0" w:line="278" w:lineRule="auto"/>
        <w:rPr>
          <w:sz w:val="20"/>
          <w:szCs w:val="20"/>
          <w:color w:val="auto"/>
        </w:rPr>
      </w:pPr>
      <w:r>
        <w:rPr>
          <w:rFonts w:ascii="Arial" w:cs="Arial" w:eastAsia="Arial" w:hAnsi="Arial"/>
          <w:sz w:val="15"/>
          <w:szCs w:val="15"/>
          <w:color w:val="auto"/>
        </w:rPr>
        <w:t>The following tables summarize the MSR valuation adjustments, net reported in our Servicing segment, with the breakdown of the total MSRs recorded on our balance sheet between our owned MSRs and the pledged MSRs transferred to NRZ that did not achieve sale accounting treatment:</w:t>
      </w:r>
    </w:p>
    <w:p>
      <w:pPr>
        <w:spacing w:after="0" w:line="152" w:lineRule="exact"/>
        <w:rPr>
          <w:sz w:val="20"/>
          <w:szCs w:val="20"/>
          <w:color w:val="auto"/>
        </w:rPr>
      </w:pPr>
    </w:p>
    <w:p>
      <w:pPr>
        <w:ind w:left="4109"/>
        <w:spacing w:after="0"/>
        <w:tabs>
          <w:tab w:leader="none" w:pos="8069" w:val="left"/>
        </w:tabs>
        <w:rPr>
          <w:sz w:val="20"/>
          <w:szCs w:val="20"/>
          <w:color w:val="auto"/>
        </w:rPr>
      </w:pPr>
      <w:r>
        <w:rPr>
          <w:rFonts w:ascii="Arial" w:cs="Arial" w:eastAsia="Arial" w:hAnsi="Arial"/>
          <w:sz w:val="15"/>
          <w:szCs w:val="15"/>
          <w:b w:val="1"/>
          <w:bCs w:val="1"/>
          <w:color w:val="auto"/>
        </w:rPr>
        <w:t>Three Months Ended June 30, 2021</w:t>
      </w:r>
      <w:r>
        <w:rPr>
          <w:sz w:val="20"/>
          <w:szCs w:val="20"/>
          <w:color w:val="auto"/>
        </w:rPr>
        <w:tab/>
      </w:r>
      <w:r>
        <w:rPr>
          <w:rFonts w:ascii="Arial" w:cs="Arial" w:eastAsia="Arial" w:hAnsi="Arial"/>
          <w:sz w:val="13"/>
          <w:szCs w:val="13"/>
          <w:b w:val="1"/>
          <w:bCs w:val="1"/>
          <w:color w:val="auto"/>
        </w:rPr>
        <w:t>Three Months Ended March 31, 2021</w:t>
      </w:r>
    </w:p>
    <w:p>
      <w:pPr>
        <w:sectPr>
          <w:pgSz w:w="11900" w:h="16838" w:orient="portrait"/>
          <w:cols w:equalWidth="0" w:num="1">
            <w:col w:w="11269"/>
          </w:cols>
          <w:pgMar w:left="311" w:top="866" w:right="319" w:bottom="1440" w:gutter="0" w:footer="0" w:header="0"/>
        </w:sectPr>
      </w:pPr>
    </w:p>
    <w:p>
      <w:pPr>
        <w:spacing w:after="0" w:line="22" w:lineRule="exact"/>
        <w:rPr>
          <w:sz w:val="20"/>
          <w:szCs w:val="20"/>
          <w:color w:val="auto"/>
        </w:rPr>
      </w:pPr>
    </w:p>
    <w:tbl>
      <w:tblPr>
        <w:tblLayout w:type="fixed"/>
        <w:tblInd w:w="3289" w:type="dxa"/>
        <w:tblCellMar>
          <w:top w:w="0" w:type="dxa"/>
          <w:left w:w="0" w:type="dxa"/>
          <w:bottom w:w="0" w:type="dxa"/>
          <w:right w:w="0" w:type="dxa"/>
        </w:tblCellMar>
      </w:tblPr>
      <w:tr>
        <w:trPr>
          <w:trHeight w:val="140"/>
        </w:trPr>
        <w:tc>
          <w:tcPr>
            <w:tcW w:w="1200" w:type="dxa"/>
            <w:vAlign w:val="bottom"/>
            <w:tcBorders>
              <w:top w:val="single" w:sz="8" w:color="auto"/>
            </w:tcBorders>
            <w:vMerge w:val="restart"/>
          </w:tcPr>
          <w:p>
            <w:pPr>
              <w:ind w:left="380"/>
              <w:spacing w:after="0"/>
              <w:rPr>
                <w:sz w:val="20"/>
                <w:szCs w:val="20"/>
                <w:color w:val="auto"/>
              </w:rPr>
            </w:pPr>
            <w:r>
              <w:rPr>
                <w:rFonts w:ascii="Arial" w:cs="Arial" w:eastAsia="Arial" w:hAnsi="Arial"/>
                <w:sz w:val="15"/>
                <w:szCs w:val="15"/>
                <w:b w:val="1"/>
                <w:bCs w:val="1"/>
                <w:color w:val="auto"/>
              </w:rPr>
              <w:t>Total (1)</w:t>
            </w:r>
          </w:p>
        </w:tc>
        <w:tc>
          <w:tcPr>
            <w:tcW w:w="1480" w:type="dxa"/>
            <w:vAlign w:val="bottom"/>
            <w:tcBorders>
              <w:top w:val="single" w:sz="8" w:color="auto"/>
            </w:tcBorders>
            <w:vMerge w:val="restart"/>
          </w:tcPr>
          <w:p>
            <w:pPr>
              <w:ind w:left="260"/>
              <w:spacing w:after="0"/>
              <w:rPr>
                <w:sz w:val="20"/>
                <w:szCs w:val="20"/>
                <w:color w:val="auto"/>
              </w:rPr>
            </w:pPr>
            <w:r>
              <w:rPr>
                <w:rFonts w:ascii="Arial" w:cs="Arial" w:eastAsia="Arial" w:hAnsi="Arial"/>
                <w:sz w:val="15"/>
                <w:szCs w:val="15"/>
                <w:b w:val="1"/>
                <w:bCs w:val="1"/>
                <w:color w:val="auto"/>
              </w:rPr>
              <w:t>Owned MSR (1)</w:t>
            </w:r>
          </w:p>
        </w:tc>
        <w:tc>
          <w:tcPr>
            <w:tcW w:w="12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b w:val="1"/>
                <w:bCs w:val="1"/>
                <w:color w:val="auto"/>
                <w:w w:val="93"/>
              </w:rPr>
              <w:t>Pledged MSR</w:t>
            </w:r>
          </w:p>
        </w:tc>
        <w:tc>
          <w:tcPr>
            <w:tcW w:w="0" w:type="dxa"/>
            <w:vAlign w:val="bottom"/>
          </w:tcPr>
          <w:p>
            <w:pPr>
              <w:spacing w:after="0"/>
              <w:rPr>
                <w:sz w:val="1"/>
                <w:szCs w:val="1"/>
                <w:color w:val="auto"/>
              </w:rPr>
            </w:pPr>
          </w:p>
        </w:tc>
      </w:tr>
      <w:tr>
        <w:trPr>
          <w:trHeight w:val="193"/>
        </w:trPr>
        <w:tc>
          <w:tcPr>
            <w:tcW w:w="12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7"/>
              </w:rPr>
              <w:t>(NRZ)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20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Total (1)</w:t>
            </w:r>
          </w:p>
        </w:tc>
        <w:tc>
          <w:tcPr>
            <w:tcW w:w="1480" w:type="dxa"/>
            <w:vAlign w:val="bottom"/>
            <w:tcBorders>
              <w:top w:val="single" w:sz="8" w:color="auto"/>
            </w:tcBorders>
            <w:vMerge w:val="restart"/>
          </w:tcPr>
          <w:p>
            <w:pPr>
              <w:ind w:left="260"/>
              <w:spacing w:after="0"/>
              <w:rPr>
                <w:sz w:val="20"/>
                <w:szCs w:val="20"/>
                <w:color w:val="auto"/>
              </w:rPr>
            </w:pPr>
            <w:r>
              <w:rPr>
                <w:rFonts w:ascii="Arial" w:cs="Arial" w:eastAsia="Arial" w:hAnsi="Arial"/>
                <w:sz w:val="15"/>
                <w:szCs w:val="15"/>
                <w:b w:val="1"/>
                <w:bCs w:val="1"/>
                <w:color w:val="auto"/>
              </w:rPr>
              <w:t>Owned MSR (1)</w:t>
            </w:r>
          </w:p>
        </w:tc>
        <w:tc>
          <w:tcPr>
            <w:tcW w:w="12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b w:val="1"/>
                <w:bCs w:val="1"/>
                <w:color w:val="auto"/>
                <w:w w:val="91"/>
              </w:rPr>
              <w:t>Pledged MSR</w:t>
            </w:r>
          </w:p>
        </w:tc>
        <w:tc>
          <w:tcPr>
            <w:tcW w:w="0" w:type="dxa"/>
            <w:vAlign w:val="bottom"/>
          </w:tcPr>
          <w:p>
            <w:pPr>
              <w:spacing w:after="0"/>
              <w:rPr>
                <w:sz w:val="1"/>
                <w:szCs w:val="1"/>
                <w:color w:val="auto"/>
              </w:rPr>
            </w:pPr>
          </w:p>
        </w:tc>
      </w:tr>
      <w:tr>
        <w:trPr>
          <w:trHeight w:val="193"/>
        </w:trPr>
        <w:tc>
          <w:tcPr>
            <w:tcW w:w="12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(NRZ) (2)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229" w:space="80"/>
            <w:col w:w="3960"/>
          </w:cols>
          <w:pgMar w:left="311" w:top="866" w:right="319" w:bottom="1440" w:gutter="0" w:footer="0" w:header="0"/>
          <w:type w:val="continuous"/>
        </w:sectPr>
      </w:pPr>
    </w:p>
    <w:tbl>
      <w:tblPr>
        <w:tblLayout w:type="fixed"/>
        <w:tblInd w:w="9" w:type="dxa"/>
        <w:tblCellMar>
          <w:top w:w="0" w:type="dxa"/>
          <w:left w:w="0" w:type="dxa"/>
          <w:bottom w:w="0" w:type="dxa"/>
          <w:right w:w="0" w:type="dxa"/>
        </w:tblCellMar>
      </w:tblPr>
      <w:tr>
        <w:trPr>
          <w:trHeight w:val="184"/>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Runoff</w:t>
            </w: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center"/>
              <w:ind w:left="304"/>
              <w:spacing w:after="0"/>
              <w:rPr>
                <w:sz w:val="20"/>
                <w:szCs w:val="20"/>
                <w:color w:val="auto"/>
              </w:rPr>
            </w:pPr>
            <w:r>
              <w:rPr>
                <w:rFonts w:ascii="Arial" w:cs="Arial" w:eastAsia="Arial" w:hAnsi="Arial"/>
                <w:sz w:val="15"/>
                <w:szCs w:val="15"/>
                <w:color w:val="auto"/>
                <w:w w:val="96"/>
              </w:rPr>
              <w:t>(57.0)</w:t>
            </w:r>
          </w:p>
        </w:tc>
        <w:tc>
          <w:tcPr>
            <w:tcW w:w="50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center"/>
              <w:ind w:left="344"/>
              <w:spacing w:after="0"/>
              <w:rPr>
                <w:sz w:val="20"/>
                <w:szCs w:val="20"/>
                <w:color w:val="auto"/>
              </w:rPr>
            </w:pPr>
            <w:r>
              <w:rPr>
                <w:rFonts w:ascii="Arial" w:cs="Arial" w:eastAsia="Arial" w:hAnsi="Arial"/>
                <w:sz w:val="15"/>
                <w:szCs w:val="15"/>
                <w:color w:val="auto"/>
                <w:w w:val="96"/>
              </w:rPr>
              <w:t>(36.1)</w:t>
            </w: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center"/>
              <w:ind w:left="324"/>
              <w:spacing w:after="0"/>
              <w:rPr>
                <w:sz w:val="20"/>
                <w:szCs w:val="20"/>
                <w:color w:val="auto"/>
              </w:rPr>
            </w:pPr>
            <w:r>
              <w:rPr>
                <w:rFonts w:ascii="Arial" w:cs="Arial" w:eastAsia="Arial" w:hAnsi="Arial"/>
                <w:sz w:val="15"/>
                <w:szCs w:val="15"/>
                <w:color w:val="auto"/>
                <w:w w:val="91"/>
              </w:rPr>
              <w:t>(49.1)</w:t>
            </w: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r>
      <w:tr>
        <w:trPr>
          <w:trHeight w:val="192"/>
        </w:trPr>
        <w:tc>
          <w:tcPr>
            <w:tcW w:w="3280" w:type="dxa"/>
            <w:vAlign w:val="bottom"/>
          </w:tcPr>
          <w:p>
            <w:pPr>
              <w:spacing w:after="0"/>
              <w:rPr>
                <w:sz w:val="20"/>
                <w:szCs w:val="20"/>
                <w:color w:val="auto"/>
              </w:rPr>
            </w:pPr>
            <w:r>
              <w:rPr>
                <w:rFonts w:ascii="Arial" w:cs="Arial" w:eastAsia="Arial" w:hAnsi="Arial"/>
                <w:sz w:val="15"/>
                <w:szCs w:val="15"/>
                <w:color w:val="auto"/>
              </w:rPr>
              <w:t>Rate and assumption change (1)</w:t>
            </w:r>
          </w:p>
        </w:tc>
        <w:tc>
          <w:tcPr>
            <w:tcW w:w="520" w:type="dxa"/>
            <w:vAlign w:val="bottom"/>
          </w:tcPr>
          <w:p>
            <w:pPr>
              <w:spacing w:after="0"/>
              <w:rPr>
                <w:sz w:val="16"/>
                <w:szCs w:val="16"/>
                <w:color w:val="auto"/>
              </w:rPr>
            </w:pPr>
          </w:p>
        </w:tc>
        <w:tc>
          <w:tcPr>
            <w:tcW w:w="800" w:type="dxa"/>
            <w:vAlign w:val="bottom"/>
          </w:tcPr>
          <w:p>
            <w:pPr>
              <w:jc w:val="center"/>
              <w:ind w:left="304"/>
              <w:spacing w:after="0"/>
              <w:rPr>
                <w:sz w:val="20"/>
                <w:szCs w:val="20"/>
                <w:color w:val="auto"/>
              </w:rPr>
            </w:pPr>
            <w:r>
              <w:rPr>
                <w:rFonts w:ascii="Arial" w:cs="Arial" w:eastAsia="Arial" w:hAnsi="Arial"/>
                <w:sz w:val="15"/>
                <w:szCs w:val="15"/>
                <w:color w:val="auto"/>
                <w:w w:val="96"/>
              </w:rPr>
              <w:t>(47.2)</w:t>
            </w:r>
          </w:p>
        </w:tc>
        <w:tc>
          <w:tcPr>
            <w:tcW w:w="500" w:type="dxa"/>
            <w:vAlign w:val="bottom"/>
          </w:tcPr>
          <w:p>
            <w:pPr>
              <w:spacing w:after="0"/>
              <w:rPr>
                <w:sz w:val="16"/>
                <w:szCs w:val="16"/>
                <w:color w:val="auto"/>
              </w:rPr>
            </w:pPr>
          </w:p>
        </w:tc>
        <w:tc>
          <w:tcPr>
            <w:tcW w:w="800" w:type="dxa"/>
            <w:vAlign w:val="bottom"/>
          </w:tcPr>
          <w:p>
            <w:pPr>
              <w:jc w:val="center"/>
              <w:ind w:left="344"/>
              <w:spacing w:after="0"/>
              <w:rPr>
                <w:sz w:val="20"/>
                <w:szCs w:val="20"/>
                <w:color w:val="auto"/>
              </w:rPr>
            </w:pPr>
            <w:r>
              <w:rPr>
                <w:rFonts w:ascii="Arial" w:cs="Arial" w:eastAsia="Arial" w:hAnsi="Arial"/>
                <w:sz w:val="15"/>
                <w:szCs w:val="15"/>
                <w:color w:val="auto"/>
                <w:w w:val="96"/>
              </w:rPr>
              <w:t>(55.6)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center"/>
              <w:ind w:left="344"/>
              <w:spacing w:after="0"/>
              <w:rPr>
                <w:sz w:val="20"/>
                <w:szCs w:val="20"/>
                <w:color w:val="auto"/>
              </w:rPr>
            </w:pPr>
            <w:r>
              <w:rPr>
                <w:rFonts w:ascii="Arial" w:cs="Arial" w:eastAsia="Arial" w:hAnsi="Arial"/>
                <w:sz w:val="15"/>
                <w:szCs w:val="15"/>
                <w:color w:val="auto"/>
                <w:w w:val="88"/>
              </w:rPr>
              <w:t>75.5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73.9</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93"/>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Hedging gain (loss)</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344"/>
              <w:spacing w:after="0"/>
              <w:rPr>
                <w:sz w:val="20"/>
                <w:szCs w:val="20"/>
                <w:color w:val="auto"/>
              </w:rPr>
            </w:pPr>
            <w:r>
              <w:rPr>
                <w:rFonts w:ascii="Arial" w:cs="Arial" w:eastAsia="Arial" w:hAnsi="Arial"/>
                <w:sz w:val="15"/>
                <w:szCs w:val="15"/>
                <w:color w:val="auto"/>
                <w:w w:val="88"/>
              </w:rPr>
              <w:t>34.3</w:t>
            </w: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364"/>
              <w:spacing w:after="0"/>
              <w:rPr>
                <w:sz w:val="20"/>
                <w:szCs w:val="20"/>
                <w:color w:val="auto"/>
              </w:rPr>
            </w:pPr>
            <w:r>
              <w:rPr>
                <w:rFonts w:ascii="Arial" w:cs="Arial" w:eastAsia="Arial" w:hAnsi="Arial"/>
                <w:sz w:val="15"/>
                <w:szCs w:val="15"/>
                <w:color w:val="auto"/>
                <w:w w:val="95"/>
              </w:rPr>
              <w:t>34.3</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324"/>
              <w:spacing w:after="0"/>
              <w:rPr>
                <w:sz w:val="20"/>
                <w:szCs w:val="20"/>
                <w:color w:val="auto"/>
              </w:rPr>
            </w:pPr>
            <w:r>
              <w:rPr>
                <w:rFonts w:ascii="Arial" w:cs="Arial" w:eastAsia="Arial" w:hAnsi="Arial"/>
                <w:sz w:val="15"/>
                <w:szCs w:val="15"/>
                <w:color w:val="auto"/>
                <w:w w:val="91"/>
              </w:rPr>
              <w:t>(49.1)</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3280" w:type="dxa"/>
            <w:vAlign w:val="bottom"/>
          </w:tcPr>
          <w:p>
            <w:pPr>
              <w:spacing w:after="0"/>
              <w:rPr>
                <w:sz w:val="20"/>
                <w:szCs w:val="20"/>
                <w:color w:val="auto"/>
              </w:rPr>
            </w:pPr>
            <w:r>
              <w:rPr>
                <w:rFonts w:ascii="Arial" w:cs="Arial" w:eastAsia="Arial" w:hAnsi="Arial"/>
                <w:sz w:val="15"/>
                <w:szCs w:val="15"/>
                <w:color w:val="auto"/>
              </w:rPr>
              <w:t>Total</w:t>
            </w: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center"/>
              <w:ind w:left="304"/>
              <w:spacing w:after="0"/>
              <w:rPr>
                <w:sz w:val="20"/>
                <w:szCs w:val="20"/>
                <w:color w:val="auto"/>
              </w:rPr>
            </w:pPr>
            <w:r>
              <w:rPr>
                <w:rFonts w:ascii="Arial" w:cs="Arial" w:eastAsia="Arial" w:hAnsi="Arial"/>
                <w:sz w:val="15"/>
                <w:szCs w:val="15"/>
                <w:color w:val="auto"/>
                <w:w w:val="96"/>
              </w:rPr>
              <w:t>(69.9)</w:t>
            </w: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center"/>
              <w:ind w:left="344"/>
              <w:spacing w:after="0"/>
              <w:rPr>
                <w:sz w:val="20"/>
                <w:szCs w:val="20"/>
                <w:color w:val="auto"/>
              </w:rPr>
            </w:pPr>
            <w:r>
              <w:rPr>
                <w:rFonts w:ascii="Arial" w:cs="Arial" w:eastAsia="Arial" w:hAnsi="Arial"/>
                <w:sz w:val="15"/>
                <w:szCs w:val="15"/>
                <w:color w:val="auto"/>
                <w:w w:val="96"/>
              </w:rPr>
              <w:t>(57.4)</w:t>
            </w: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center"/>
              <w:ind w:left="324"/>
              <w:spacing w:after="0"/>
              <w:rPr>
                <w:sz w:val="20"/>
                <w:szCs w:val="20"/>
                <w:color w:val="auto"/>
              </w:rPr>
            </w:pPr>
            <w:r>
              <w:rPr>
                <w:rFonts w:ascii="Arial" w:cs="Arial" w:eastAsia="Arial" w:hAnsi="Arial"/>
                <w:sz w:val="15"/>
                <w:szCs w:val="15"/>
                <w:color w:val="auto"/>
                <w:w w:val="91"/>
              </w:rPr>
              <w:t>(22.7)</w:t>
            </w: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(16.0)</w:t>
            </w:r>
          </w:p>
        </w:tc>
      </w:tr>
      <w:tr>
        <w:trPr>
          <w:trHeight w:val="20"/>
        </w:trPr>
        <w:tc>
          <w:tcPr>
            <w:tcW w:w="3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389"/>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15240</wp:posOffset>
            </wp:positionV>
            <wp:extent cx="50647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64760" cy="698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type w:val="continuous"/>
        </w:sectPr>
      </w:pPr>
    </w:p>
    <w:p>
      <w:pPr>
        <w:spacing w:after="0" w:line="32" w:lineRule="exact"/>
        <w:rPr>
          <w:sz w:val="20"/>
          <w:szCs w:val="20"/>
          <w:color w:val="auto"/>
        </w:rPr>
      </w:pPr>
    </w:p>
    <w:p>
      <w:pPr>
        <w:ind w:left="5109"/>
        <w:spacing w:after="0"/>
        <w:rPr>
          <w:sz w:val="20"/>
          <w:szCs w:val="20"/>
          <w:color w:val="auto"/>
        </w:rPr>
      </w:pPr>
      <w:r>
        <w:rPr>
          <w:rFonts w:ascii="Arial" w:cs="Arial" w:eastAsia="Arial" w:hAnsi="Arial"/>
          <w:sz w:val="15"/>
          <w:szCs w:val="15"/>
          <w:b w:val="1"/>
          <w:bCs w:val="1"/>
          <w:color w:val="auto"/>
        </w:rPr>
        <w:t>2021</w:t>
      </w:r>
    </w:p>
    <w:p>
      <w:pPr>
        <w:spacing w:after="0" w:line="22" w:lineRule="exact"/>
        <w:rPr>
          <w:sz w:val="20"/>
          <w:szCs w:val="20"/>
          <w:color w:val="auto"/>
        </w:rPr>
      </w:pPr>
    </w:p>
    <w:tbl>
      <w:tblPr>
        <w:tblLayout w:type="fixed"/>
        <w:tblInd w:w="3289" w:type="dxa"/>
        <w:tblCellMar>
          <w:top w:w="0" w:type="dxa"/>
          <w:left w:w="0" w:type="dxa"/>
          <w:bottom w:w="0" w:type="dxa"/>
          <w:right w:w="0" w:type="dxa"/>
        </w:tblCellMar>
      </w:tblPr>
      <w:tr>
        <w:trPr>
          <w:trHeight w:val="140"/>
        </w:trPr>
        <w:tc>
          <w:tcPr>
            <w:tcW w:w="1240" w:type="dxa"/>
            <w:vAlign w:val="bottom"/>
            <w:tcBorders>
              <w:top w:val="single" w:sz="8" w:color="auto"/>
            </w:tcBorders>
            <w:vMerge w:val="restart"/>
          </w:tcPr>
          <w:p>
            <w:pPr>
              <w:ind w:left="380"/>
              <w:spacing w:after="0"/>
              <w:rPr>
                <w:sz w:val="20"/>
                <w:szCs w:val="20"/>
                <w:color w:val="auto"/>
              </w:rPr>
            </w:pPr>
            <w:r>
              <w:rPr>
                <w:rFonts w:ascii="Arial" w:cs="Arial" w:eastAsia="Arial" w:hAnsi="Arial"/>
                <w:sz w:val="15"/>
                <w:szCs w:val="15"/>
                <w:b w:val="1"/>
                <w:bCs w:val="1"/>
                <w:color w:val="auto"/>
              </w:rPr>
              <w:t>Total (1)</w:t>
            </w:r>
          </w:p>
        </w:tc>
        <w:tc>
          <w:tcPr>
            <w:tcW w:w="1380" w:type="dxa"/>
            <w:vAlign w:val="bottom"/>
            <w:tcBorders>
              <w:top w:val="single" w:sz="8" w:color="auto"/>
            </w:tcBorders>
            <w:vMerge w:val="restart"/>
          </w:tcPr>
          <w:p>
            <w:pPr>
              <w:ind w:left="320"/>
              <w:spacing w:after="0"/>
              <w:rPr>
                <w:sz w:val="20"/>
                <w:szCs w:val="20"/>
                <w:color w:val="auto"/>
              </w:rPr>
            </w:pPr>
            <w:r>
              <w:rPr>
                <w:rFonts w:ascii="Arial" w:cs="Arial" w:eastAsia="Arial" w:hAnsi="Arial"/>
                <w:sz w:val="15"/>
                <w:szCs w:val="15"/>
                <w:b w:val="1"/>
                <w:bCs w:val="1"/>
                <w:color w:val="auto"/>
              </w:rPr>
              <w:t>Owned MSR</w:t>
            </w:r>
          </w:p>
        </w:tc>
        <w:tc>
          <w:tcPr>
            <w:tcW w:w="13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b w:val="1"/>
                <w:bCs w:val="1"/>
                <w:color w:val="auto"/>
                <w:w w:val="93"/>
              </w:rPr>
              <w:t>Pledged MSR</w:t>
            </w:r>
          </w:p>
        </w:tc>
        <w:tc>
          <w:tcPr>
            <w:tcW w:w="0" w:type="dxa"/>
            <w:vAlign w:val="bottom"/>
          </w:tcPr>
          <w:p>
            <w:pPr>
              <w:spacing w:after="0"/>
              <w:rPr>
                <w:sz w:val="1"/>
                <w:szCs w:val="1"/>
                <w:color w:val="auto"/>
              </w:rPr>
            </w:pPr>
          </w:p>
        </w:tc>
      </w:tr>
      <w:tr>
        <w:trPr>
          <w:trHeight w:val="193"/>
        </w:trPr>
        <w:tc>
          <w:tcPr>
            <w:tcW w:w="12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7"/>
              </w:rPr>
              <w:t>(NRZ)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60" w:type="dxa"/>
            <w:vAlign w:val="bottom"/>
            <w:tcBorders>
              <w:top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Total (1)</w:t>
            </w:r>
          </w:p>
        </w:tc>
        <w:tc>
          <w:tcPr>
            <w:tcW w:w="1360" w:type="dxa"/>
            <w:vAlign w:val="bottom"/>
            <w:tcBorders>
              <w:top w:val="single" w:sz="8" w:color="auto"/>
            </w:tcBorders>
            <w:vMerge w:val="restart"/>
          </w:tcPr>
          <w:p>
            <w:pPr>
              <w:ind w:left="300"/>
              <w:spacing w:after="0"/>
              <w:rPr>
                <w:sz w:val="20"/>
                <w:szCs w:val="20"/>
                <w:color w:val="auto"/>
              </w:rPr>
            </w:pPr>
            <w:r>
              <w:rPr>
                <w:rFonts w:ascii="Arial" w:cs="Arial" w:eastAsia="Arial" w:hAnsi="Arial"/>
                <w:sz w:val="15"/>
                <w:szCs w:val="15"/>
                <w:b w:val="1"/>
                <w:bCs w:val="1"/>
                <w:color w:val="auto"/>
              </w:rPr>
              <w:t>Owned MSR</w:t>
            </w:r>
          </w:p>
        </w:tc>
        <w:tc>
          <w:tcPr>
            <w:tcW w:w="13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b w:val="1"/>
                <w:bCs w:val="1"/>
                <w:color w:val="auto"/>
                <w:w w:val="91"/>
              </w:rPr>
              <w:t>Pledged MSR</w:t>
            </w:r>
          </w:p>
        </w:tc>
        <w:tc>
          <w:tcPr>
            <w:tcW w:w="0" w:type="dxa"/>
            <w:vAlign w:val="bottom"/>
          </w:tcPr>
          <w:p>
            <w:pPr>
              <w:spacing w:after="0"/>
              <w:rPr>
                <w:sz w:val="1"/>
                <w:szCs w:val="1"/>
                <w:color w:val="auto"/>
              </w:rPr>
            </w:pPr>
          </w:p>
        </w:tc>
      </w:tr>
      <w:tr>
        <w:trPr>
          <w:trHeight w:val="193"/>
        </w:trPr>
        <w:tc>
          <w:tcPr>
            <w:tcW w:w="12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(NRZ) (2)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229" w:space="80"/>
            <w:col w:w="3960"/>
          </w:cols>
          <w:pgMar w:left="311" w:top="866" w:right="319" w:bottom="1440" w:gutter="0" w:footer="0" w:header="0"/>
          <w:type w:val="continuous"/>
        </w:sectPr>
      </w:pPr>
    </w:p>
    <w:tbl>
      <w:tblPr>
        <w:tblLayout w:type="fixed"/>
        <w:tblInd w:w="9" w:type="dxa"/>
        <w:tblCellMar>
          <w:top w:w="0" w:type="dxa"/>
          <w:left w:w="0" w:type="dxa"/>
          <w:bottom w:w="0" w:type="dxa"/>
          <w:right w:w="0" w:type="dxa"/>
        </w:tblCellMar>
      </w:tblPr>
      <w:tr>
        <w:trPr>
          <w:trHeight w:val="184"/>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Runoff</w:t>
            </w:r>
          </w:p>
        </w:tc>
        <w:tc>
          <w:tcPr>
            <w:tcW w:w="48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(106.2)</w:t>
            </w:r>
          </w:p>
        </w:tc>
        <w:tc>
          <w:tcPr>
            <w:tcW w:w="50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center"/>
              <w:ind w:left="344"/>
              <w:spacing w:after="0"/>
              <w:rPr>
                <w:sz w:val="20"/>
                <w:szCs w:val="20"/>
                <w:color w:val="auto"/>
              </w:rPr>
            </w:pPr>
            <w:r>
              <w:rPr>
                <w:rFonts w:ascii="Arial" w:cs="Arial" w:eastAsia="Arial" w:hAnsi="Arial"/>
                <w:sz w:val="15"/>
                <w:szCs w:val="15"/>
                <w:color w:val="auto"/>
                <w:w w:val="96"/>
              </w:rPr>
              <w:t>(67.6)</w:t>
            </w: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(83.9)</w:t>
            </w:r>
          </w:p>
        </w:tc>
        <w:tc>
          <w:tcPr>
            <w:tcW w:w="48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w:t>
            </w:r>
          </w:p>
        </w:tc>
      </w:tr>
      <w:tr>
        <w:trPr>
          <w:trHeight w:val="192"/>
        </w:trPr>
        <w:tc>
          <w:tcPr>
            <w:tcW w:w="3280" w:type="dxa"/>
            <w:vAlign w:val="bottom"/>
          </w:tcPr>
          <w:p>
            <w:pPr>
              <w:spacing w:after="0"/>
              <w:rPr>
                <w:sz w:val="20"/>
                <w:szCs w:val="20"/>
                <w:color w:val="auto"/>
              </w:rPr>
            </w:pPr>
            <w:r>
              <w:rPr>
                <w:rFonts w:ascii="Arial" w:cs="Arial" w:eastAsia="Arial" w:hAnsi="Arial"/>
                <w:sz w:val="15"/>
                <w:szCs w:val="15"/>
                <w:color w:val="auto"/>
              </w:rPr>
              <w:t>Rate and assumption change (1)</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28.3</w:t>
            </w:r>
          </w:p>
        </w:tc>
        <w:tc>
          <w:tcPr>
            <w:tcW w:w="500" w:type="dxa"/>
            <w:vAlign w:val="bottom"/>
          </w:tcPr>
          <w:p>
            <w:pPr>
              <w:spacing w:after="0"/>
              <w:rPr>
                <w:sz w:val="16"/>
                <w:szCs w:val="16"/>
                <w:color w:val="auto"/>
              </w:rPr>
            </w:pPr>
          </w:p>
        </w:tc>
        <w:tc>
          <w:tcPr>
            <w:tcW w:w="800" w:type="dxa"/>
            <w:vAlign w:val="bottom"/>
          </w:tcPr>
          <w:p>
            <w:pPr>
              <w:jc w:val="center"/>
              <w:ind w:left="364"/>
              <w:spacing w:after="0"/>
              <w:rPr>
                <w:sz w:val="20"/>
                <w:szCs w:val="20"/>
                <w:color w:val="auto"/>
              </w:rPr>
            </w:pPr>
            <w:r>
              <w:rPr>
                <w:rFonts w:ascii="Arial" w:cs="Arial" w:eastAsia="Arial" w:hAnsi="Arial"/>
                <w:sz w:val="15"/>
                <w:szCs w:val="15"/>
                <w:color w:val="auto"/>
                <w:w w:val="95"/>
              </w:rPr>
              <w:t>18.4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(170.5)</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(143.6)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(26.8)</w:t>
            </w:r>
          </w:p>
        </w:tc>
      </w:tr>
      <w:tr>
        <w:trPr>
          <w:trHeight w:val="193"/>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Hedging gain (loss)</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left="344"/>
              <w:spacing w:after="0"/>
              <w:rPr>
                <w:sz w:val="20"/>
                <w:szCs w:val="20"/>
                <w:color w:val="auto"/>
              </w:rPr>
            </w:pPr>
            <w:r>
              <w:rPr>
                <w:rFonts w:ascii="Arial" w:cs="Arial" w:eastAsia="Arial" w:hAnsi="Arial"/>
                <w:sz w:val="15"/>
                <w:szCs w:val="15"/>
                <w:color w:val="auto"/>
                <w:w w:val="96"/>
              </w:rPr>
              <w:t>(14.8)</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3280" w:type="dxa"/>
            <w:vAlign w:val="bottom"/>
          </w:tcPr>
          <w:p>
            <w:pPr>
              <w:spacing w:after="0"/>
              <w:rPr>
                <w:sz w:val="20"/>
                <w:szCs w:val="20"/>
                <w:color w:val="auto"/>
              </w:rPr>
            </w:pPr>
            <w:r>
              <w:rPr>
                <w:rFonts w:ascii="Arial" w:cs="Arial" w:eastAsia="Arial" w:hAnsi="Arial"/>
                <w:sz w:val="15"/>
                <w:szCs w:val="15"/>
                <w:color w:val="auto"/>
              </w:rPr>
              <w:t>Total</w:t>
            </w:r>
          </w:p>
        </w:tc>
        <w:tc>
          <w:tcPr>
            <w:tcW w:w="4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(92.6)</w:t>
            </w: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center"/>
              <w:ind w:left="344"/>
              <w:spacing w:after="0"/>
              <w:rPr>
                <w:sz w:val="20"/>
                <w:szCs w:val="20"/>
                <w:color w:val="auto"/>
              </w:rPr>
            </w:pPr>
            <w:r>
              <w:rPr>
                <w:rFonts w:ascii="Arial" w:cs="Arial" w:eastAsia="Arial" w:hAnsi="Arial"/>
                <w:sz w:val="15"/>
                <w:szCs w:val="15"/>
                <w:color w:val="auto"/>
                <w:w w:val="96"/>
              </w:rPr>
              <w:t>(64.0)</w:t>
            </w: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(28.6)</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(211.5)</w:t>
            </w:r>
          </w:p>
        </w:tc>
        <w:tc>
          <w:tcPr>
            <w:tcW w:w="4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(145.5)</w:t>
            </w: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(66.0)</w:t>
            </w:r>
          </w:p>
        </w:tc>
      </w:tr>
      <w:tr>
        <w:trPr>
          <w:trHeight w:val="20"/>
        </w:trPr>
        <w:tc>
          <w:tcPr>
            <w:tcW w:w="3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69" w:right="140" w:hanging="269"/>
        <w:spacing w:after="0" w:line="245" w:lineRule="auto"/>
        <w:tabs>
          <w:tab w:leader="none" w:pos="269"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Excludes gains of $8.8 million, $8.5 million, $17.3 million and $14.0 million in the second quarter of 2021, first quarter of 2021, six months ended June 30, 2021 and six months ended June 30, 2020, respectively, on the revaluation of MSR purchased at a discount, that is reported in the Originations segment as MSR valuation adjustments, net.</w:t>
      </w:r>
    </w:p>
    <w:p>
      <w:pPr>
        <w:jc w:val="both"/>
        <w:ind w:left="269" w:right="40" w:hanging="269"/>
        <w:spacing w:after="0" w:line="296" w:lineRule="auto"/>
        <w:tabs>
          <w:tab w:leader="none" w:pos="269"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For those MSR sale transactions with NRZ that do not achieve sale accounting treatment, we present gross the pledged MSR as an asset and the corresponding liability amount pledged MSR liability on our balance sheet. Because we record both our pledged MSRs with NRZ and the associated MSR liability at fair value, the changes in fair value of the pledged MSR liability are offset by the changes in fair value of the associated pledged MSR asset, presented in MSR valuation adjustments, net. Although fair value changes are separately</w:t>
      </w:r>
    </w:p>
    <w:p>
      <w:pPr>
        <w:spacing w:after="0" w:line="200" w:lineRule="exact"/>
        <w:rPr>
          <w:sz w:val="20"/>
          <w:szCs w:val="20"/>
          <w:color w:val="auto"/>
        </w:rPr>
      </w:pPr>
    </w:p>
    <w:p>
      <w:pPr>
        <w:spacing w:after="0" w:line="21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type w:val="continuous"/>
        </w:sectPr>
      </w:pPr>
    </w:p>
    <w:bookmarkStart w:id="78" w:name="page79"/>
    <w:bookmarkEnd w:id="78"/>
    <w:p>
      <w:pPr>
        <w:ind w:left="269"/>
        <w:spacing w:after="0"/>
        <w:rPr>
          <w:sz w:val="20"/>
          <w:szCs w:val="20"/>
          <w:color w:val="auto"/>
        </w:rPr>
      </w:pPr>
      <w:r>
        <w:rPr>
          <w:rFonts w:ascii="Arial" w:cs="Arial" w:eastAsia="Arial" w:hAnsi="Arial"/>
          <w:sz w:val="14"/>
          <w:szCs w:val="14"/>
          <w:color w:val="auto"/>
        </w:rPr>
        <w:t>presented in our statement of operations, we are not exposed to any fair value changes of the MSR pledged to NRZ. See Note 8 — Rights to MSRs for further information.</w:t>
      </w:r>
    </w:p>
    <w:p>
      <w:pPr>
        <w:spacing w:after="0" w:line="87" w:lineRule="exact"/>
        <w:rPr>
          <w:sz w:val="20"/>
          <w:szCs w:val="20"/>
          <w:color w:val="auto"/>
        </w:rPr>
      </w:pPr>
    </w:p>
    <w:p>
      <w:pPr>
        <w:ind w:left="9" w:right="100" w:firstLine="272"/>
        <w:spacing w:after="0" w:line="258" w:lineRule="auto"/>
        <w:rPr>
          <w:sz w:val="20"/>
          <w:szCs w:val="20"/>
          <w:color w:val="auto"/>
        </w:rPr>
      </w:pPr>
      <w:r>
        <w:rPr>
          <w:rFonts w:ascii="Arial" w:cs="Arial" w:eastAsia="Arial" w:hAnsi="Arial"/>
          <w:sz w:val="15"/>
          <w:szCs w:val="15"/>
          <w:color w:val="auto"/>
        </w:rPr>
        <w:t>We reported a $69.9 million loss in MSR valuation adjustments, net for the second quarter of 2021, comprised of a $57.4 million loss on our owned MSRs and a $12.5 million loss on the MSRs transferred and pledged to NRZ. The $57.4 million loss on our owned MSRs for the second quarter of 2021 is comprised of $36.1 million portfolio runoff and a $55.6 million loss due to decline of market interest rates (the 10 year swap rate declined by 34 basis points in the second quarter of 2021), partially offset by a $34.3 million hedging gain. MSR portfolio runoff represents the realization of expected cash flows and yield based on projected borrower behavior, including scheduled amortization of the loan UPB together with actual prepayments.</w:t>
      </w:r>
    </w:p>
    <w:p>
      <w:pPr>
        <w:spacing w:after="0" w:line="71" w:lineRule="exact"/>
        <w:rPr>
          <w:sz w:val="20"/>
          <w:szCs w:val="20"/>
          <w:color w:val="auto"/>
        </w:rPr>
      </w:pPr>
    </w:p>
    <w:p>
      <w:pPr>
        <w:ind w:left="9" w:right="120" w:firstLine="272"/>
        <w:spacing w:after="0" w:line="285" w:lineRule="auto"/>
        <w:rPr>
          <w:sz w:val="20"/>
          <w:szCs w:val="20"/>
          <w:color w:val="auto"/>
        </w:rPr>
      </w:pPr>
      <w:r>
        <w:rPr>
          <w:rFonts w:ascii="Arial" w:cs="Arial" w:eastAsia="Arial" w:hAnsi="Arial"/>
          <w:sz w:val="14"/>
          <w:szCs w:val="14"/>
          <w:color w:val="auto"/>
        </w:rPr>
        <w:t>During the six months ended June 30, 2021, we reported a $92.6 million loss in MSR valuation adjustments, net, comprised of a $64.0 million loss on our owned MSRs and a $28.6 million loss on the MSRs transferred and pledged to NRZ. The $64.0 million loss on our owned MSRs is comprised of $67.6 million portfolio runoff, 18.4 million gain on rate and assumption change, partially offset by a $14.8 million hedging loss. The gain on rate and assumption change is primarily due to an increase in market interest rates (the 10 year swap rate increased by 52 basis points in the six months ended June 30, 2021), partially offset by a loss on assumption updates driven by prepayment model calibration.</w:t>
      </w:r>
    </w:p>
    <w:p>
      <w:pPr>
        <w:spacing w:after="0" w:line="52" w:lineRule="exact"/>
        <w:rPr>
          <w:sz w:val="20"/>
          <w:szCs w:val="20"/>
          <w:color w:val="auto"/>
        </w:rPr>
      </w:pPr>
    </w:p>
    <w:p>
      <w:pPr>
        <w:ind w:left="9" w:right="760" w:firstLine="272"/>
        <w:spacing w:after="0" w:line="275" w:lineRule="auto"/>
        <w:rPr>
          <w:sz w:val="20"/>
          <w:szCs w:val="20"/>
          <w:color w:val="auto"/>
        </w:rPr>
      </w:pPr>
      <w:r>
        <w:rPr>
          <w:rFonts w:ascii="Arial" w:cs="Arial" w:eastAsia="Arial" w:hAnsi="Arial"/>
          <w:sz w:val="15"/>
          <w:szCs w:val="15"/>
          <w:color w:val="auto"/>
        </w:rPr>
        <w:t>The following table provides information regarding the changes in the fair value and the UPB of our portfolio of owned MSRs during the second quarter of 2021, with the breakdown by investor type.</w:t>
      </w:r>
    </w:p>
    <w:tbl>
      <w:tblPr>
        <w:tblLayout w:type="fixed"/>
        <w:tblInd w:w="9" w:type="dxa"/>
        <w:tblCellMar>
          <w:top w:w="0" w:type="dxa"/>
          <w:left w:w="0" w:type="dxa"/>
          <w:bottom w:w="0" w:type="dxa"/>
          <w:right w:w="0" w:type="dxa"/>
        </w:tblCellMar>
      </w:tblPr>
      <w:tr>
        <w:trPr>
          <w:trHeight w:val="171"/>
        </w:trPr>
        <w:tc>
          <w:tcPr>
            <w:tcW w:w="980" w:type="dxa"/>
            <w:vAlign w:val="bottom"/>
            <w:tcBorders>
              <w:right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2"/>
              </w:rPr>
              <w:t>Fair Value</w:t>
            </w:r>
          </w:p>
        </w:tc>
        <w:tc>
          <w:tcPr>
            <w:tcW w:w="7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UPB ($ in billions)</w:t>
            </w:r>
          </w:p>
        </w:tc>
        <w:tc>
          <w:tcPr>
            <w:tcW w:w="4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GSEs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Ginnie Mae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jc w:val="right"/>
              <w:ind w:right="91"/>
              <w:spacing w:after="0" w:line="131" w:lineRule="exact"/>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GSEs</w:t>
            </w:r>
          </w:p>
        </w:tc>
        <w:tc>
          <w:tcPr>
            <w:tcW w:w="10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9"/>
              </w:rPr>
              <w:t>Ginnie Mae</w:t>
            </w:r>
          </w:p>
        </w:tc>
        <w:tc>
          <w:tcPr>
            <w:tcW w:w="42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Non-</w:t>
            </w:r>
          </w:p>
        </w:tc>
        <w:tc>
          <w:tcPr>
            <w:tcW w:w="420" w:type="dxa"/>
            <w:vAlign w:val="bottom"/>
          </w:tcPr>
          <w:p>
            <w:pPr>
              <w:spacing w:after="0"/>
              <w:rPr>
                <w:sz w:val="11"/>
                <w:szCs w:val="11"/>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0"/>
              </w:rPr>
              <w:t>Agency</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Agency</w:t>
            </w:r>
          </w:p>
        </w:tc>
        <w:tc>
          <w:tcPr>
            <w:tcW w:w="8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98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980" w:type="dxa"/>
            <w:vAlign w:val="bottom"/>
            <w:tcBorders>
              <w:right w:val="single" w:sz="8" w:color="CCEEFF"/>
            </w:tcBorders>
            <w:shd w:val="clear" w:color="auto" w:fill="CCEEFF"/>
          </w:tcPr>
          <w:p>
            <w:pPr>
              <w:ind w:left="280"/>
              <w:spacing w:after="0" w:line="120" w:lineRule="exact"/>
              <w:rPr>
                <w:sz w:val="20"/>
                <w:szCs w:val="20"/>
                <w:color w:val="auto"/>
              </w:rPr>
            </w:pPr>
            <w:r>
              <w:rPr>
                <w:rFonts w:ascii="Arial" w:cs="Arial" w:eastAsia="Arial" w:hAnsi="Arial"/>
                <w:sz w:val="12"/>
                <w:szCs w:val="12"/>
                <w:b w:val="1"/>
                <w:bCs w:val="1"/>
                <w:color w:val="auto"/>
              </w:rPr>
              <w:t>Beginning</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111"/>
              <w:spacing w:after="0"/>
              <w:rPr>
                <w:sz w:val="20"/>
                <w:szCs w:val="20"/>
                <w:color w:val="auto"/>
              </w:rPr>
            </w:pPr>
            <w:r>
              <w:rPr>
                <w:rFonts w:ascii="Arial" w:cs="Arial" w:eastAsia="Arial" w:hAnsi="Arial"/>
                <w:sz w:val="15"/>
                <w:szCs w:val="15"/>
                <w:color w:val="auto"/>
              </w:rPr>
              <w:t>617.8</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211"/>
              <w:spacing w:after="0"/>
              <w:rPr>
                <w:sz w:val="20"/>
                <w:szCs w:val="20"/>
                <w:color w:val="auto"/>
              </w:rPr>
            </w:pPr>
            <w:r>
              <w:rPr>
                <w:rFonts w:ascii="Arial" w:cs="Arial" w:eastAsia="Arial" w:hAnsi="Arial"/>
                <w:sz w:val="15"/>
                <w:szCs w:val="15"/>
                <w:color w:val="auto"/>
              </w:rPr>
              <w:t>95.7</w:t>
            </w:r>
          </w:p>
        </w:tc>
        <w:tc>
          <w:tcPr>
            <w:tcW w:w="700" w:type="dxa"/>
            <w:vAlign w:val="bottom"/>
            <w:gridSpan w:val="3"/>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ind w:right="111"/>
              <w:spacing w:after="0"/>
              <w:rPr>
                <w:sz w:val="20"/>
                <w:szCs w:val="20"/>
                <w:color w:val="auto"/>
              </w:rPr>
            </w:pPr>
            <w:r>
              <w:rPr>
                <w:rFonts w:ascii="Arial" w:cs="Arial" w:eastAsia="Arial" w:hAnsi="Arial"/>
                <w:sz w:val="15"/>
                <w:szCs w:val="15"/>
                <w:color w:val="auto"/>
              </w:rPr>
              <w:t>136.3</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111"/>
              <w:spacing w:after="0"/>
              <w:rPr>
                <w:sz w:val="20"/>
                <w:szCs w:val="20"/>
                <w:color w:val="auto"/>
              </w:rPr>
            </w:pPr>
            <w:r>
              <w:rPr>
                <w:rFonts w:ascii="Arial" w:cs="Arial" w:eastAsia="Arial" w:hAnsi="Arial"/>
                <w:sz w:val="15"/>
                <w:szCs w:val="15"/>
                <w:color w:val="auto"/>
              </w:rPr>
              <w:t>849.8</w:t>
            </w:r>
          </w:p>
        </w:tc>
        <w:tc>
          <w:tcPr>
            <w:tcW w:w="760" w:type="dxa"/>
            <w:vAlign w:val="bottom"/>
            <w:gridSpan w:val="3"/>
            <w:vMerge w:val="restart"/>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91.5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w:t>
            </w:r>
          </w:p>
        </w:tc>
        <w:tc>
          <w:tcPr>
            <w:tcW w:w="4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700" w:type="dxa"/>
            <w:vAlign w:val="bottom"/>
            <w:gridSpan w:val="3"/>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80" w:type="dxa"/>
            <w:vAlign w:val="bottom"/>
          </w:tcPr>
          <w:p>
            <w:pPr>
              <w:ind w:left="280"/>
              <w:spacing w:after="0"/>
              <w:rPr>
                <w:sz w:val="20"/>
                <w:szCs w:val="20"/>
                <w:color w:val="auto"/>
              </w:rPr>
            </w:pPr>
            <w:r>
              <w:rPr>
                <w:rFonts w:ascii="Arial" w:cs="Arial" w:eastAsia="Arial" w:hAnsi="Arial"/>
                <w:sz w:val="14"/>
                <w:szCs w:val="14"/>
                <w:color w:val="auto"/>
              </w:rPr>
              <w:t>Additions</w:t>
            </w: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New cap.</w:t>
            </w: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30.0</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36.5</w:t>
            </w: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0.5</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80" w:type="dxa"/>
            <w:vAlign w:val="bottom"/>
          </w:tcPr>
          <w:p>
            <w:pPr>
              <w:ind w:left="380"/>
              <w:spacing w:after="0"/>
              <w:rPr>
                <w:sz w:val="20"/>
                <w:szCs w:val="20"/>
                <w:color w:val="auto"/>
              </w:rPr>
            </w:pPr>
            <w:r>
              <w:rPr>
                <w:rFonts w:ascii="Arial" w:cs="Arial" w:eastAsia="Arial" w:hAnsi="Arial"/>
                <w:sz w:val="14"/>
                <w:szCs w:val="14"/>
                <w:color w:val="auto"/>
                <w:w w:val="84"/>
              </w:rPr>
              <w:t>Purchases</w:t>
            </w:r>
          </w:p>
        </w:tc>
        <w:tc>
          <w:tcPr>
            <w:tcW w:w="480" w:type="dxa"/>
            <w:vAlign w:val="bottom"/>
          </w:tcPr>
          <w:p>
            <w:pPr>
              <w:spacing w:after="0"/>
              <w:rPr>
                <w:sz w:val="15"/>
                <w:szCs w:val="15"/>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723.3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191"/>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733.6</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0.9</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61.3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8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Change in fair</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9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value:</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980" w:type="dxa"/>
            <w:vAlign w:val="bottom"/>
          </w:tcPr>
          <w:p>
            <w:pPr>
              <w:ind w:left="60"/>
              <w:spacing w:after="0" w:line="139" w:lineRule="exact"/>
              <w:rPr>
                <w:sz w:val="20"/>
                <w:szCs w:val="20"/>
                <w:color w:val="auto"/>
              </w:rPr>
            </w:pPr>
            <w:r>
              <w:rPr>
                <w:rFonts w:ascii="Arial" w:cs="Arial" w:eastAsia="Arial" w:hAnsi="Arial"/>
                <w:sz w:val="14"/>
                <w:szCs w:val="14"/>
                <w:color w:val="auto"/>
              </w:rPr>
              <w:t>Inputs and</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80" w:type="dxa"/>
            <w:vAlign w:val="bottom"/>
          </w:tcPr>
          <w:p>
            <w:pPr>
              <w:ind w:left="200"/>
              <w:spacing w:after="0" w:line="136" w:lineRule="exact"/>
              <w:rPr>
                <w:sz w:val="20"/>
                <w:szCs w:val="20"/>
                <w:color w:val="auto"/>
              </w:rPr>
            </w:pPr>
            <w:r>
              <w:rPr>
                <w:rFonts w:ascii="Arial" w:cs="Arial" w:eastAsia="Arial" w:hAnsi="Arial"/>
                <w:sz w:val="14"/>
                <w:szCs w:val="14"/>
                <w:color w:val="auto"/>
                <w:w w:val="94"/>
              </w:rPr>
              <w:t>assumptions</w:t>
            </w:r>
          </w:p>
        </w:tc>
        <w:tc>
          <w:tcPr>
            <w:tcW w:w="480" w:type="dxa"/>
            <w:vAlign w:val="bottom"/>
          </w:tcPr>
          <w:p>
            <w:pPr>
              <w:spacing w:after="0"/>
              <w:rPr>
                <w:sz w:val="11"/>
                <w:szCs w:val="11"/>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(34.8)</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vMerge w:val="restart"/>
          </w:tcPr>
          <w:p>
            <w:pPr>
              <w:jc w:val="right"/>
              <w:ind w:right="171"/>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4"/>
                <w:szCs w:val="14"/>
                <w:color w:val="auto"/>
              </w:rPr>
              <w:t>(4.4)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(46.8)</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1"/>
                <w:szCs w:val="11"/>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80" w:type="dxa"/>
            <w:vAlign w:val="bottom"/>
          </w:tcPr>
          <w:p>
            <w:pPr>
              <w:ind w:left="200"/>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80" w:type="dxa"/>
            <w:vAlign w:val="bottom"/>
            <w:tcBorders>
              <w:right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Realization of</w:t>
            </w:r>
          </w:p>
        </w:tc>
        <w:tc>
          <w:tcPr>
            <w:tcW w:w="4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(24.6)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(8.7)</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(36.1)</w:t>
            </w: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cash flows</w:t>
            </w:r>
          </w:p>
        </w:tc>
        <w:tc>
          <w:tcPr>
            <w:tcW w:w="4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80"/>
              <w:spacing w:after="0" w:line="117" w:lineRule="exact"/>
              <w:rPr>
                <w:sz w:val="20"/>
                <w:szCs w:val="20"/>
                <w:color w:val="auto"/>
              </w:rPr>
            </w:pPr>
            <w:r>
              <w:rPr>
                <w:rFonts w:ascii="Arial" w:cs="Arial" w:eastAsia="Arial" w:hAnsi="Arial"/>
                <w:sz w:val="12"/>
                <w:szCs w:val="12"/>
                <w:b w:val="1"/>
                <w:bCs w:val="1"/>
                <w:color w:val="auto"/>
              </w:rPr>
              <w:t>Ending</w:t>
            </w:r>
          </w:p>
        </w:tc>
        <w:tc>
          <w:tcPr>
            <w:tcW w:w="48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1,311.7</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color w:val="auto"/>
              </w:rPr>
              <w:t>101.4</w:t>
            </w:r>
          </w:p>
        </w:tc>
        <w:tc>
          <w:tcPr>
            <w:tcW w:w="700" w:type="dxa"/>
            <w:vAlign w:val="bottom"/>
            <w:gridSpan w:val="3"/>
            <w:vMerge w:val="restart"/>
          </w:tcPr>
          <w:p>
            <w:pPr>
              <w:ind w:left="5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color w:val="auto"/>
              </w:rPr>
              <w:t>123.9</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1,537.0</w:t>
            </w:r>
          </w:p>
        </w:tc>
        <w:tc>
          <w:tcPr>
            <w:tcW w:w="760" w:type="dxa"/>
            <w:vAlign w:val="bottom"/>
            <w:gridSpan w:val="3"/>
            <w:vMerge w:val="restart"/>
          </w:tcPr>
          <w:p>
            <w:pPr>
              <w:ind w:left="6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116.5</w:t>
            </w:r>
          </w:p>
        </w:tc>
        <w:tc>
          <w:tcPr>
            <w:tcW w:w="8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color w:val="auto"/>
              </w:rPr>
              <w:t>12.7</w:t>
            </w:r>
          </w:p>
        </w:tc>
        <w:tc>
          <w:tcPr>
            <w:tcW w:w="60" w:type="dxa"/>
            <w:vAlign w:val="bottom"/>
          </w:tcPr>
          <w:p>
            <w:pPr>
              <w:spacing w:after="0"/>
              <w:rPr>
                <w:sz w:val="10"/>
                <w:szCs w:val="10"/>
                <w:color w:val="auto"/>
              </w:rPr>
            </w:pPr>
          </w:p>
        </w:tc>
        <w:tc>
          <w:tcPr>
            <w:tcW w:w="4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0"/>
                <w:szCs w:val="10"/>
                <w:color w:val="auto"/>
              </w:rPr>
            </w:pPr>
          </w:p>
        </w:tc>
        <w:tc>
          <w:tcPr>
            <w:tcW w:w="4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148.9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4"/>
                <w:szCs w:val="14"/>
                <w:b w:val="1"/>
                <w:bCs w:val="1"/>
                <w:color w:val="auto"/>
              </w:rPr>
              <w:t>balance</w:t>
            </w:r>
          </w:p>
        </w:tc>
        <w:tc>
          <w:tcPr>
            <w:tcW w:w="4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80" w:type="dxa"/>
            <w:vAlign w:val="bottom"/>
            <w:tcBorders>
              <w:right w:val="single" w:sz="8" w:color="CCEEFF"/>
            </w:tcBorders>
            <w:shd w:val="clear" w:color="auto" w:fill="CCEEFF"/>
          </w:tcPr>
          <w:p>
            <w:pPr>
              <w:ind w:left="280"/>
              <w:spacing w:after="0" w:line="102" w:lineRule="exact"/>
              <w:rPr>
                <w:sz w:val="20"/>
                <w:szCs w:val="20"/>
                <w:color w:val="auto"/>
              </w:rPr>
            </w:pPr>
            <w:r>
              <w:rPr>
                <w:rFonts w:ascii="Arial" w:cs="Arial" w:eastAsia="Arial" w:hAnsi="Arial"/>
                <w:sz w:val="11"/>
                <w:szCs w:val="11"/>
                <w:color w:val="auto"/>
              </w:rPr>
              <w:t>Fair value</w:t>
            </w:r>
          </w:p>
        </w:tc>
        <w:tc>
          <w:tcPr>
            <w:tcW w:w="48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1.13</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color w:val="auto"/>
              </w:rPr>
              <w:t>0.80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0.63</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1.03</w:t>
            </w: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 of UPB)</w:t>
            </w:r>
          </w:p>
        </w:tc>
        <w:tc>
          <w:tcPr>
            <w:tcW w:w="4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8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980" w:type="dxa"/>
            <w:vAlign w:val="bottom"/>
          </w:tcPr>
          <w:p>
            <w:pPr>
              <w:ind w:left="280"/>
              <w:spacing w:after="0" w:line="139" w:lineRule="exact"/>
              <w:rPr>
                <w:sz w:val="20"/>
                <w:szCs w:val="20"/>
                <w:color w:val="auto"/>
              </w:rPr>
            </w:pPr>
            <w:r>
              <w:rPr>
                <w:rFonts w:ascii="Arial" w:cs="Arial" w:eastAsia="Arial" w:hAnsi="Arial"/>
                <w:sz w:val="14"/>
                <w:szCs w:val="14"/>
                <w:color w:val="auto"/>
              </w:rPr>
              <w:t>Fair value</w:t>
            </w:r>
          </w:p>
        </w:tc>
        <w:tc>
          <w:tcPr>
            <w:tcW w:w="480" w:type="dxa"/>
            <w:vAlign w:val="bottom"/>
          </w:tcPr>
          <w:p>
            <w:pPr>
              <w:spacing w:after="0"/>
              <w:rPr>
                <w:sz w:val="12"/>
                <w:szCs w:val="12"/>
                <w:color w:val="auto"/>
              </w:rPr>
            </w:pP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4.40</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x</w:t>
            </w:r>
          </w:p>
        </w:tc>
        <w:tc>
          <w:tcPr>
            <w:tcW w:w="440" w:type="dxa"/>
            <w:vAlign w:val="bottom"/>
          </w:tcPr>
          <w:p>
            <w:pPr>
              <w:spacing w:after="0"/>
              <w:rPr>
                <w:sz w:val="12"/>
                <w:szCs w:val="12"/>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color w:val="auto"/>
              </w:rPr>
              <w:t>2.31</w:t>
            </w:r>
          </w:p>
        </w:tc>
        <w:tc>
          <w:tcPr>
            <w:tcW w:w="70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x</w:t>
            </w: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color w:val="auto"/>
              </w:rPr>
              <w:t>1.92</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x</w:t>
            </w:r>
          </w:p>
        </w:tc>
        <w:tc>
          <w:tcPr>
            <w:tcW w:w="500" w:type="dxa"/>
            <w:vAlign w:val="bottom"/>
          </w:tcPr>
          <w:p>
            <w:pPr>
              <w:spacing w:after="0"/>
              <w:rPr>
                <w:sz w:val="12"/>
                <w:szCs w:val="12"/>
                <w:color w:val="auto"/>
              </w:rPr>
            </w:pP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3.78</w:t>
            </w:r>
          </w:p>
        </w:tc>
        <w:tc>
          <w:tcPr>
            <w:tcW w:w="760" w:type="dxa"/>
            <w:vAlign w:val="bottom"/>
            <w:gridSpan w:val="3"/>
            <w:vMerge w:val="restart"/>
          </w:tcPr>
          <w:p>
            <w:pPr>
              <w:jc w:val="right"/>
              <w:ind w:right="500"/>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20"/>
                <w:szCs w:val="20"/>
                <w:color w:val="auto"/>
              </w:rPr>
            </w:pPr>
            <w:r>
              <w:rPr>
                <w:rFonts w:ascii="Arial" w:cs="Arial" w:eastAsia="Arial" w:hAnsi="Arial"/>
                <w:sz w:val="14"/>
                <w:szCs w:val="14"/>
                <w:color w:val="auto"/>
              </w:rPr>
              <w:t>multiple (2)</w:t>
            </w:r>
          </w:p>
        </w:tc>
        <w:tc>
          <w:tcPr>
            <w:tcW w:w="4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9" w:hanging="269"/>
        <w:spacing w:after="0"/>
        <w:tabs>
          <w:tab w:leader="none" w:pos="269" w:val="left"/>
        </w:tabs>
        <w:numPr>
          <w:ilvl w:val="0"/>
          <w:numId w:val="46"/>
        </w:numPr>
        <w:rPr>
          <w:rFonts w:ascii="Arial" w:cs="Arial" w:eastAsia="Arial" w:hAnsi="Arial"/>
          <w:sz w:val="14"/>
          <w:szCs w:val="14"/>
          <w:color w:val="auto"/>
        </w:rPr>
      </w:pPr>
      <w:r>
        <w:rPr>
          <w:rFonts w:ascii="Arial" w:cs="Arial" w:eastAsia="Arial" w:hAnsi="Arial"/>
          <w:sz w:val="14"/>
          <w:szCs w:val="14"/>
          <w:color w:val="auto"/>
        </w:rPr>
        <w:t>Mostly changes in interest rates, except for gains of $8.8 million on the revaluation of purchased MSRs, that are reported in the Originations segment.</w:t>
      </w:r>
    </w:p>
    <w:p>
      <w:pPr>
        <w:spacing w:after="0" w:line="9" w:lineRule="exact"/>
        <w:rPr>
          <w:rFonts w:ascii="Arial" w:cs="Arial" w:eastAsia="Arial" w:hAnsi="Arial"/>
          <w:sz w:val="14"/>
          <w:szCs w:val="14"/>
          <w:color w:val="auto"/>
        </w:rPr>
      </w:pPr>
    </w:p>
    <w:p>
      <w:pPr>
        <w:ind w:left="269" w:hanging="269"/>
        <w:spacing w:after="0"/>
        <w:tabs>
          <w:tab w:leader="none" w:pos="269" w:val="left"/>
        </w:tabs>
        <w:numPr>
          <w:ilvl w:val="0"/>
          <w:numId w:val="46"/>
        </w:numPr>
        <w:rPr>
          <w:rFonts w:ascii="Arial" w:cs="Arial" w:eastAsia="Arial" w:hAnsi="Arial"/>
          <w:sz w:val="14"/>
          <w:szCs w:val="14"/>
          <w:color w:val="auto"/>
        </w:rPr>
      </w:pPr>
      <w:r>
        <w:rPr>
          <w:rFonts w:ascii="Arial" w:cs="Arial" w:eastAsia="Arial" w:hAnsi="Arial"/>
          <w:sz w:val="14"/>
          <w:szCs w:val="14"/>
          <w:color w:val="auto"/>
        </w:rPr>
        <w:t>Multiple of average servicing fee and UPB.</w:t>
      </w:r>
    </w:p>
    <w:p>
      <w:pPr>
        <w:spacing w:after="0" w:line="74" w:lineRule="exact"/>
        <w:rPr>
          <w:rFonts w:ascii="Arial" w:cs="Arial" w:eastAsia="Arial" w:hAnsi="Arial"/>
          <w:sz w:val="14"/>
          <w:szCs w:val="14"/>
          <w:color w:val="auto"/>
        </w:rPr>
      </w:pPr>
    </w:p>
    <w:p>
      <w:pPr>
        <w:ind w:left="269"/>
        <w:spacing w:after="0"/>
        <w:rPr>
          <w:rFonts w:ascii="Arial" w:cs="Arial" w:eastAsia="Arial" w:hAnsi="Arial"/>
          <w:sz w:val="14"/>
          <w:szCs w:val="14"/>
          <w:color w:val="auto"/>
        </w:rPr>
      </w:pPr>
      <w:r>
        <w:rPr>
          <w:rFonts w:ascii="Arial" w:cs="Arial" w:eastAsia="Arial" w:hAnsi="Arial"/>
          <w:sz w:val="15"/>
          <w:szCs w:val="15"/>
          <w:color w:val="auto"/>
        </w:rPr>
        <w:t>We significantly increased our GSE MSR portfolio in the second quarter of 2021 (effectively doubled), primarily with two bulk acquisitions in June 2021.</w:t>
      </w:r>
    </w:p>
    <w:p>
      <w:pPr>
        <w:spacing w:after="0" w:line="100" w:lineRule="exact"/>
        <w:rPr>
          <w:sz w:val="20"/>
          <w:szCs w:val="20"/>
          <w:color w:val="auto"/>
        </w:rPr>
      </w:pPr>
    </w:p>
    <w:p>
      <w:pPr>
        <w:ind w:left="9" w:right="160" w:firstLine="272"/>
        <w:spacing w:after="0" w:line="261" w:lineRule="auto"/>
        <w:rPr>
          <w:sz w:val="20"/>
          <w:szCs w:val="20"/>
          <w:color w:val="auto"/>
        </w:rPr>
      </w:pPr>
      <w:r>
        <w:rPr>
          <w:rFonts w:ascii="Arial" w:cs="Arial" w:eastAsia="Arial" w:hAnsi="Arial"/>
          <w:sz w:val="15"/>
          <w:szCs w:val="15"/>
          <w:color w:val="auto"/>
        </w:rPr>
        <w:t>The $12.5 million and $28.6 million loss on the pledged MSRs (transferred to NRZ) for the second quarter of 2021 and the six months ended June 30, 2021, respectively, does not affect our net income as it is offset by a corresponding gain on the pledged MSR liability, reported as Pledged MSR liability expense. The factors underlying the fair value loss of the NRZ Pledged MSR are similar to our owned MSR, discussed above, including runoff, noting that the NRZ MSR portfolio is significantly smaller, with a $34.2 billion lower UPB due to the termination of the PMC servicing agreement by NRZ in February 2020.</w:t>
      </w:r>
    </w:p>
    <w:p>
      <w:pPr>
        <w:spacing w:after="0" w:line="200" w:lineRule="exact"/>
        <w:rPr>
          <w:sz w:val="20"/>
          <w:szCs w:val="20"/>
          <w:color w:val="auto"/>
        </w:rPr>
      </w:pPr>
    </w:p>
    <w:p>
      <w:pPr>
        <w:spacing w:after="0" w:line="332"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349"/>
          </w:cols>
          <w:pgMar w:left="311" w:top="778"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1"/>
        </w:trPr>
        <w:tc>
          <w:tcPr>
            <w:tcW w:w="2840" w:type="dxa"/>
            <w:vAlign w:val="bottom"/>
          </w:tcPr>
          <w:p>
            <w:pPr>
              <w:spacing w:after="0"/>
              <w:rPr>
                <w:sz w:val="20"/>
                <w:szCs w:val="20"/>
                <w:color w:val="auto"/>
              </w:rPr>
            </w:pPr>
            <w:r>
              <w:rPr>
                <w:rFonts w:ascii="Arial" w:cs="Arial" w:eastAsia="Arial" w:hAnsi="Arial"/>
                <w:sz w:val="15"/>
                <w:szCs w:val="15"/>
                <w:b w:val="1"/>
                <w:bCs w:val="1"/>
                <w:i w:val="1"/>
                <w:iCs w:val="1"/>
                <w:color w:val="auto"/>
              </w:rPr>
              <w:t>Compensation and Benefits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6"/>
        </w:trPr>
        <w:tc>
          <w:tcPr>
            <w:tcW w:w="2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8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64"/>
              <w:spacing w:after="0"/>
              <w:rPr>
                <w:sz w:val="20"/>
                <w:szCs w:val="20"/>
                <w:color w:val="auto"/>
              </w:rPr>
            </w:pPr>
            <w:r>
              <w:rPr>
                <w:rFonts w:ascii="Arial" w:cs="Arial" w:eastAsia="Arial" w:hAnsi="Arial"/>
                <w:sz w:val="15"/>
                <w:szCs w:val="15"/>
                <w:b w:val="1"/>
                <w:bCs w:val="1"/>
                <w:color w:val="auto"/>
              </w:rPr>
              <w:t>Six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8"/>
              </w:rPr>
              <w:t>June 30,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9"/>
              </w:rPr>
              <w:t>March 31, 2021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8"/>
              </w:rPr>
              <w:t>June 30, 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8"/>
              </w:rPr>
              <w:t>June 30, 2020</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 Change</w:t>
            </w: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Compensation and benefits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25.1</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4 %  $</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136"/>
        </w:trPr>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28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Average Employment</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2"/>
        </w:trPr>
        <w:tc>
          <w:tcPr>
            <w:tcW w:w="2840" w:type="dxa"/>
            <w:vAlign w:val="bottom"/>
          </w:tcPr>
          <w:p>
            <w:pPr>
              <w:ind w:left="100"/>
              <w:spacing w:after="0"/>
              <w:rPr>
                <w:sz w:val="20"/>
                <w:szCs w:val="20"/>
                <w:color w:val="auto"/>
              </w:rPr>
            </w:pPr>
            <w:r>
              <w:rPr>
                <w:rFonts w:ascii="Arial" w:cs="Arial" w:eastAsia="Arial" w:hAnsi="Arial"/>
                <w:sz w:val="15"/>
                <w:szCs w:val="15"/>
                <w:color w:val="auto"/>
              </w:rPr>
              <w:t>India and other</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2,410</w:t>
            </w:r>
          </w:p>
        </w:tc>
        <w:tc>
          <w:tcPr>
            <w:tcW w:w="100" w:type="dxa"/>
            <w:vAlign w:val="bottom"/>
          </w:tcPr>
          <w:p>
            <w:pPr>
              <w:spacing w:after="0"/>
              <w:rPr>
                <w:sz w:val="16"/>
                <w:szCs w:val="16"/>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 %</w:t>
            </w:r>
          </w:p>
        </w:tc>
        <w:tc>
          <w:tcPr>
            <w:tcW w:w="1280" w:type="dxa"/>
            <w:vAlign w:val="bottom"/>
          </w:tcPr>
          <w:p>
            <w:pPr>
              <w:jc w:val="right"/>
              <w:spacing w:after="0"/>
              <w:rPr>
                <w:sz w:val="20"/>
                <w:szCs w:val="20"/>
                <w:color w:val="auto"/>
              </w:rPr>
            </w:pPr>
            <w:r>
              <w:rPr>
                <w:rFonts w:ascii="Arial" w:cs="Arial" w:eastAsia="Arial" w:hAnsi="Arial"/>
                <w:sz w:val="15"/>
                <w:szCs w:val="15"/>
                <w:color w:val="auto"/>
              </w:rPr>
              <w:t>2,421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3,019</w:t>
            </w: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(20)</w:t>
            </w:r>
          </w:p>
        </w:tc>
      </w:tr>
      <w:tr>
        <w:trPr>
          <w:trHeight w:val="193"/>
        </w:trPr>
        <w:tc>
          <w:tcPr>
            <w:tcW w:w="28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U.S.</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w:t>
            </w:r>
          </w:p>
        </w:tc>
        <w:tc>
          <w:tcPr>
            <w:tcW w:w="108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108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(12)</w:t>
            </w:r>
          </w:p>
        </w:tc>
      </w:tr>
      <w:tr>
        <w:trPr>
          <w:trHeight w:val="185"/>
        </w:trPr>
        <w:tc>
          <w:tcPr>
            <w:tcW w:w="2840" w:type="dxa"/>
            <w:vAlign w:val="bottom"/>
          </w:tcPr>
          <w:p>
            <w:pPr>
              <w:ind w:left="18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3,091</w:t>
            </w: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3,770</w:t>
            </w: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(18)</w:t>
            </w:r>
          </w:p>
        </w:tc>
      </w:tr>
      <w:tr>
        <w:trPr>
          <w:trHeight w:val="20"/>
        </w:trPr>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272"/>
        <w:spacing w:after="0" w:line="261" w:lineRule="auto"/>
        <w:rPr>
          <w:sz w:val="20"/>
          <w:szCs w:val="20"/>
          <w:color w:val="auto"/>
        </w:rPr>
      </w:pPr>
      <w:r>
        <w:rPr>
          <w:rFonts w:ascii="Arial" w:cs="Arial" w:eastAsia="Arial" w:hAnsi="Arial"/>
          <w:sz w:val="15"/>
          <w:szCs w:val="15"/>
          <w:color w:val="auto"/>
        </w:rPr>
        <w:t>Compensation and benefits expense for the second quarter of 2021 increased $1.0 million, or 4%, as compared to the first quarter of 2021. Despite the decline in average headcount, salaries and benefit expenses increased $1.2 million primarily due to a reduction in the accrual for compensated absences in the first quarter of 2021 and annual merit increases effective in the second quarter of 2021. In addition, servicing headcount in the second quarter of 2021 includes additional resources hired in anticipation of the boarding of loans to be serviced associated with the large bulk acquisition in June 2021.</w:t>
      </w:r>
    </w:p>
    <w:p>
      <w:pPr>
        <w:spacing w:after="0" w:line="67" w:lineRule="exact"/>
        <w:rPr>
          <w:sz w:val="20"/>
          <w:szCs w:val="20"/>
          <w:color w:val="auto"/>
        </w:rPr>
      </w:pPr>
    </w:p>
    <w:p>
      <w:pPr>
        <w:ind w:right="60" w:firstLine="272"/>
        <w:spacing w:after="0" w:line="261" w:lineRule="auto"/>
        <w:rPr>
          <w:sz w:val="20"/>
          <w:szCs w:val="20"/>
          <w:color w:val="auto"/>
        </w:rPr>
      </w:pPr>
      <w:r>
        <w:rPr>
          <w:rFonts w:ascii="Arial" w:cs="Arial" w:eastAsia="Arial" w:hAnsi="Arial"/>
          <w:sz w:val="15"/>
          <w:szCs w:val="15"/>
          <w:color w:val="auto"/>
        </w:rPr>
        <w:t>Compensation and benefits expense for the six months ended June 30, 2021 declined $5.1 million, or 9%, as compared to the six months ended June 30, 2020, primarily salaries and benefit expenses, as a result of the decline in our average servicing headcount. The effects of the decline in headcount were partially offset by a $1.1 million increase in incentive compensation. The 18% decline in servicing headcount reflects the scaling down of our platform to the loans being serviced. During the six months ended June 30, 2021, we serviced 20% fewer loans, on average, as compared to the six months ended June 30, 2020.</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Expense</w:t>
      </w:r>
    </w:p>
    <w:p>
      <w:pPr>
        <w:spacing w:after="0" w:line="100" w:lineRule="exact"/>
        <w:rPr>
          <w:sz w:val="20"/>
          <w:szCs w:val="20"/>
          <w:color w:val="auto"/>
        </w:rPr>
      </w:pPr>
    </w:p>
    <w:p>
      <w:pPr>
        <w:ind w:right="220" w:firstLine="272"/>
        <w:spacing w:after="0" w:line="261" w:lineRule="auto"/>
        <w:rPr>
          <w:sz w:val="20"/>
          <w:szCs w:val="20"/>
          <w:color w:val="auto"/>
        </w:rPr>
      </w:pPr>
      <w:r>
        <w:rPr>
          <w:rFonts w:ascii="Arial" w:cs="Arial" w:eastAsia="Arial" w:hAnsi="Arial"/>
          <w:sz w:val="15"/>
          <w:szCs w:val="15"/>
          <w:color w:val="auto"/>
        </w:rPr>
        <w:t>Servicing expense primarily includes claim losses and interest curtailments on government-insured loans and provision expense for advances and servicing representation and warranties. Servicing expense declined in the second quarter of 2021 by $1.4 million, or 6%, as compared to the first quarter of 2021, primarily due to a $2.4 million reduction in government-insured loan loss provisions due to decreased claim volumes associated with the foreclosure moratoria and a $1.0 million decrease in other loan expenses, offset by a $1.7 million increase in servicer expenses primarily due to interim subservicing expenses on MSR bulk acquisitions.</w:t>
      </w:r>
    </w:p>
    <w:p>
      <w:pPr>
        <w:spacing w:after="0" w:line="55" w:lineRule="exact"/>
        <w:rPr>
          <w:sz w:val="20"/>
          <w:szCs w:val="20"/>
          <w:color w:val="auto"/>
        </w:rPr>
      </w:pPr>
    </w:p>
    <w:p>
      <w:pPr>
        <w:ind w:right="20" w:firstLine="272"/>
        <w:spacing w:after="0" w:line="247" w:lineRule="auto"/>
        <w:rPr>
          <w:sz w:val="20"/>
          <w:szCs w:val="20"/>
          <w:color w:val="auto"/>
        </w:rPr>
      </w:pPr>
      <w:r>
        <w:rPr>
          <w:rFonts w:ascii="Arial" w:cs="Arial" w:eastAsia="Arial" w:hAnsi="Arial"/>
          <w:sz w:val="14"/>
          <w:szCs w:val="14"/>
          <w:color w:val="auto"/>
        </w:rPr>
        <w:t>Servicing expense for the six months ended June 30, 2021 increased $13.5 million, or 40%, as compared to the six months ended June 30, 2020, primarily due to a $9.2 million increase in servicer expenses driven by an increase in our owned MSR portfolio, including a $3.0 million increase in interim subservicing expense associated with the portfolio growth, a $5.1 million increase in provisions for indemnification and other servicing-related reserves primarily due to the favorable release of indemnification reserves during the six months ended June 30, 2020, and a $2.0 million increase in satisfaction and interest payoff expenses attributable to higher payoff volume. These increases were partially offset by a $1.6 million decrease in government-insured loss provisions due to decreased claim volumes associated with the foreclosure moratorium.</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88" w:lineRule="exact"/>
        <w:rPr>
          <w:sz w:val="20"/>
          <w:szCs w:val="20"/>
          <w:color w:val="auto"/>
        </w:rPr>
      </w:pPr>
    </w:p>
    <w:p>
      <w:pPr>
        <w:ind w:right="140" w:firstLine="272"/>
        <w:spacing w:after="0" w:line="232" w:lineRule="auto"/>
        <w:rPr>
          <w:sz w:val="20"/>
          <w:szCs w:val="20"/>
          <w:color w:val="auto"/>
        </w:rPr>
      </w:pPr>
      <w:r>
        <w:rPr>
          <w:rFonts w:ascii="Arial" w:cs="Arial" w:eastAsia="Arial" w:hAnsi="Arial"/>
          <w:sz w:val="15"/>
          <w:szCs w:val="15"/>
          <w:color w:val="auto"/>
        </w:rPr>
        <w:t>Other operating expenses (total operating expenses less compensation and benefit expense and servicer expense) remained mostly constant during the second quarter of 2021 as compared to the first quarter of 2021, with the exception of a $3.2 million increase in Professional services expense. The increase in Professional services expense is mostly driven by a $2.6 million increase in legal expenses in the second quarter of 2021 that was primarily due to a higher provision for litigation settlements, partially offset by claim reimbursements and other credits.</w:t>
      </w:r>
    </w:p>
    <w:p>
      <w:pPr>
        <w:spacing w:after="0" w:line="71" w:lineRule="exact"/>
        <w:rPr>
          <w:sz w:val="20"/>
          <w:szCs w:val="20"/>
          <w:color w:val="auto"/>
        </w:rPr>
      </w:pPr>
    </w:p>
    <w:p>
      <w:pPr>
        <w:ind w:firstLine="272"/>
        <w:spacing w:after="0" w:line="276" w:lineRule="auto"/>
        <w:rPr>
          <w:sz w:val="20"/>
          <w:szCs w:val="20"/>
          <w:color w:val="auto"/>
        </w:rPr>
      </w:pPr>
      <w:r>
        <w:rPr>
          <w:rFonts w:ascii="Arial" w:cs="Arial" w:eastAsia="Arial" w:hAnsi="Arial"/>
          <w:sz w:val="14"/>
          <w:szCs w:val="14"/>
          <w:color w:val="auto"/>
        </w:rPr>
        <w:t>Other operating expenses decreased by $12.9 million in the six months ended June 30, 2021 as compared to the six months ended June 30, 2020, in large part due to the effect of cost saving initiatives with a $9.3 million reduction of Corporate overhead allocations attributable to the decline in operating expenses of the Corporate segment, including technology savings, and the lower relative weight of Servicing headcount to the consolidated organization. Occupancy and equipment expense decreased $5.4 million, primarily due to a $3.0 million decrease in allocations from the Corporate segment and a $2.2 million decrease in postage and mailing expenses mostly as a result of the decline in the average number of loans serviced and a decline in letter volume attributed to COVID-19. Technology and communications expense declined $2.8 million primarily due to cost savings associated with the implementation of a bulk data extraction module as well as consolidation of telecommunication vendors in the second quarter of 2020. These declines in expenses were partially offset by a $3.4 million increase in Professional services, primarily due to $5.7 million higher legal expenses, partially offset by $2.2 million lower other professional services fee mostly as a result of lower COVID-19 related outsourcing expenses. The increase in legal expenses is due to a higher provision for litigation settlements in the six months ended June 30, 2021 and a provision reversal during the six months ended June 30, 2020.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80" w:name="page81"/>
    <w:bookmarkEnd w:id="80"/>
    <w:tbl>
      <w:tblPr>
        <w:tblLayout w:type="fixed"/>
        <w:tblInd w:w="9" w:type="dxa"/>
        <w:tblCellMar>
          <w:top w:w="0" w:type="dxa"/>
          <w:left w:w="0" w:type="dxa"/>
          <w:bottom w:w="0" w:type="dxa"/>
          <w:right w:w="0" w:type="dxa"/>
        </w:tblCellMar>
      </w:tblPr>
      <w:tr>
        <w:trPr>
          <w:trHeight w:val="191"/>
        </w:trPr>
        <w:tc>
          <w:tcPr>
            <w:tcW w:w="3040" w:type="dxa"/>
            <w:vAlign w:val="bottom"/>
          </w:tcPr>
          <w:p>
            <w:pPr>
              <w:spacing w:after="0"/>
              <w:rPr>
                <w:sz w:val="20"/>
                <w:szCs w:val="20"/>
                <w:color w:val="auto"/>
              </w:rPr>
            </w:pPr>
            <w:r>
              <w:rPr>
                <w:rFonts w:ascii="Arial" w:cs="Arial" w:eastAsia="Arial" w:hAnsi="Arial"/>
                <w:sz w:val="15"/>
                <w:szCs w:val="15"/>
                <w:b w:val="1"/>
                <w:bCs w:val="1"/>
                <w:i w:val="1"/>
                <w:iCs w:val="1"/>
                <w:color w:val="auto"/>
              </w:rPr>
              <w:t>Other Income (Expense)</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2"/>
        </w:trPr>
        <w:tc>
          <w:tcPr>
            <w:tcW w:w="7180" w:type="dxa"/>
            <w:vAlign w:val="bottom"/>
            <w:gridSpan w:val="9"/>
          </w:tcPr>
          <w:p>
            <w:pPr>
              <w:ind w:left="260"/>
              <w:spacing w:after="0"/>
              <w:rPr>
                <w:sz w:val="20"/>
                <w:szCs w:val="20"/>
                <w:color w:val="auto"/>
              </w:rPr>
            </w:pPr>
            <w:r>
              <w:rPr>
                <w:rFonts w:ascii="Arial" w:cs="Arial" w:eastAsia="Arial" w:hAnsi="Arial"/>
                <w:sz w:val="15"/>
                <w:szCs w:val="15"/>
                <w:color w:val="auto"/>
              </w:rPr>
              <w:t>Other income (expense) includes primarily net interest expense and the pledged MSR liability expense.</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30"/>
        </w:trPr>
        <w:tc>
          <w:tcPr>
            <w:tcW w:w="3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5"/>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16"/>
                <w:szCs w:val="16"/>
                <w:color w:val="auto"/>
              </w:rPr>
            </w:pPr>
          </w:p>
        </w:tc>
        <w:tc>
          <w:tcPr>
            <w:tcW w:w="1200" w:type="dxa"/>
            <w:vAlign w:val="bottom"/>
          </w:tcPr>
          <w:p>
            <w:pPr>
              <w:jc w:val="right"/>
              <w:ind w:right="32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6"/>
                <w:szCs w:val="16"/>
                <w:color w:val="auto"/>
              </w:rPr>
            </w:pPr>
          </w:p>
        </w:tc>
        <w:tc>
          <w:tcPr>
            <w:tcW w:w="1180" w:type="dxa"/>
            <w:vAlign w:val="bottom"/>
          </w:tcPr>
          <w:p>
            <w:pPr>
              <w:jc w:val="right"/>
              <w:ind w:right="384"/>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28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b w:val="1"/>
                <w:bCs w:val="1"/>
                <w:color w:val="auto"/>
              </w:rPr>
              <w:t>% Change</w:t>
            </w:r>
          </w:p>
        </w:tc>
      </w:tr>
      <w:tr>
        <w:trPr>
          <w:trHeight w:val="174"/>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Interest Expense</w:t>
            </w: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2"/>
        </w:trPr>
        <w:tc>
          <w:tcPr>
            <w:tcW w:w="3040" w:type="dxa"/>
            <w:vAlign w:val="bottom"/>
          </w:tcPr>
          <w:p>
            <w:pPr>
              <w:ind w:left="100"/>
              <w:spacing w:after="0"/>
              <w:rPr>
                <w:sz w:val="20"/>
                <w:szCs w:val="20"/>
                <w:color w:val="auto"/>
              </w:rPr>
            </w:pPr>
            <w:r>
              <w:rPr>
                <w:rFonts w:ascii="Arial" w:cs="Arial" w:eastAsia="Arial" w:hAnsi="Arial"/>
                <w:sz w:val="15"/>
                <w:szCs w:val="15"/>
                <w:color w:val="auto"/>
              </w:rPr>
              <w:t>Advance match funded liabilities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4.5</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13.0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(32)%</w:t>
            </w:r>
          </w:p>
        </w:tc>
      </w:tr>
      <w:tr>
        <w:trPr>
          <w:trHeight w:val="194"/>
        </w:trPr>
        <w:tc>
          <w:tcPr>
            <w:tcW w:w="3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Mortgage loan warehouse facilities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42 %</w:t>
            </w:r>
          </w:p>
        </w:tc>
      </w:tr>
      <w:tr>
        <w:trPr>
          <w:trHeight w:val="192"/>
        </w:trPr>
        <w:tc>
          <w:tcPr>
            <w:tcW w:w="3040" w:type="dxa"/>
            <w:vAlign w:val="bottom"/>
          </w:tcPr>
          <w:p>
            <w:pPr>
              <w:ind w:left="100"/>
              <w:spacing w:after="0"/>
              <w:rPr>
                <w:sz w:val="20"/>
                <w:szCs w:val="20"/>
                <w:color w:val="auto"/>
              </w:rPr>
            </w:pPr>
            <w:r>
              <w:rPr>
                <w:rFonts w:ascii="Arial" w:cs="Arial" w:eastAsia="Arial" w:hAnsi="Arial"/>
                <w:sz w:val="15"/>
                <w:szCs w:val="15"/>
                <w:color w:val="auto"/>
              </w:rPr>
              <w:t>MSR financing facilities</w:t>
            </w:r>
          </w:p>
        </w:tc>
        <w:tc>
          <w:tcPr>
            <w:tcW w:w="26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4.6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4 %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8.7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7 %</w:t>
            </w:r>
          </w:p>
        </w:tc>
      </w:tr>
      <w:tr>
        <w:trPr>
          <w:trHeight w:val="194"/>
        </w:trPr>
        <w:tc>
          <w:tcPr>
            <w:tcW w:w="3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 debt interest expense allocation</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7.9</w:t>
            </w:r>
          </w:p>
        </w:tc>
        <w:tc>
          <w:tcPr>
            <w:tcW w:w="106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19.9</w:t>
            </w:r>
          </w:p>
        </w:tc>
        <w:tc>
          <w:tcPr>
            <w:tcW w:w="106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r>
      <w:tr>
        <w:trPr>
          <w:trHeight w:val="192"/>
        </w:trPr>
        <w:tc>
          <w:tcPr>
            <w:tcW w:w="30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Escrow and other</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1.6</w:t>
            </w:r>
          </w:p>
        </w:tc>
        <w:tc>
          <w:tcPr>
            <w:tcW w:w="1060" w:type="dxa"/>
            <w:vAlign w:val="bottom"/>
            <w:tcBorders>
              <w:bottom w:val="single" w:sz="8" w:color="CCEEFF"/>
            </w:tcBorders>
            <w:gridSpan w:val="2"/>
          </w:tcPr>
          <w:p>
            <w:pPr>
              <w:jc w:val="right"/>
              <w:ind w:right="64"/>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3.5</w:t>
            </w:r>
          </w:p>
        </w:tc>
        <w:tc>
          <w:tcPr>
            <w:tcW w:w="106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(21)</w:t>
            </w:r>
          </w:p>
        </w:tc>
      </w:tr>
      <w:tr>
        <w:trPr>
          <w:trHeight w:val="210"/>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b w:val="1"/>
                <w:bCs w:val="1"/>
                <w:color w:val="auto"/>
              </w:rPr>
              <w:t>Total interest expense</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20.3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47.6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79"/>
        </w:trPr>
        <w:tc>
          <w:tcPr>
            <w:tcW w:w="3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Average balances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2"/>
        </w:trPr>
        <w:tc>
          <w:tcPr>
            <w:tcW w:w="3040" w:type="dxa"/>
            <w:vAlign w:val="bottom"/>
          </w:tcPr>
          <w:p>
            <w:pPr>
              <w:ind w:left="100"/>
              <w:spacing w:after="0"/>
              <w:rPr>
                <w:sz w:val="20"/>
                <w:szCs w:val="20"/>
                <w:color w:val="auto"/>
              </w:rPr>
            </w:pPr>
            <w:r>
              <w:rPr>
                <w:rFonts w:ascii="Arial" w:cs="Arial" w:eastAsia="Arial" w:hAnsi="Arial"/>
                <w:sz w:val="15"/>
                <w:szCs w:val="15"/>
                <w:color w:val="auto"/>
              </w:rPr>
              <w:t>Average balance of advances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757.3</w:t>
            </w:r>
          </w:p>
        </w:tc>
        <w:tc>
          <w:tcPr>
            <w:tcW w:w="1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772.7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766.0</w:t>
            </w:r>
          </w:p>
        </w:tc>
        <w:tc>
          <w:tcPr>
            <w:tcW w:w="10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987.7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194"/>
        </w:trPr>
        <w:tc>
          <w:tcPr>
            <w:tcW w:w="3040" w:type="dxa"/>
            <w:vAlign w:val="bottom"/>
            <w:shd w:val="clear" w:color="auto" w:fill="CCEEFF"/>
          </w:tcPr>
          <w:p>
            <w:pPr>
              <w:ind w:left="60"/>
              <w:spacing w:after="0"/>
              <w:rPr>
                <w:sz w:val="20"/>
                <w:szCs w:val="20"/>
                <w:color w:val="auto"/>
              </w:rPr>
            </w:pPr>
            <w:r>
              <w:rPr>
                <w:rFonts w:ascii="Arial" w:cs="Arial" w:eastAsia="Arial" w:hAnsi="Arial"/>
                <w:sz w:val="15"/>
                <w:szCs w:val="15"/>
                <w:color w:val="auto"/>
              </w:rPr>
              <w:t>Advance match funded liabilities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502.3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537.5</w:t>
            </w:r>
          </w:p>
        </w:tc>
        <w:tc>
          <w:tcPr>
            <w:tcW w:w="106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519.8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649.9</w:t>
            </w:r>
          </w:p>
        </w:tc>
        <w:tc>
          <w:tcPr>
            <w:tcW w:w="106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(20)</w:t>
            </w:r>
          </w:p>
        </w:tc>
      </w:tr>
      <w:tr>
        <w:trPr>
          <w:trHeight w:val="192"/>
        </w:trPr>
        <w:tc>
          <w:tcPr>
            <w:tcW w:w="3040" w:type="dxa"/>
            <w:vAlign w:val="bottom"/>
          </w:tcPr>
          <w:p>
            <w:pPr>
              <w:ind w:left="80"/>
              <w:spacing w:after="0"/>
              <w:rPr>
                <w:sz w:val="20"/>
                <w:szCs w:val="20"/>
                <w:color w:val="auto"/>
              </w:rPr>
            </w:pPr>
            <w:r>
              <w:rPr>
                <w:rFonts w:ascii="Arial" w:cs="Arial" w:eastAsia="Arial" w:hAnsi="Arial"/>
                <w:sz w:val="15"/>
                <w:szCs w:val="15"/>
                <w:color w:val="auto"/>
              </w:rPr>
              <w:t>Mortgage loan warehouse facilities</w:t>
            </w:r>
          </w:p>
        </w:tc>
        <w:tc>
          <w:tcPr>
            <w:tcW w:w="26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203.4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157.0</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180.3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109.7</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64</w:t>
            </w:r>
          </w:p>
        </w:tc>
      </w:tr>
      <w:tr>
        <w:trPr>
          <w:trHeight w:val="194"/>
        </w:trPr>
        <w:tc>
          <w:tcPr>
            <w:tcW w:w="30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MSR financing facilities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476.6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408.0</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442.5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328.9</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35</w:t>
            </w:r>
          </w:p>
        </w:tc>
      </w:tr>
      <w:tr>
        <w:trPr>
          <w:trHeight w:val="136"/>
        </w:trPr>
        <w:tc>
          <w:tcPr>
            <w:tcW w:w="3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Effective average interest rate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2"/>
        </w:trPr>
        <w:tc>
          <w:tcPr>
            <w:tcW w:w="3040" w:type="dxa"/>
            <w:vAlign w:val="bottom"/>
          </w:tcPr>
          <w:p>
            <w:pPr>
              <w:ind w:left="100"/>
              <w:spacing w:after="0"/>
              <w:rPr>
                <w:sz w:val="20"/>
                <w:szCs w:val="20"/>
                <w:color w:val="auto"/>
              </w:rPr>
            </w:pPr>
            <w:r>
              <w:rPr>
                <w:rFonts w:ascii="Arial" w:cs="Arial" w:eastAsia="Arial" w:hAnsi="Arial"/>
                <w:sz w:val="15"/>
                <w:szCs w:val="15"/>
                <w:color w:val="auto"/>
              </w:rPr>
              <w:t>Advance match funded liabilities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3.35 %</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3.37 %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3.99 %</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194"/>
        </w:trPr>
        <w:tc>
          <w:tcPr>
            <w:tcW w:w="30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 loan warehouse facilities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92"/>
        </w:trPr>
        <w:tc>
          <w:tcPr>
            <w:tcW w:w="3040" w:type="dxa"/>
            <w:vAlign w:val="bottom"/>
          </w:tcPr>
          <w:p>
            <w:pPr>
              <w:ind w:left="80"/>
              <w:spacing w:after="0"/>
              <w:rPr>
                <w:sz w:val="20"/>
                <w:szCs w:val="20"/>
                <w:color w:val="auto"/>
              </w:rPr>
            </w:pPr>
            <w:r>
              <w:rPr>
                <w:rFonts w:ascii="Arial" w:cs="Arial" w:eastAsia="Arial" w:hAnsi="Arial"/>
                <w:sz w:val="15"/>
                <w:szCs w:val="15"/>
                <w:color w:val="auto"/>
              </w:rPr>
              <w:t>MSR financing facilities</w:t>
            </w:r>
          </w:p>
        </w:tc>
        <w:tc>
          <w:tcPr>
            <w:tcW w:w="26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3.99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4.48</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4.22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5.30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194"/>
        </w:trPr>
        <w:tc>
          <w:tcPr>
            <w:tcW w:w="3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Facility costs included in interest expense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91"/>
        </w:trPr>
        <w:tc>
          <w:tcPr>
            <w:tcW w:w="3040" w:type="dxa"/>
            <w:vAlign w:val="bottom"/>
          </w:tcPr>
          <w:p>
            <w:pPr>
              <w:spacing w:after="0"/>
              <w:rPr>
                <w:sz w:val="20"/>
                <w:szCs w:val="20"/>
                <w:color w:val="auto"/>
              </w:rPr>
            </w:pPr>
            <w:r>
              <w:rPr>
                <w:rFonts w:ascii="Arial" w:cs="Arial" w:eastAsia="Arial" w:hAnsi="Arial"/>
                <w:sz w:val="15"/>
                <w:szCs w:val="15"/>
                <w:color w:val="auto"/>
              </w:rPr>
              <w:t>Average 1ML</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0.10 %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0.12 %</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0.11 %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0.90 %</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(88)%</w:t>
            </w:r>
          </w:p>
        </w:tc>
      </w:tr>
    </w:tbl>
    <w:p>
      <w:pPr>
        <w:spacing w:after="0" w:line="161" w:lineRule="exact"/>
        <w:rPr>
          <w:sz w:val="20"/>
          <w:szCs w:val="20"/>
          <w:color w:val="auto"/>
        </w:rPr>
      </w:pPr>
    </w:p>
    <w:p>
      <w:pPr>
        <w:jc w:val="both"/>
        <w:ind w:left="9" w:right="140" w:firstLine="272"/>
        <w:spacing w:after="0" w:line="278" w:lineRule="auto"/>
        <w:rPr>
          <w:sz w:val="20"/>
          <w:szCs w:val="20"/>
          <w:color w:val="auto"/>
        </w:rPr>
      </w:pPr>
      <w:r>
        <w:rPr>
          <w:rFonts w:ascii="Arial" w:cs="Arial" w:eastAsia="Arial" w:hAnsi="Arial"/>
          <w:sz w:val="15"/>
          <w:szCs w:val="15"/>
          <w:color w:val="auto"/>
        </w:rPr>
        <w:t>Interest expense for the second quarter of 2021 increased by $3.0 million, or 15%, as compared to the first quarter of 2021, primarily due to a $3.6 million increase in the corporate debt interest expense allocation. The increase is mostly due to an increase in the corporate debt allocation to fund a higher MSR portfolio.</w:t>
      </w:r>
    </w:p>
    <w:p>
      <w:pPr>
        <w:spacing w:after="0" w:line="54" w:lineRule="exact"/>
        <w:rPr>
          <w:sz w:val="20"/>
          <w:szCs w:val="20"/>
          <w:color w:val="auto"/>
        </w:rPr>
      </w:pPr>
    </w:p>
    <w:p>
      <w:pPr>
        <w:ind w:left="9" w:right="40" w:firstLine="272"/>
        <w:spacing w:after="0" w:line="278" w:lineRule="auto"/>
        <w:rPr>
          <w:sz w:val="20"/>
          <w:szCs w:val="20"/>
          <w:color w:val="auto"/>
        </w:rPr>
      </w:pPr>
      <w:r>
        <w:rPr>
          <w:rFonts w:ascii="Arial" w:cs="Arial" w:eastAsia="Arial" w:hAnsi="Arial"/>
          <w:sz w:val="15"/>
          <w:szCs w:val="15"/>
          <w:color w:val="auto"/>
        </w:rPr>
        <w:t>As compared to the six months ended June 30, 2020, interest expense for the six months ended June 30, 2021 declined $4.0 million, or 8%, primarily due to a $4.2 million decline in interest expense on advance match funded facilities as the average balances of advances and borrowings and funding cost were lower.</w:t>
      </w:r>
    </w:p>
    <w:p>
      <w:pPr>
        <w:spacing w:after="0" w:line="54" w:lineRule="exact"/>
        <w:rPr>
          <w:sz w:val="20"/>
          <w:szCs w:val="20"/>
          <w:color w:val="auto"/>
        </w:rPr>
      </w:pPr>
    </w:p>
    <w:p>
      <w:pPr>
        <w:jc w:val="both"/>
        <w:ind w:left="9" w:right="120" w:firstLine="272"/>
        <w:spacing w:after="0" w:line="265" w:lineRule="auto"/>
        <w:rPr>
          <w:sz w:val="20"/>
          <w:szCs w:val="20"/>
          <w:color w:val="auto"/>
        </w:rPr>
      </w:pPr>
      <w:r>
        <w:rPr>
          <w:rFonts w:ascii="Arial" w:cs="Arial" w:eastAsia="Arial" w:hAnsi="Arial"/>
          <w:sz w:val="15"/>
          <w:szCs w:val="15"/>
          <w:color w:val="auto"/>
        </w:rPr>
        <w:t>Pledged MSR liability expense relates to the MSR sale agreements with NRZ that do not achieve sale accounting and are presented on a gross basis in our financial statements. See Note 8 — Rights to MSRs to the Unaudited Consolidated Financial Statements. Pledged MSR liability expense includes the servicing fee remittance to NRZ and the fair value changes of the pledged MSR liability.</w:t>
      </w:r>
    </w:p>
    <w:p>
      <w:pPr>
        <w:spacing w:after="0" w:line="117"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58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660"/>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32"/>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 Change</w:t>
            </w:r>
          </w:p>
        </w:tc>
        <w:tc>
          <w:tcPr>
            <w:tcW w:w="14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 Change</w:t>
            </w:r>
          </w:p>
        </w:tc>
      </w:tr>
      <w:tr>
        <w:trPr>
          <w:trHeight w:val="185"/>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servicing fee remittance to NRZ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w:t>
            </w:r>
          </w:p>
        </w:tc>
      </w:tr>
      <w:tr>
        <w:trPr>
          <w:trHeight w:val="192"/>
        </w:trPr>
        <w:tc>
          <w:tcPr>
            <w:tcW w:w="3900" w:type="dxa"/>
            <w:vAlign w:val="bottom"/>
          </w:tcPr>
          <w:p>
            <w:pPr>
              <w:spacing w:after="0"/>
              <w:rPr>
                <w:sz w:val="20"/>
                <w:szCs w:val="20"/>
                <w:color w:val="auto"/>
              </w:rPr>
            </w:pPr>
            <w:r>
              <w:rPr>
                <w:rFonts w:ascii="Arial" w:cs="Arial" w:eastAsia="Arial" w:hAnsi="Arial"/>
                <w:sz w:val="15"/>
                <w:szCs w:val="15"/>
                <w:color w:val="auto"/>
              </w:rPr>
              <w:t>Pledged MSR liability fair value (gain) loss (2)</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37.4</w:t>
            </w:r>
          </w:p>
        </w:tc>
      </w:tr>
      <w:tr>
        <w:trPr>
          <w:trHeight w:val="194"/>
        </w:trPr>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2017/2018 lump sum amortization gain</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r>
      <w:tr>
        <w:trPr>
          <w:trHeight w:val="192"/>
        </w:trPr>
        <w:tc>
          <w:tcPr>
            <w:tcW w:w="39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r>
      <w:tr>
        <w:trPr>
          <w:trHeight w:val="210"/>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Pledged MSR liability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269" w:hanging="269"/>
        <w:spacing w:after="0"/>
        <w:tabs>
          <w:tab w:leader="none" w:pos="269" w:val="left"/>
        </w:tabs>
        <w:numPr>
          <w:ilvl w:val="0"/>
          <w:numId w:val="47"/>
        </w:numPr>
        <w:rPr>
          <w:rFonts w:ascii="Arial" w:cs="Arial" w:eastAsia="Arial" w:hAnsi="Arial"/>
          <w:sz w:val="14"/>
          <w:szCs w:val="14"/>
          <w:color w:val="auto"/>
        </w:rPr>
      </w:pPr>
      <w:r>
        <w:rPr>
          <w:rFonts w:ascii="Arial" w:cs="Arial" w:eastAsia="Arial" w:hAnsi="Arial"/>
          <w:sz w:val="14"/>
          <w:szCs w:val="14"/>
          <w:color w:val="auto"/>
        </w:rPr>
        <w:t>Offset by corresponding amount recorded in Servicing and subservicing fee. See table below.</w:t>
      </w:r>
    </w:p>
    <w:p>
      <w:pPr>
        <w:spacing w:after="0" w:line="9" w:lineRule="exact"/>
        <w:rPr>
          <w:rFonts w:ascii="Arial" w:cs="Arial" w:eastAsia="Arial" w:hAnsi="Arial"/>
          <w:sz w:val="14"/>
          <w:szCs w:val="14"/>
          <w:color w:val="auto"/>
        </w:rPr>
      </w:pPr>
    </w:p>
    <w:p>
      <w:pPr>
        <w:ind w:left="269" w:hanging="269"/>
        <w:spacing w:after="0"/>
        <w:tabs>
          <w:tab w:leader="none" w:pos="269" w:val="left"/>
        </w:tabs>
        <w:numPr>
          <w:ilvl w:val="0"/>
          <w:numId w:val="47"/>
        </w:numPr>
        <w:rPr>
          <w:rFonts w:ascii="Arial" w:cs="Arial" w:eastAsia="Arial" w:hAnsi="Arial"/>
          <w:sz w:val="14"/>
          <w:szCs w:val="14"/>
          <w:color w:val="auto"/>
        </w:rPr>
      </w:pPr>
      <w:r>
        <w:rPr>
          <w:rFonts w:ascii="Arial" w:cs="Arial" w:eastAsia="Arial" w:hAnsi="Arial"/>
          <w:sz w:val="14"/>
          <w:szCs w:val="14"/>
          <w:color w:val="auto"/>
        </w:rPr>
        <w:t>Offset by corresponding amount recorded in MSR valuation adjustments, net. See table below.</w:t>
      </w:r>
    </w:p>
    <w:p>
      <w:pPr>
        <w:spacing w:after="0" w:line="200" w:lineRule="exact"/>
        <w:rPr>
          <w:sz w:val="20"/>
          <w:szCs w:val="20"/>
          <w:color w:val="auto"/>
        </w:rPr>
      </w:pPr>
    </w:p>
    <w:p>
      <w:pPr>
        <w:spacing w:after="0" w:line="34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81" w:name="page82"/>
    <w:bookmarkEnd w:id="81"/>
    <w:p>
      <w:pPr>
        <w:ind w:right="40" w:firstLine="272"/>
        <w:spacing w:after="0" w:line="278" w:lineRule="auto"/>
        <w:rPr>
          <w:sz w:val="20"/>
          <w:szCs w:val="20"/>
          <w:color w:val="auto"/>
        </w:rPr>
      </w:pPr>
      <w:r>
        <w:rPr>
          <w:rFonts w:ascii="Arial" w:cs="Arial" w:eastAsia="Arial" w:hAnsi="Arial"/>
          <w:sz w:val="15"/>
          <w:szCs w:val="15"/>
          <w:color w:val="auto"/>
        </w:rPr>
        <w:t>Pledged MSR liability expense for the second quarter of 2021 increased $2.0 million, as compared to the first quarter of 2021, largely due to unfavorable fair value adjustment of the liability. Refer to the above discussions of MSR valuation adjustments, net (Pledged MSR to NRZ) and Servicing and subservicing fees (NRZ).</w:t>
      </w:r>
    </w:p>
    <w:p>
      <w:pPr>
        <w:spacing w:after="0" w:line="54" w:lineRule="exact"/>
        <w:rPr>
          <w:sz w:val="20"/>
          <w:szCs w:val="20"/>
          <w:color w:val="auto"/>
        </w:rPr>
      </w:pPr>
    </w:p>
    <w:p>
      <w:pPr>
        <w:ind w:right="40" w:firstLine="272"/>
        <w:spacing w:after="0" w:line="258" w:lineRule="auto"/>
        <w:rPr>
          <w:sz w:val="20"/>
          <w:szCs w:val="20"/>
          <w:color w:val="auto"/>
        </w:rPr>
      </w:pPr>
      <w:r>
        <w:rPr>
          <w:rFonts w:ascii="Arial" w:cs="Arial" w:eastAsia="Arial" w:hAnsi="Arial"/>
          <w:sz w:val="15"/>
          <w:szCs w:val="15"/>
          <w:color w:val="auto"/>
        </w:rPr>
        <w:t>Pledged MSR liability expense for the six months ended June 30, 2021 increased $29.4 million, as compared to the six months ended June 30, 2020, primarily due to a $37.4 million unfavorable fair value change on the Pledged MSR liability. In addition, the lump-sum cash payments received from NRZ in 2017 and 2018 were fully amortized as of the end of the second quarter of 2020 ($34.2 million amortization gain recorded in the six months ended June 30, 2020, nil in 2021). These increases in the expense were partially offset by a $41.6 million decline in servicing fee remittance, driven by the runoff of the portfolio and the termination of the PMC agreement by NRZ in February 2020. Refer to the above discussions of MSR valuation adjustments, net (Pledged MSR to NRZ) and Servicing and subservicing fees (NRZ).</w:t>
      </w:r>
    </w:p>
    <w:p>
      <w:pPr>
        <w:spacing w:after="0" w:line="71" w:lineRule="exact"/>
        <w:rPr>
          <w:sz w:val="20"/>
          <w:szCs w:val="20"/>
          <w:color w:val="auto"/>
        </w:rPr>
      </w:pPr>
    </w:p>
    <w:p>
      <w:pPr>
        <w:ind w:right="40" w:firstLine="272"/>
        <w:spacing w:after="0" w:line="279" w:lineRule="auto"/>
        <w:rPr>
          <w:sz w:val="20"/>
          <w:szCs w:val="20"/>
          <w:color w:val="auto"/>
        </w:rPr>
      </w:pPr>
      <w:r>
        <w:rPr>
          <w:rFonts w:ascii="Arial" w:cs="Arial" w:eastAsia="Arial" w:hAnsi="Arial"/>
          <w:sz w:val="14"/>
          <w:szCs w:val="14"/>
          <w:color w:val="auto"/>
        </w:rPr>
        <w:t>The table below reflects the condensed consolidated statement of operations together with the amounts related to the NRZ pledged MSRs that offset each other (nil impact on net income/loss). The table provides information related to the impact of the accounting for the NRZ relationship that did not achieve sale accounting treatment, and is not intended to reflect the profitability of the NRZ relationship. Net servicing fee remittance and pledged MSR fair value changes are presented on a gross basis and are offset by corresponding amounts presented in other statement of operations line items. In addition, because we record both our pledged MSRs and the associated pledged MSR liability at fair value, the changes in fair value of the pledged MSR liability were offset by the changes in fair value of the MSRs pledged, presented in MSR valuation adjustments, net. Accordingly, only the lump sum amortization gain and the amount reported in “Other” in the table above affect our net earnings.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0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8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2340" w:type="dxa"/>
            <w:vAlign w:val="bottom"/>
            <w:gridSpan w:val="5"/>
          </w:tcPr>
          <w:p>
            <w:pPr>
              <w:ind w:left="60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2360" w:type="dxa"/>
            <w:vAlign w:val="bottom"/>
            <w:gridSpan w:val="5"/>
          </w:tcPr>
          <w:p>
            <w:pPr>
              <w:ind w:left="68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2280" w:type="dxa"/>
            <w:vAlign w:val="bottom"/>
            <w:gridSpan w:val="4"/>
          </w:tcPr>
          <w:p>
            <w:pPr>
              <w:jc w:val="right"/>
              <w:ind w:right="744"/>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Statement of</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44"/>
              <w:spacing w:after="0" w:line="141" w:lineRule="exact"/>
              <w:rPr>
                <w:sz w:val="20"/>
                <w:szCs w:val="20"/>
                <w:color w:val="auto"/>
              </w:rPr>
            </w:pPr>
            <w:r>
              <w:rPr>
                <w:rFonts w:ascii="Arial" w:cs="Arial" w:eastAsia="Arial" w:hAnsi="Arial"/>
                <w:sz w:val="15"/>
                <w:szCs w:val="15"/>
                <w:b w:val="1"/>
                <w:bCs w:val="1"/>
                <w:color w:val="auto"/>
                <w:w w:val="94"/>
              </w:rPr>
              <w:t>NRZ Pledged</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0"/>
              </w:rPr>
              <w:t>Statement of</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44"/>
              <w:spacing w:after="0" w:line="141" w:lineRule="exact"/>
              <w:rPr>
                <w:sz w:val="20"/>
                <w:szCs w:val="20"/>
                <w:color w:val="auto"/>
              </w:rPr>
            </w:pPr>
            <w:r>
              <w:rPr>
                <w:rFonts w:ascii="Arial" w:cs="Arial" w:eastAsia="Arial" w:hAnsi="Arial"/>
                <w:sz w:val="15"/>
                <w:szCs w:val="15"/>
                <w:b w:val="1"/>
                <w:bCs w:val="1"/>
                <w:color w:val="auto"/>
                <w:w w:val="94"/>
              </w:rPr>
              <w:t>NRZ Pledged</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88"/>
              </w:rPr>
              <w:t>Statement of</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44"/>
              <w:spacing w:after="0" w:line="141" w:lineRule="exact"/>
              <w:rPr>
                <w:sz w:val="20"/>
                <w:szCs w:val="20"/>
                <w:color w:val="auto"/>
              </w:rPr>
            </w:pPr>
            <w:r>
              <w:rPr>
                <w:rFonts w:ascii="Arial" w:cs="Arial" w:eastAsia="Arial" w:hAnsi="Arial"/>
                <w:sz w:val="15"/>
                <w:szCs w:val="15"/>
                <w:b w:val="1"/>
                <w:bCs w:val="1"/>
                <w:color w:val="auto"/>
                <w:w w:val="94"/>
              </w:rPr>
              <w:t>NRZ Pledged</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0"/>
              </w:rPr>
              <w:t>Statement of</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44"/>
              <w:spacing w:after="0" w:line="141" w:lineRule="exact"/>
              <w:rPr>
                <w:sz w:val="20"/>
                <w:szCs w:val="20"/>
                <w:color w:val="auto"/>
              </w:rPr>
            </w:pPr>
            <w:r>
              <w:rPr>
                <w:rFonts w:ascii="Arial" w:cs="Arial" w:eastAsia="Arial" w:hAnsi="Arial"/>
                <w:sz w:val="15"/>
                <w:szCs w:val="15"/>
                <w:b w:val="1"/>
                <w:bCs w:val="1"/>
                <w:color w:val="auto"/>
                <w:w w:val="92"/>
              </w:rPr>
              <w:t>NRZ Pledged</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5"/>
                <w:szCs w:val="15"/>
                <w:b w:val="1"/>
                <w:bCs w:val="1"/>
                <w:color w:val="auto"/>
                <w:w w:val="95"/>
              </w:rPr>
              <w:t>MSR-related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5"/>
                <w:szCs w:val="15"/>
                <w:b w:val="1"/>
                <w:bCs w:val="1"/>
                <w:color w:val="auto"/>
                <w:w w:val="95"/>
              </w:rPr>
              <w:t>MSR-related</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5"/>
                <w:szCs w:val="15"/>
                <w:b w:val="1"/>
                <w:bCs w:val="1"/>
                <w:color w:val="auto"/>
                <w:w w:val="95"/>
              </w:rPr>
              <w:t>MSR-related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4"/>
              <w:spacing w:after="0" w:line="148" w:lineRule="exact"/>
              <w:rPr>
                <w:sz w:val="20"/>
                <w:szCs w:val="20"/>
                <w:color w:val="auto"/>
              </w:rPr>
            </w:pPr>
            <w:r>
              <w:rPr>
                <w:rFonts w:ascii="Arial" w:cs="Arial" w:eastAsia="Arial" w:hAnsi="Arial"/>
                <w:sz w:val="15"/>
                <w:szCs w:val="15"/>
                <w:b w:val="1"/>
                <w:bCs w:val="1"/>
                <w:color w:val="auto"/>
                <w:w w:val="95"/>
              </w:rPr>
              <w:t>MSR-related</w:t>
            </w:r>
          </w:p>
        </w:tc>
        <w:tc>
          <w:tcPr>
            <w:tcW w:w="0" w:type="dxa"/>
            <w:vAlign w:val="bottom"/>
          </w:tcPr>
          <w:p>
            <w:pPr>
              <w:spacing w:after="0"/>
              <w:rPr>
                <w:sz w:val="1"/>
                <w:szCs w:val="1"/>
                <w:color w:val="auto"/>
              </w:rPr>
            </w:pPr>
          </w:p>
        </w:tc>
      </w:tr>
      <w:tr>
        <w:trPr>
          <w:trHeight w:val="193"/>
        </w:trPr>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Operations</w:t>
            </w:r>
          </w:p>
        </w:tc>
        <w:tc>
          <w:tcPr>
            <w:tcW w:w="12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Amounts</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Operations</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Amounts</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Operations</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Amounts</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Operations</w:t>
            </w:r>
          </w:p>
        </w:tc>
        <w:tc>
          <w:tcPr>
            <w:tcW w:w="120" w:type="dxa"/>
            <w:vAlign w:val="bottom"/>
          </w:tcPr>
          <w:p>
            <w:pPr>
              <w:spacing w:after="0"/>
              <w:rPr>
                <w:sz w:val="16"/>
                <w:szCs w:val="16"/>
                <w:color w:val="auto"/>
              </w:rPr>
            </w:pPr>
          </w:p>
        </w:tc>
        <w:tc>
          <w:tcPr>
            <w:tcW w:w="1060" w:type="dxa"/>
            <w:vAlign w:val="bottom"/>
          </w:tcPr>
          <w:p>
            <w:pPr>
              <w:jc w:val="center"/>
              <w:ind w:right="44"/>
              <w:spacing w:after="0"/>
              <w:rPr>
                <w:sz w:val="20"/>
                <w:szCs w:val="20"/>
                <w:color w:val="auto"/>
              </w:rPr>
            </w:pPr>
            <w:r>
              <w:rPr>
                <w:rFonts w:ascii="Arial" w:cs="Arial" w:eastAsia="Arial" w:hAnsi="Arial"/>
                <w:sz w:val="15"/>
                <w:szCs w:val="15"/>
                <w:b w:val="1"/>
                <w:bCs w:val="1"/>
                <w:color w:val="auto"/>
                <w:w w:val="89"/>
              </w:rPr>
              <w:t>Amounts</w:t>
            </w:r>
          </w:p>
        </w:tc>
        <w:tc>
          <w:tcPr>
            <w:tcW w:w="0" w:type="dxa"/>
            <w:vAlign w:val="bottom"/>
          </w:tcPr>
          <w:p>
            <w:pPr>
              <w:spacing w:after="0"/>
              <w:rPr>
                <w:sz w:val="1"/>
                <w:szCs w:val="1"/>
                <w:color w:val="auto"/>
              </w:rPr>
            </w:pPr>
          </w:p>
        </w:tc>
      </w:tr>
      <w:tr>
        <w:trPr>
          <w:trHeight w:val="184"/>
        </w:trPr>
        <w:tc>
          <w:tcPr>
            <w:tcW w:w="1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265.4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0" w:type="dxa"/>
            <w:vAlign w:val="bottom"/>
          </w:tcPr>
          <w:p>
            <w:pPr>
              <w:spacing w:after="0"/>
              <w:rPr>
                <w:sz w:val="1"/>
                <w:szCs w:val="1"/>
                <w:color w:val="auto"/>
              </w:rPr>
            </w:pPr>
          </w:p>
        </w:tc>
      </w:tr>
      <w:tr>
        <w:trPr>
          <w:trHeight w:val="148"/>
        </w:trPr>
        <w:tc>
          <w:tcPr>
            <w:tcW w:w="1400" w:type="dxa"/>
            <w:vAlign w:val="bottom"/>
          </w:tcPr>
          <w:p>
            <w:pPr>
              <w:spacing w:after="0" w:line="149" w:lineRule="exact"/>
              <w:rPr>
                <w:sz w:val="20"/>
                <w:szCs w:val="20"/>
                <w:color w:val="auto"/>
              </w:rPr>
            </w:pPr>
            <w:r>
              <w:rPr>
                <w:rFonts w:ascii="Arial" w:cs="Arial" w:eastAsia="Arial" w:hAnsi="Arial"/>
                <w:sz w:val="15"/>
                <w:szCs w:val="15"/>
                <w:color w:val="auto"/>
              </w:rPr>
              <w:t>MSR valuation</w:t>
            </w:r>
          </w:p>
        </w:tc>
        <w:tc>
          <w:tcPr>
            <w:tcW w:w="140" w:type="dxa"/>
            <w:vAlign w:val="bottom"/>
          </w:tcPr>
          <w:p>
            <w:pPr>
              <w:spacing w:after="0"/>
              <w:rPr>
                <w:sz w:val="12"/>
                <w:szCs w:val="12"/>
                <w:color w:val="auto"/>
              </w:rPr>
            </w:pPr>
          </w:p>
        </w:tc>
        <w:tc>
          <w:tcPr>
            <w:tcW w:w="1020" w:type="dxa"/>
            <w:vAlign w:val="bottom"/>
            <w:vMerge w:val="restart"/>
          </w:tcPr>
          <w:p>
            <w:pPr>
              <w:ind w:left="640"/>
              <w:spacing w:after="0"/>
              <w:rPr>
                <w:sz w:val="20"/>
                <w:szCs w:val="20"/>
                <w:color w:val="auto"/>
              </w:rPr>
            </w:pPr>
            <w:r>
              <w:rPr>
                <w:rFonts w:ascii="Arial" w:cs="Arial" w:eastAsia="Arial" w:hAnsi="Arial"/>
                <w:sz w:val="15"/>
                <w:szCs w:val="15"/>
                <w:color w:val="auto"/>
                <w:w w:val="91"/>
              </w:rPr>
              <w:t>(72.5)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(28.6)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(197.6)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(66.0)</w:t>
            </w:r>
          </w:p>
        </w:tc>
        <w:tc>
          <w:tcPr>
            <w:tcW w:w="0" w:type="dxa"/>
            <w:vAlign w:val="bottom"/>
          </w:tcPr>
          <w:p>
            <w:pPr>
              <w:spacing w:after="0"/>
              <w:rPr>
                <w:sz w:val="1"/>
                <w:szCs w:val="1"/>
                <w:color w:val="auto"/>
              </w:rPr>
            </w:pPr>
          </w:p>
        </w:tc>
      </w:tr>
      <w:tr>
        <w:trPr>
          <w:trHeight w:val="191"/>
        </w:trPr>
        <w:tc>
          <w:tcPr>
            <w:tcW w:w="1400" w:type="dxa"/>
            <w:vAlign w:val="bottom"/>
          </w:tcPr>
          <w:p>
            <w:pPr>
              <w:ind w:left="140"/>
              <w:spacing w:after="0"/>
              <w:rPr>
                <w:sz w:val="20"/>
                <w:szCs w:val="20"/>
                <w:color w:val="auto"/>
              </w:rPr>
            </w:pPr>
            <w:r>
              <w:rPr>
                <w:rFonts w:ascii="Arial" w:cs="Arial" w:eastAsia="Arial" w:hAnsi="Arial"/>
                <w:sz w:val="15"/>
                <w:szCs w:val="15"/>
                <w:color w:val="auto"/>
              </w:rPr>
              <w:t>adjustments, net</w:t>
            </w: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operating</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5"/>
                <w:szCs w:val="15"/>
                <w:color w:val="auto"/>
              </w:rPr>
              <w:t>149.8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expenses</w:t>
            </w: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line="149" w:lineRule="exact"/>
              <w:rPr>
                <w:sz w:val="20"/>
                <w:szCs w:val="20"/>
                <w:color w:val="auto"/>
              </w:rPr>
            </w:pPr>
            <w:r>
              <w:rPr>
                <w:rFonts w:ascii="Arial" w:cs="Arial" w:eastAsia="Arial" w:hAnsi="Arial"/>
                <w:sz w:val="15"/>
                <w:szCs w:val="15"/>
                <w:color w:val="auto"/>
              </w:rPr>
              <w:t>Total other expense,</w:t>
            </w:r>
          </w:p>
        </w:tc>
        <w:tc>
          <w:tcPr>
            <w:tcW w:w="140" w:type="dxa"/>
            <w:vAlign w:val="bottom"/>
          </w:tcPr>
          <w:p>
            <w:pPr>
              <w:spacing w:after="0"/>
              <w:rPr>
                <w:sz w:val="12"/>
                <w:szCs w:val="12"/>
                <w:color w:val="auto"/>
              </w:rPr>
            </w:pPr>
          </w:p>
        </w:tc>
        <w:tc>
          <w:tcPr>
            <w:tcW w:w="1020" w:type="dxa"/>
            <w:vAlign w:val="bottom"/>
            <w:vMerge w:val="restart"/>
          </w:tcPr>
          <w:p>
            <w:pPr>
              <w:ind w:left="640"/>
              <w:spacing w:after="0"/>
              <w:rPr>
                <w:sz w:val="20"/>
                <w:szCs w:val="20"/>
                <w:color w:val="auto"/>
              </w:rPr>
            </w:pPr>
            <w:r>
              <w:rPr>
                <w:rFonts w:ascii="Arial" w:cs="Arial" w:eastAsia="Arial" w:hAnsi="Arial"/>
                <w:sz w:val="15"/>
                <w:szCs w:val="15"/>
                <w:color w:val="auto"/>
                <w:w w:val="91"/>
              </w:rPr>
              <w:t>(65.4)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(77.5)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(143.0)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(83.0)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(94.8)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(87.2)</w:t>
            </w:r>
          </w:p>
        </w:tc>
        <w:tc>
          <w:tcPr>
            <w:tcW w:w="0" w:type="dxa"/>
            <w:vAlign w:val="bottom"/>
          </w:tcPr>
          <w:p>
            <w:pPr>
              <w:spacing w:after="0"/>
              <w:rPr>
                <w:sz w:val="1"/>
                <w:szCs w:val="1"/>
                <w:color w:val="auto"/>
              </w:rPr>
            </w:pPr>
          </w:p>
        </w:tc>
      </w:tr>
      <w:tr>
        <w:trPr>
          <w:trHeight w:val="191"/>
        </w:trPr>
        <w:tc>
          <w:tcPr>
            <w:tcW w:w="14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Income (loss) before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w w:val="91"/>
              </w:rPr>
              <w:t>(22.2)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(93.5)</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140"/>
              <w:spacing w:after="0" w:line="169" w:lineRule="exact"/>
              <w:rPr>
                <w:sz w:val="20"/>
                <w:szCs w:val="20"/>
                <w:color w:val="auto"/>
              </w:rPr>
            </w:pPr>
            <w:r>
              <w:rPr>
                <w:rFonts w:ascii="Arial" w:cs="Arial" w:eastAsia="Arial" w:hAnsi="Arial"/>
                <w:sz w:val="15"/>
                <w:szCs w:val="15"/>
                <w:color w:val="auto"/>
              </w:rPr>
              <w:t>income taxes</w:t>
            </w: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65" w:lineRule="exact"/>
        <w:rPr>
          <w:sz w:val="20"/>
          <w:szCs w:val="20"/>
          <w:color w:val="auto"/>
        </w:rPr>
      </w:pPr>
    </w:p>
    <w:p>
      <w:pPr>
        <w:ind w:right="380" w:firstLine="272"/>
        <w:spacing w:after="0" w:line="278" w:lineRule="auto"/>
        <w:rPr>
          <w:sz w:val="20"/>
          <w:szCs w:val="20"/>
          <w:color w:val="auto"/>
        </w:rPr>
      </w:pPr>
      <w:r>
        <w:rPr>
          <w:rFonts w:ascii="Arial" w:cs="Arial" w:eastAsia="Arial" w:hAnsi="Arial"/>
          <w:sz w:val="15"/>
          <w:szCs w:val="15"/>
          <w:color w:val="auto"/>
        </w:rPr>
        <w:t>We originate and purchase loans and MSRs through multiple channels, including recapture, retail, wholesale, correspondent, flow MSR purchase agreements, the Agency Cash Window and Co-issue programs and bulk MSR purchases.</w:t>
      </w:r>
    </w:p>
    <w:p>
      <w:pPr>
        <w:spacing w:after="0" w:line="54" w:lineRule="exact"/>
        <w:rPr>
          <w:sz w:val="20"/>
          <w:szCs w:val="20"/>
          <w:color w:val="auto"/>
        </w:rPr>
      </w:pPr>
    </w:p>
    <w:p>
      <w:pPr>
        <w:ind w:right="120" w:firstLine="272"/>
        <w:spacing w:after="0" w:line="265" w:lineRule="auto"/>
        <w:rPr>
          <w:sz w:val="20"/>
          <w:szCs w:val="20"/>
          <w:color w:val="auto"/>
        </w:rPr>
      </w:pPr>
      <w:r>
        <w:rPr>
          <w:rFonts w:ascii="Arial" w:cs="Arial" w:eastAsia="Arial" w:hAnsi="Arial"/>
          <w:sz w:val="15"/>
          <w:szCs w:val="15"/>
          <w:color w:val="auto"/>
        </w:rPr>
        <w:t>We originate and purchase conventional loans (conforming to the underwriting standards of Fannie Mae or Freddie Mac; collectively referred to as Agency loans) and government-insured (FHA or VA) forward mortgage loans. The GSEs and Ginnie Mae guarantee these mortgage securitizations. We originate HECM loans, or reverse mortgages, that are mostly insured by the FHA and we are an approved issuer of HMBS that are guaranteed by Ginnie Mae.</w:t>
      </w:r>
    </w:p>
    <w:p>
      <w:pPr>
        <w:spacing w:after="0" w:line="64" w:lineRule="exact"/>
        <w:rPr>
          <w:sz w:val="20"/>
          <w:szCs w:val="20"/>
          <w:color w:val="auto"/>
        </w:rPr>
      </w:pPr>
    </w:p>
    <w:p>
      <w:pPr>
        <w:ind w:right="140" w:firstLine="272"/>
        <w:spacing w:after="0" w:line="292" w:lineRule="auto"/>
        <w:rPr>
          <w:sz w:val="20"/>
          <w:szCs w:val="20"/>
          <w:color w:val="auto"/>
        </w:rPr>
      </w:pPr>
      <w:r>
        <w:rPr>
          <w:rFonts w:ascii="Arial" w:cs="Arial" w:eastAsia="Arial" w:hAnsi="Arial"/>
          <w:sz w:val="14"/>
          <w:szCs w:val="14"/>
          <w:color w:val="auto"/>
        </w:rPr>
        <w:t>Our recapture channel focuses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Our recapture lending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82" w:name="page83"/>
    <w:bookmarkEnd w:id="82"/>
    <w:p>
      <w:pPr>
        <w:ind w:right="440"/>
        <w:spacing w:after="0" w:line="278" w:lineRule="auto"/>
        <w:rPr>
          <w:sz w:val="20"/>
          <w:szCs w:val="20"/>
          <w:color w:val="auto"/>
        </w:rPr>
      </w:pPr>
      <w:r>
        <w:rPr>
          <w:rFonts w:ascii="Arial" w:cs="Arial" w:eastAsia="Arial" w:hAnsi="Arial"/>
          <w:sz w:val="15"/>
          <w:szCs w:val="15"/>
          <w:color w:val="auto"/>
        </w:rPr>
        <w:t>activity partially mitigates this risk. Origination volume and related gains are a natural economic hedge, to a certain degree, to the impact of declining MSR values as interest rates decline.</w:t>
      </w:r>
    </w:p>
    <w:p>
      <w:pPr>
        <w:spacing w:after="0" w:line="54" w:lineRule="exact"/>
        <w:rPr>
          <w:sz w:val="20"/>
          <w:szCs w:val="20"/>
          <w:color w:val="auto"/>
        </w:rPr>
      </w:pPr>
    </w:p>
    <w:p>
      <w:pPr>
        <w:ind w:right="180" w:firstLine="272"/>
        <w:spacing w:after="0" w:line="261" w:lineRule="auto"/>
        <w:rPr>
          <w:sz w:val="20"/>
          <w:szCs w:val="20"/>
          <w:color w:val="auto"/>
        </w:rPr>
      </w:pPr>
      <w:r>
        <w:rPr>
          <w:rFonts w:ascii="Arial" w:cs="Arial" w:eastAsia="Arial" w:hAnsi="Arial"/>
          <w:sz w:val="15"/>
          <w:szCs w:val="15"/>
          <w:color w:val="auto"/>
        </w:rPr>
        <w:t>Our forward lending correspondent channel drives higher servicing portfolio replenishment. We purchase closed loans that have been underwritten to investor guidelines from our network of correspondent sellers and sell and securitize them. As of June 30, 2021, we have relationships with 383 approved correspondent sellers, or 252 new sellers since December 31, 2020. On June 1, 2021, we expanded our network through the assignment by Texas Capital Bank, and the assumption by us, of all its correspondent loan purchase agreements with its correspondent sellers (approximately 220 sellers).</w:t>
      </w:r>
    </w:p>
    <w:p>
      <w:pPr>
        <w:spacing w:after="0" w:line="67" w:lineRule="exact"/>
        <w:rPr>
          <w:sz w:val="20"/>
          <w:szCs w:val="20"/>
          <w:color w:val="auto"/>
        </w:rPr>
      </w:pPr>
    </w:p>
    <w:p>
      <w:pPr>
        <w:ind w:right="120" w:firstLine="272"/>
        <w:spacing w:after="0" w:line="314" w:lineRule="auto"/>
        <w:rPr>
          <w:sz w:val="20"/>
          <w:szCs w:val="20"/>
          <w:color w:val="auto"/>
        </w:rPr>
      </w:pPr>
      <w:r>
        <w:rPr>
          <w:rFonts w:ascii="Arial" w:cs="Arial" w:eastAsia="Arial" w:hAnsi="Arial"/>
          <w:sz w:val="14"/>
          <w:szCs w:val="14"/>
          <w:color w:val="auto"/>
        </w:rPr>
        <w:t>We originate and purchase reverse mortgage loans through our retail, wholesale and correspondent lending channels under the guidelines of the HECM reverse mortgage insurance program of HUD. Loans originated under this program are generally insured by the FHA, which provides investors with protection against risk of borrower default.</w:t>
      </w:r>
    </w:p>
    <w:p>
      <w:pPr>
        <w:spacing w:after="0" w:line="33" w:lineRule="exact"/>
        <w:rPr>
          <w:sz w:val="20"/>
          <w:szCs w:val="20"/>
          <w:color w:val="auto"/>
        </w:rPr>
      </w:pPr>
    </w:p>
    <w:p>
      <w:pPr>
        <w:ind w:right="20" w:firstLine="272"/>
        <w:spacing w:after="0" w:line="285" w:lineRule="auto"/>
        <w:rPr>
          <w:sz w:val="20"/>
          <w:szCs w:val="20"/>
          <w:color w:val="auto"/>
        </w:rPr>
      </w:pPr>
      <w:r>
        <w:rPr>
          <w:rFonts w:ascii="Arial" w:cs="Arial" w:eastAsia="Arial" w:hAnsi="Arial"/>
          <w:sz w:val="14"/>
          <w:szCs w:val="14"/>
          <w:color w:val="auto"/>
        </w:rPr>
        <w:t>After origination, we package and sell the loans in the secondary mortgage market, through GSE and Ginnie Mae securitizations on a servicing retained basis. Origination revenues mostly include interest income earned for the period the loans are held by us, gain on sale revenue, which represents the difference between the origination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spacing w:after="0" w:line="52" w:lineRule="exact"/>
        <w:rPr>
          <w:sz w:val="20"/>
          <w:szCs w:val="20"/>
          <w:color w:val="auto"/>
        </w:rPr>
      </w:pPr>
    </w:p>
    <w:p>
      <w:pPr>
        <w:ind w:right="60" w:firstLine="272"/>
        <w:spacing w:after="0" w:line="258" w:lineRule="auto"/>
        <w:rPr>
          <w:sz w:val="20"/>
          <w:szCs w:val="20"/>
          <w:color w:val="auto"/>
        </w:rPr>
      </w:pPr>
      <w:r>
        <w:rPr>
          <w:rFonts w:ascii="Arial" w:cs="Arial" w:eastAsia="Arial" w:hAnsi="Arial"/>
          <w:sz w:val="15"/>
          <w:szCs w:val="15"/>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71" w:lineRule="exact"/>
        <w:rPr>
          <w:sz w:val="20"/>
          <w:szCs w:val="20"/>
          <w:color w:val="auto"/>
        </w:rPr>
      </w:pPr>
    </w:p>
    <w:p>
      <w:pPr>
        <w:ind w:right="20" w:firstLine="272"/>
        <w:spacing w:after="0" w:line="261" w:lineRule="auto"/>
        <w:rPr>
          <w:sz w:val="20"/>
          <w:szCs w:val="20"/>
          <w:color w:val="auto"/>
        </w:rPr>
      </w:pPr>
      <w:r>
        <w:rPr>
          <w:rFonts w:ascii="Arial" w:cs="Arial" w:eastAsia="Arial" w:hAnsi="Arial"/>
          <w:sz w:val="15"/>
          <w:szCs w:val="15"/>
          <w:color w:val="auto"/>
        </w:rPr>
        <w:t>We purchase MSRs through flow purchase agreements, the Agency Cash Window programs and bulk MSR purchases. The Agency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 through flow purchase agreements. We do not provide any origination representations and warranties in connection with our MSR purchases through MSR flow purchase agreements or Agency Cash Window programs.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initially recognize our MSR origination with the associated economics in our Originations business, and subsequently transfer the MSR to our Servicing segment at fair value.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Our Servicing segment reflects all subsequent performance associated with the MSR, including funding cost, run-off and other fair value changes.</w:t>
      </w:r>
    </w:p>
    <w:p>
      <w:pPr>
        <w:spacing w:after="0" w:line="91" w:lineRule="exact"/>
        <w:rPr>
          <w:sz w:val="20"/>
          <w:szCs w:val="20"/>
          <w:color w:val="auto"/>
        </w:rPr>
      </w:pPr>
    </w:p>
    <w:p>
      <w:pPr>
        <w:ind w:right="60" w:firstLine="272"/>
        <w:spacing w:after="0" w:line="261" w:lineRule="auto"/>
        <w:rPr>
          <w:sz w:val="20"/>
          <w:szCs w:val="20"/>
          <w:color w:val="auto"/>
        </w:rPr>
      </w:pPr>
      <w:r>
        <w:rPr>
          <w:rFonts w:ascii="Arial" w:cs="Arial" w:eastAsia="Arial" w:hAnsi="Arial"/>
          <w:sz w:val="15"/>
          <w:szCs w:val="15"/>
          <w:color w:val="auto"/>
        </w:rPr>
        <w:t>We source additional servicing volume through our subservicing and interim servicing agreements, through our existing relationships and our enterprise sales’ initiatives. We expect additional subservicing through our relationship and subservicing agreement with MAV, and as MAV continues to acquire MSRs. We do not report any revenue or gain associated with subservicing, as it is reported within the Servicing segment. However, sales efforts and certain costs - marginal compensation and benefits - are managed and reported within the Originations segment.</w:t>
      </w:r>
    </w:p>
    <w:p>
      <w:pPr>
        <w:spacing w:after="0" w:line="67" w:lineRule="exact"/>
        <w:rPr>
          <w:sz w:val="20"/>
          <w:szCs w:val="20"/>
          <w:color w:val="auto"/>
        </w:rPr>
      </w:pPr>
    </w:p>
    <w:p>
      <w:pPr>
        <w:ind w:firstLine="272"/>
        <w:spacing w:after="0" w:line="278" w:lineRule="auto"/>
        <w:rPr>
          <w:sz w:val="20"/>
          <w:szCs w:val="20"/>
          <w:color w:val="auto"/>
        </w:rPr>
      </w:pPr>
      <w:r>
        <w:rPr>
          <w:rFonts w:ascii="Arial" w:cs="Arial" w:eastAsia="Arial" w:hAnsi="Arial"/>
          <w:sz w:val="15"/>
          <w:szCs w:val="15"/>
          <w:color w:val="auto"/>
        </w:rPr>
        <w:t>For the second quarter of 2021, our Originations business originated or purchased forward and reverse mortgage loans with a UPB of $3.1 billion and $340.1 million, respectively. In addition, we purchased $5.0 billion UPB MSR through the Agency Cash Window during the second quarter of 2021.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3" w:name="page84"/>
    <w:bookmarkEnd w:id="83"/>
    <w:p>
      <w:pPr>
        <w:ind w:left="9" w:right="240" w:firstLine="272"/>
        <w:spacing w:after="0" w:line="278" w:lineRule="auto"/>
        <w:rPr>
          <w:sz w:val="20"/>
          <w:szCs w:val="20"/>
          <w:color w:val="auto"/>
        </w:rPr>
      </w:pPr>
      <w:r>
        <w:rPr>
          <w:rFonts w:ascii="Arial" w:cs="Arial" w:eastAsia="Arial" w:hAnsi="Arial"/>
          <w:sz w:val="15"/>
          <w:szCs w:val="15"/>
          <w:color w:val="auto"/>
        </w:rPr>
        <w:t>The following table presents the results of operations of our Originations segment. The amounts presented are before the elimination of balances and transactions with our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48260</wp:posOffset>
            </wp:positionV>
            <wp:extent cx="509397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93970" cy="6985"/>
                    </a:xfrm>
                    <a:prstGeom prst="rect">
                      <a:avLst/>
                    </a:prstGeom>
                    <a:noFill/>
                  </pic:spPr>
                </pic:pic>
              </a:graphicData>
            </a:graphic>
          </wp:anchor>
        </w:drawing>
      </w:r>
    </w:p>
    <w:p>
      <w:pPr>
        <w:spacing w:after="0" w:line="76"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3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60" w:type="dxa"/>
            <w:vAlign w:val="bottom"/>
          </w:tcPr>
          <w:p>
            <w:pPr>
              <w:spacing w:after="0"/>
              <w:rPr>
                <w:sz w:val="16"/>
                <w:szCs w:val="16"/>
                <w:color w:val="auto"/>
              </w:rPr>
            </w:pPr>
          </w:p>
        </w:tc>
        <w:tc>
          <w:tcPr>
            <w:tcW w:w="1120" w:type="dxa"/>
            <w:vAlign w:val="bottom"/>
          </w:tcPr>
          <w:p>
            <w:pPr>
              <w:jc w:val="right"/>
              <w:ind w:right="344"/>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2021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b w:val="1"/>
                <w:bCs w:val="1"/>
                <w:color w:val="auto"/>
              </w:rPr>
              <w:t>% Change</w:t>
            </w:r>
          </w:p>
        </w:tc>
      </w:tr>
      <w:tr>
        <w:trPr>
          <w:trHeight w:val="174"/>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9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92"/>
        </w:trPr>
        <w:tc>
          <w:tcPr>
            <w:tcW w:w="3140" w:type="dxa"/>
            <w:vAlign w:val="bottom"/>
          </w:tcPr>
          <w:p>
            <w:pPr>
              <w:ind w:left="100"/>
              <w:spacing w:after="0"/>
              <w:rPr>
                <w:sz w:val="20"/>
                <w:szCs w:val="20"/>
                <w:color w:val="auto"/>
              </w:rPr>
            </w:pPr>
            <w:r>
              <w:rPr>
                <w:rFonts w:ascii="Arial" w:cs="Arial" w:eastAsia="Arial" w:hAnsi="Arial"/>
                <w:sz w:val="15"/>
                <w:szCs w:val="15"/>
                <w:color w:val="auto"/>
              </w:rPr>
              <w:t>Gain on loans held for sale, net</w:t>
            </w: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27.3</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37.6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64.9</w:t>
            </w:r>
          </w:p>
        </w:tc>
        <w:tc>
          <w:tcPr>
            <w:tcW w:w="10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42.9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51 %</w:t>
            </w:r>
          </w:p>
        </w:tc>
      </w:tr>
      <w:tr>
        <w:trPr>
          <w:trHeight w:val="194"/>
        </w:trPr>
        <w:tc>
          <w:tcPr>
            <w:tcW w:w="3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Reverse mortgage revenue, net</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19.8</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22.6</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71</w:t>
            </w:r>
          </w:p>
        </w:tc>
      </w:tr>
      <w:tr>
        <w:trPr>
          <w:trHeight w:val="192"/>
        </w:trPr>
        <w:tc>
          <w:tcPr>
            <w:tcW w:w="31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revenue, net (1)</w:t>
            </w: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8.9</w:t>
            </w:r>
          </w:p>
        </w:tc>
        <w:tc>
          <w:tcPr>
            <w:tcW w:w="110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5.1</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255</w:t>
            </w:r>
          </w:p>
        </w:tc>
      </w:tr>
      <w:tr>
        <w:trPr>
          <w:trHeight w:val="184"/>
        </w:trPr>
        <w:tc>
          <w:tcPr>
            <w:tcW w:w="3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revenue</w:t>
            </w: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55.4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66.3</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121.7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70.6</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72</w:t>
            </w:r>
          </w:p>
        </w:tc>
      </w:tr>
      <w:tr>
        <w:trPr>
          <w:trHeight w:val="117"/>
        </w:trPr>
        <w:tc>
          <w:tcPr>
            <w:tcW w:w="3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93"/>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MSR valuation adjustments, net</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8.5</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14.0</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24</w:t>
            </w:r>
          </w:p>
        </w:tc>
      </w:tr>
      <w:tr>
        <w:trPr>
          <w:trHeight w:val="136"/>
        </w:trPr>
        <w:tc>
          <w:tcPr>
            <w:tcW w:w="3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2"/>
        </w:trPr>
        <w:tc>
          <w:tcPr>
            <w:tcW w:w="3140" w:type="dxa"/>
            <w:vAlign w:val="bottom"/>
          </w:tcPr>
          <w:p>
            <w:pPr>
              <w:ind w:left="100"/>
              <w:spacing w:after="0"/>
              <w:rPr>
                <w:sz w:val="20"/>
                <w:szCs w:val="20"/>
                <w:color w:val="auto"/>
              </w:rPr>
            </w:pPr>
            <w:r>
              <w:rPr>
                <w:rFonts w:ascii="Arial" w:cs="Arial" w:eastAsia="Arial" w:hAnsi="Arial"/>
                <w:sz w:val="15"/>
                <w:szCs w:val="15"/>
                <w:color w:val="auto"/>
              </w:rPr>
              <w:t>Compensation and benefits</w:t>
            </w:r>
          </w:p>
        </w:tc>
        <w:tc>
          <w:tcPr>
            <w:tcW w:w="960" w:type="dxa"/>
            <w:vAlign w:val="bottom"/>
          </w:tcPr>
          <w:p>
            <w:pPr>
              <w:spacing w:after="0"/>
              <w:rPr>
                <w:sz w:val="16"/>
                <w:szCs w:val="16"/>
                <w:color w:val="auto"/>
              </w:rPr>
            </w:pP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21.5</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25.4</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79</w:t>
            </w:r>
          </w:p>
        </w:tc>
      </w:tr>
      <w:tr>
        <w:trPr>
          <w:trHeight w:val="194"/>
        </w:trPr>
        <w:tc>
          <w:tcPr>
            <w:tcW w:w="3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and origination</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118</w:t>
            </w:r>
          </w:p>
        </w:tc>
      </w:tr>
      <w:tr>
        <w:trPr>
          <w:trHeight w:val="192"/>
        </w:trPr>
        <w:tc>
          <w:tcPr>
            <w:tcW w:w="3140" w:type="dxa"/>
            <w:vAlign w:val="bottom"/>
          </w:tcPr>
          <w:p>
            <w:pPr>
              <w:ind w:left="100"/>
              <w:spacing w:after="0"/>
              <w:rPr>
                <w:sz w:val="20"/>
                <w:szCs w:val="20"/>
                <w:color w:val="auto"/>
              </w:rPr>
            </w:pPr>
            <w:r>
              <w:rPr>
                <w:rFonts w:ascii="Arial" w:cs="Arial" w:eastAsia="Arial" w:hAnsi="Arial"/>
                <w:sz w:val="15"/>
                <w:szCs w:val="15"/>
                <w:color w:val="auto"/>
              </w:rPr>
              <w:t>Occupancy and equipment</w:t>
            </w:r>
          </w:p>
        </w:tc>
        <w:tc>
          <w:tcPr>
            <w:tcW w:w="960" w:type="dxa"/>
            <w:vAlign w:val="bottom"/>
          </w:tcPr>
          <w:p>
            <w:pPr>
              <w:spacing w:after="0"/>
              <w:rPr>
                <w:sz w:val="16"/>
                <w:szCs w:val="16"/>
                <w:color w:val="auto"/>
              </w:rPr>
            </w:pP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1.5</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2.8</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10</w:t>
            </w:r>
          </w:p>
        </w:tc>
      </w:tr>
      <w:tr>
        <w:trPr>
          <w:trHeight w:val="194"/>
        </w:trPr>
        <w:tc>
          <w:tcPr>
            <w:tcW w:w="3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Technology and communications</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76</w:t>
            </w:r>
          </w:p>
        </w:tc>
      </w:tr>
      <w:tr>
        <w:trPr>
          <w:trHeight w:val="192"/>
        </w:trPr>
        <w:tc>
          <w:tcPr>
            <w:tcW w:w="3140" w:type="dxa"/>
            <w:vAlign w:val="bottom"/>
          </w:tcPr>
          <w:p>
            <w:pPr>
              <w:ind w:left="100"/>
              <w:spacing w:after="0"/>
              <w:rPr>
                <w:sz w:val="20"/>
                <w:szCs w:val="20"/>
                <w:color w:val="auto"/>
              </w:rPr>
            </w:pPr>
            <w:r>
              <w:rPr>
                <w:rFonts w:ascii="Arial" w:cs="Arial" w:eastAsia="Arial" w:hAnsi="Arial"/>
                <w:sz w:val="15"/>
                <w:szCs w:val="15"/>
                <w:color w:val="auto"/>
              </w:rPr>
              <w:t>Professional services</w:t>
            </w:r>
          </w:p>
        </w:tc>
        <w:tc>
          <w:tcPr>
            <w:tcW w:w="960" w:type="dxa"/>
            <w:vAlign w:val="bottom"/>
          </w:tcPr>
          <w:p>
            <w:pPr>
              <w:spacing w:after="0"/>
              <w:rPr>
                <w:sz w:val="16"/>
                <w:szCs w:val="16"/>
                <w:color w:val="auto"/>
              </w:rPr>
            </w:pP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3.1</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2.8</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79</w:t>
            </w:r>
          </w:p>
        </w:tc>
      </w:tr>
      <w:tr>
        <w:trPr>
          <w:trHeight w:val="194"/>
        </w:trPr>
        <w:tc>
          <w:tcPr>
            <w:tcW w:w="3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 overhead allocations</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9.1</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6</w:t>
            </w:r>
          </w:p>
        </w:tc>
      </w:tr>
      <w:tr>
        <w:trPr>
          <w:trHeight w:val="192"/>
        </w:trPr>
        <w:tc>
          <w:tcPr>
            <w:tcW w:w="31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expenses</w:t>
            </w: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w:t>
            </w:r>
          </w:p>
        </w:tc>
        <w:tc>
          <w:tcPr>
            <w:tcW w:w="110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w:t>
            </w:r>
          </w:p>
        </w:tc>
        <w:tc>
          <w:tcPr>
            <w:tcW w:w="1100" w:type="dxa"/>
            <w:vAlign w:val="bottom"/>
            <w:tcBorders>
              <w:bottom w:val="single" w:sz="8" w:color="CCEEFF"/>
            </w:tcBorders>
            <w:gridSpan w:val="2"/>
          </w:tcPr>
          <w:p>
            <w:pPr>
              <w:jc w:val="right"/>
              <w:ind w:right="124"/>
              <w:spacing w:after="0"/>
              <w:rPr>
                <w:sz w:val="20"/>
                <w:szCs w:val="20"/>
                <w:color w:val="auto"/>
              </w:rPr>
            </w:pPr>
            <w:r>
              <w:rPr>
                <w:rFonts w:ascii="Arial" w:cs="Arial" w:eastAsia="Arial" w:hAnsi="Arial"/>
                <w:sz w:val="15"/>
                <w:szCs w:val="15"/>
                <w:color w:val="auto"/>
              </w:rPr>
              <w:t>36</w:t>
            </w:r>
          </w:p>
        </w:tc>
      </w:tr>
      <w:tr>
        <w:trPr>
          <w:trHeight w:val="184"/>
        </w:trPr>
        <w:tc>
          <w:tcPr>
            <w:tcW w:w="3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operating expenses</w:t>
            </w: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39.7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37.3</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77.0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48.0</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60</w:t>
            </w:r>
          </w:p>
        </w:tc>
      </w:tr>
      <w:tr>
        <w:trPr>
          <w:trHeight w:val="117"/>
        </w:trPr>
        <w:tc>
          <w:tcPr>
            <w:tcW w:w="3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93"/>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 (expense)</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2"/>
        </w:trPr>
        <w:tc>
          <w:tcPr>
            <w:tcW w:w="3140" w:type="dxa"/>
            <w:vAlign w:val="bottom"/>
          </w:tcPr>
          <w:p>
            <w:pPr>
              <w:ind w:left="100"/>
              <w:spacing w:after="0"/>
              <w:rPr>
                <w:sz w:val="20"/>
                <w:szCs w:val="20"/>
                <w:color w:val="auto"/>
              </w:rPr>
            </w:pPr>
            <w:r>
              <w:rPr>
                <w:rFonts w:ascii="Arial" w:cs="Arial" w:eastAsia="Arial" w:hAnsi="Arial"/>
                <w:sz w:val="15"/>
                <w:szCs w:val="15"/>
                <w:color w:val="auto"/>
              </w:rPr>
              <w:t>Interest income</w:t>
            </w:r>
          </w:p>
        </w:tc>
        <w:tc>
          <w:tcPr>
            <w:tcW w:w="960" w:type="dxa"/>
            <w:vAlign w:val="bottom"/>
          </w:tcPr>
          <w:p>
            <w:pPr>
              <w:spacing w:after="0"/>
              <w:rPr>
                <w:sz w:val="16"/>
                <w:szCs w:val="16"/>
                <w:color w:val="auto"/>
              </w:rPr>
            </w:pP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2.6</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2.8</w:t>
            </w:r>
          </w:p>
        </w:tc>
        <w:tc>
          <w:tcPr>
            <w:tcW w:w="1100" w:type="dxa"/>
            <w:vAlign w:val="bottom"/>
            <w:gridSpan w:val="2"/>
          </w:tcPr>
          <w:p>
            <w:pPr>
              <w:jc w:val="right"/>
              <w:ind w:right="124"/>
              <w:spacing w:after="0"/>
              <w:rPr>
                <w:sz w:val="20"/>
                <w:szCs w:val="20"/>
                <w:color w:val="auto"/>
              </w:rPr>
            </w:pPr>
            <w:r>
              <w:rPr>
                <w:rFonts w:ascii="Arial" w:cs="Arial" w:eastAsia="Arial" w:hAnsi="Arial"/>
                <w:sz w:val="15"/>
                <w:szCs w:val="15"/>
                <w:color w:val="auto"/>
              </w:rPr>
              <w:t>95</w:t>
            </w:r>
          </w:p>
        </w:tc>
      </w:tr>
      <w:tr>
        <w:trPr>
          <w:trHeight w:val="194"/>
        </w:trPr>
        <w:tc>
          <w:tcPr>
            <w:tcW w:w="3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Interest expense</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7"/>
              </w:rPr>
              <w:t>(4.7)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97</w:t>
            </w:r>
          </w:p>
        </w:tc>
      </w:tr>
      <w:tr>
        <w:trPr>
          <w:trHeight w:val="192"/>
        </w:trPr>
        <w:tc>
          <w:tcPr>
            <w:tcW w:w="31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net</w:t>
            </w: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7"/>
              </w:rPr>
              <w:t>(0.2)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0.1</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(436)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297</w:t>
            </w:r>
          </w:p>
        </w:tc>
      </w:tr>
      <w:tr>
        <w:trPr>
          <w:trHeight w:val="184"/>
        </w:trPr>
        <w:tc>
          <w:tcPr>
            <w:tcW w:w="3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other expense, net</w:t>
            </w: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7"/>
              </w:rPr>
              <w:t>(2.0)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(0.9)</w:t>
            </w:r>
          </w:p>
        </w:tc>
        <w:tc>
          <w:tcPr>
            <w:tcW w:w="11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114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(1.4)</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105</w:t>
            </w:r>
          </w:p>
        </w:tc>
      </w:tr>
      <w:tr>
        <w:trPr>
          <w:trHeight w:val="117"/>
        </w:trPr>
        <w:tc>
          <w:tcPr>
            <w:tcW w:w="3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18"/>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Income (loss) before income taxes</w:t>
            </w:r>
          </w:p>
        </w:tc>
        <w:tc>
          <w:tcPr>
            <w:tcW w:w="96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68 %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16" w:lineRule="exact"/>
        <w:rPr>
          <w:sz w:val="20"/>
          <w:szCs w:val="20"/>
          <w:color w:val="auto"/>
        </w:rPr>
      </w:pPr>
    </w:p>
    <w:p>
      <w:pPr>
        <w:ind w:left="269" w:right="220" w:hanging="269"/>
        <w:spacing w:after="0" w:line="255" w:lineRule="auto"/>
        <w:tabs>
          <w:tab w:leader="none" w:pos="269"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$2.3 million, $2.4 million, $4.7 million and $— million ancillary fee income related to MSR acquisitions reported as Servicing and subservicing fees at the consolidated level for the three months ended June 30, 2021 and March 31, 2021, and the six months ended June 30, 2021 and June 30, 2020, respectively.</w:t>
      </w:r>
    </w:p>
    <w:p>
      <w:pPr>
        <w:spacing w:after="0" w:line="200" w:lineRule="exact"/>
        <w:rPr>
          <w:sz w:val="20"/>
          <w:szCs w:val="20"/>
          <w:color w:val="auto"/>
        </w:rPr>
      </w:pPr>
    </w:p>
    <w:p>
      <w:pPr>
        <w:spacing w:after="0" w:line="239" w:lineRule="exact"/>
        <w:rPr>
          <w:sz w:val="20"/>
          <w:szCs w:val="20"/>
          <w:color w:val="auto"/>
        </w:rPr>
      </w:pPr>
    </w:p>
    <w:p>
      <w:pPr>
        <w:jc w:val="center"/>
        <w:ind w:right="-88"/>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169"/>
          </w:cols>
          <w:pgMar w:left="311" w:top="866" w:right="419" w:bottom="1440" w:gutter="0" w:footer="0" w:header="0"/>
        </w:sectPr>
      </w:pPr>
    </w:p>
    <w:bookmarkStart w:id="84" w:name="page85"/>
    <w:bookmarkEnd w:id="84"/>
    <w:p>
      <w:pPr>
        <w:ind w:left="269"/>
        <w:spacing w:after="0"/>
        <w:rPr>
          <w:sz w:val="20"/>
          <w:szCs w:val="20"/>
          <w:color w:val="auto"/>
        </w:rPr>
      </w:pPr>
      <w:r>
        <w:rPr>
          <w:rFonts w:ascii="Arial" w:cs="Arial" w:eastAsia="Arial" w:hAnsi="Arial"/>
          <w:sz w:val="15"/>
          <w:szCs w:val="15"/>
          <w:color w:val="auto"/>
        </w:rPr>
        <w:t>The following table provides selected operating statistics for our Originations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84455</wp:posOffset>
            </wp:positionV>
            <wp:extent cx="522351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23510" cy="6985"/>
                    </a:xfrm>
                    <a:prstGeom prst="rect">
                      <a:avLst/>
                    </a:prstGeom>
                    <a:noFill/>
                  </pic:spPr>
                </pic:pic>
              </a:graphicData>
            </a:graphic>
          </wp:anchor>
        </w:drawing>
      </w:r>
    </w:p>
    <w:p>
      <w:pPr>
        <w:spacing w:after="0" w:line="133"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16"/>
                <w:szCs w:val="16"/>
                <w:color w:val="auto"/>
              </w:rPr>
            </w:pPr>
          </w:p>
        </w:tc>
        <w:tc>
          <w:tcPr>
            <w:tcW w:w="1200" w:type="dxa"/>
            <w:vAlign w:val="bottom"/>
          </w:tcPr>
          <w:p>
            <w:pPr>
              <w:jc w:val="right"/>
              <w:ind w:right="30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6"/>
                <w:szCs w:val="16"/>
                <w:color w:val="auto"/>
              </w:rPr>
            </w:pPr>
          </w:p>
        </w:tc>
        <w:tc>
          <w:tcPr>
            <w:tcW w:w="1180" w:type="dxa"/>
            <w:vAlign w:val="bottom"/>
          </w:tcPr>
          <w:p>
            <w:pPr>
              <w:jc w:val="right"/>
              <w:ind w:right="384"/>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28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b w:val="1"/>
                <w:bCs w:val="1"/>
                <w:color w:val="auto"/>
              </w:rPr>
              <w:t>% Change</w:t>
            </w:r>
          </w:p>
        </w:tc>
      </w:tr>
      <w:tr>
        <w:trPr>
          <w:trHeight w:val="208"/>
        </w:trPr>
        <w:tc>
          <w:tcPr>
            <w:tcW w:w="30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5"/>
                <w:szCs w:val="15"/>
                <w:b w:val="1"/>
                <w:bCs w:val="1"/>
                <w:color w:val="auto"/>
              </w:rPr>
              <w:t>Originations by Channel</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3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Forward loans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2"/>
        </w:trPr>
        <w:tc>
          <w:tcPr>
            <w:tcW w:w="3040" w:type="dxa"/>
            <w:vAlign w:val="bottom"/>
          </w:tcPr>
          <w:p>
            <w:pPr>
              <w:ind w:left="180"/>
              <w:spacing w:after="0"/>
              <w:rPr>
                <w:sz w:val="20"/>
                <w:szCs w:val="20"/>
                <w:color w:val="auto"/>
              </w:rPr>
            </w:pPr>
            <w:r>
              <w:rPr>
                <w:rFonts w:ascii="Arial" w:cs="Arial" w:eastAsia="Arial" w:hAnsi="Arial"/>
                <w:sz w:val="15"/>
                <w:szCs w:val="15"/>
                <w:color w:val="auto"/>
              </w:rPr>
              <w:t>Correspondent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2,489.5</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2,626.8</w:t>
            </w:r>
          </w:p>
        </w:tc>
        <w:tc>
          <w:tcPr>
            <w:tcW w:w="1060" w:type="dxa"/>
            <w:vAlign w:val="bottom"/>
            <w:gridSpan w:val="2"/>
          </w:tcPr>
          <w:p>
            <w:pPr>
              <w:ind w:left="300"/>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5,116.3</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1,174.1</w:t>
            </w:r>
          </w:p>
        </w:tc>
        <w:tc>
          <w:tcPr>
            <w:tcW w:w="1060" w:type="dxa"/>
            <w:vAlign w:val="bottom"/>
            <w:gridSpan w:val="2"/>
          </w:tcPr>
          <w:p>
            <w:pPr>
              <w:ind w:left="300"/>
              <w:spacing w:after="0"/>
              <w:rPr>
                <w:sz w:val="20"/>
                <w:szCs w:val="20"/>
                <w:color w:val="auto"/>
              </w:rPr>
            </w:pPr>
            <w:r>
              <w:rPr>
                <w:rFonts w:ascii="Arial" w:cs="Arial" w:eastAsia="Arial" w:hAnsi="Arial"/>
                <w:sz w:val="15"/>
                <w:szCs w:val="15"/>
                <w:color w:val="auto"/>
              </w:rPr>
              <w:t>336%</w:t>
            </w:r>
          </w:p>
        </w:tc>
      </w:tr>
      <w:tr>
        <w:trPr>
          <w:trHeight w:val="194"/>
        </w:trPr>
        <w:tc>
          <w:tcPr>
            <w:tcW w:w="3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Recapture</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608.6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563.4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8 %</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1,172.1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514.5</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128</w:t>
            </w:r>
          </w:p>
        </w:tc>
      </w:tr>
      <w:tr>
        <w:trPr>
          <w:trHeight w:val="184"/>
        </w:trPr>
        <w:tc>
          <w:tcPr>
            <w:tcW w:w="30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3,098.1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3,190.2</w:t>
            </w:r>
          </w:p>
        </w:tc>
        <w:tc>
          <w:tcPr>
            <w:tcW w:w="106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6,288.3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1,688.6</w:t>
            </w:r>
          </w:p>
        </w:tc>
        <w:tc>
          <w:tcPr>
            <w:tcW w:w="106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272%</w:t>
            </w:r>
          </w:p>
        </w:tc>
      </w:tr>
      <w:tr>
        <w:trPr>
          <w:trHeight w:val="117"/>
        </w:trPr>
        <w:tc>
          <w:tcPr>
            <w:tcW w:w="3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92"/>
        </w:trPr>
        <w:tc>
          <w:tcPr>
            <w:tcW w:w="3040" w:type="dxa"/>
            <w:vAlign w:val="bottom"/>
          </w:tcPr>
          <w:p>
            <w:pPr>
              <w:ind w:left="180"/>
              <w:spacing w:after="0"/>
              <w:rPr>
                <w:sz w:val="20"/>
                <w:szCs w:val="20"/>
                <w:color w:val="auto"/>
              </w:rPr>
            </w:pPr>
            <w:r>
              <w:rPr>
                <w:rFonts w:ascii="Arial" w:cs="Arial" w:eastAsia="Arial" w:hAnsi="Arial"/>
                <w:sz w:val="15"/>
                <w:szCs w:val="15"/>
                <w:color w:val="auto"/>
              </w:rPr>
              <w:t>% Purchase production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15 %</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21 %</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2</w:t>
            </w:r>
          </w:p>
        </w:tc>
      </w:tr>
      <w:tr>
        <w:trPr>
          <w:trHeight w:val="194"/>
        </w:trPr>
        <w:tc>
          <w:tcPr>
            <w:tcW w:w="3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 Refinance production</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85</w:t>
            </w:r>
          </w:p>
        </w:tc>
        <w:tc>
          <w:tcPr>
            <w:tcW w:w="106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79</w:t>
            </w:r>
          </w:p>
        </w:tc>
        <w:tc>
          <w:tcPr>
            <w:tcW w:w="106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w:t>
            </w:r>
          </w:p>
        </w:tc>
      </w:tr>
      <w:tr>
        <w:trPr>
          <w:trHeight w:val="227"/>
        </w:trPr>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3"/>
        </w:trPr>
        <w:tc>
          <w:tcPr>
            <w:tcW w:w="3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Reverse loans (1)</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2"/>
        </w:trPr>
        <w:tc>
          <w:tcPr>
            <w:tcW w:w="3040" w:type="dxa"/>
            <w:vAlign w:val="bottom"/>
          </w:tcPr>
          <w:p>
            <w:pPr>
              <w:ind w:left="180"/>
              <w:spacing w:after="0"/>
              <w:rPr>
                <w:sz w:val="20"/>
                <w:szCs w:val="20"/>
                <w:color w:val="auto"/>
              </w:rPr>
            </w:pPr>
            <w:r>
              <w:rPr>
                <w:rFonts w:ascii="Arial" w:cs="Arial" w:eastAsia="Arial" w:hAnsi="Arial"/>
                <w:sz w:val="15"/>
                <w:szCs w:val="15"/>
                <w:color w:val="auto"/>
              </w:rPr>
              <w:t>Correspondent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188.4</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150.0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26 %</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338.4</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216.6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56 %</w:t>
            </w:r>
          </w:p>
        </w:tc>
      </w:tr>
      <w:tr>
        <w:trPr>
          <w:trHeight w:val="194"/>
        </w:trPr>
        <w:tc>
          <w:tcPr>
            <w:tcW w:w="3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Wholesale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53.6</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160.7</w:t>
            </w:r>
          </w:p>
        </w:tc>
        <w:tc>
          <w:tcPr>
            <w:tcW w:w="106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(31)</w:t>
            </w:r>
          </w:p>
        </w:tc>
      </w:tr>
      <w:tr>
        <w:trPr>
          <w:trHeight w:val="192"/>
        </w:trPr>
        <w:tc>
          <w:tcPr>
            <w:tcW w:w="30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Retail</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94.4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59.5</w:t>
            </w:r>
          </w:p>
        </w:tc>
        <w:tc>
          <w:tcPr>
            <w:tcW w:w="106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59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153.8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62.6</w:t>
            </w:r>
          </w:p>
        </w:tc>
        <w:tc>
          <w:tcPr>
            <w:tcW w:w="106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146</w:t>
            </w:r>
          </w:p>
        </w:tc>
      </w:tr>
      <w:tr>
        <w:trPr>
          <w:trHeight w:val="184"/>
        </w:trPr>
        <w:tc>
          <w:tcPr>
            <w:tcW w:w="30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340.1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263.1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603.2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439.9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37 %</w:t>
            </w:r>
          </w:p>
        </w:tc>
      </w:tr>
      <w:tr>
        <w:trPr>
          <w:trHeight w:val="196"/>
        </w:trPr>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3"/>
        </w:trPr>
        <w:tc>
          <w:tcPr>
            <w:tcW w:w="3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8"/>
              </w:rPr>
              <w:t>MSR Purchases by Channel (Forward only)</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2"/>
        </w:trPr>
        <w:tc>
          <w:tcPr>
            <w:tcW w:w="3040" w:type="dxa"/>
            <w:vAlign w:val="bottom"/>
          </w:tcPr>
          <w:p>
            <w:pPr>
              <w:ind w:left="80"/>
              <w:spacing w:after="0"/>
              <w:rPr>
                <w:sz w:val="20"/>
                <w:szCs w:val="20"/>
                <w:color w:val="auto"/>
              </w:rPr>
            </w:pPr>
            <w:r>
              <w:rPr>
                <w:rFonts w:ascii="Arial" w:cs="Arial" w:eastAsia="Arial" w:hAnsi="Arial"/>
                <w:sz w:val="15"/>
                <w:szCs w:val="15"/>
                <w:color w:val="auto"/>
              </w:rPr>
              <w:t>Agency Cash Window / Flow MSR</w:t>
            </w:r>
          </w:p>
        </w:tc>
        <w:tc>
          <w:tcPr>
            <w:tcW w:w="2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6,168.3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5,985.2</w:t>
            </w:r>
          </w:p>
        </w:tc>
        <w:tc>
          <w:tcPr>
            <w:tcW w:w="1060" w:type="dxa"/>
            <w:vAlign w:val="bottom"/>
            <w:gridSpan w:val="2"/>
          </w:tcPr>
          <w:p>
            <w:pPr>
              <w:ind w:left="30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12,153.5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4,184.2</w:t>
            </w:r>
          </w:p>
        </w:tc>
        <w:tc>
          <w:tcPr>
            <w:tcW w:w="1060" w:type="dxa"/>
            <w:vAlign w:val="bottom"/>
            <w:gridSpan w:val="2"/>
          </w:tcPr>
          <w:p>
            <w:pPr>
              <w:ind w:left="300"/>
              <w:spacing w:after="0"/>
              <w:rPr>
                <w:sz w:val="20"/>
                <w:szCs w:val="20"/>
                <w:color w:val="auto"/>
              </w:rPr>
            </w:pPr>
            <w:r>
              <w:rPr>
                <w:rFonts w:ascii="Arial" w:cs="Arial" w:eastAsia="Arial" w:hAnsi="Arial"/>
                <w:sz w:val="15"/>
                <w:szCs w:val="15"/>
                <w:color w:val="auto"/>
              </w:rPr>
              <w:t>190%</w:t>
            </w:r>
          </w:p>
        </w:tc>
      </w:tr>
      <w:tr>
        <w:trPr>
          <w:trHeight w:val="194"/>
        </w:trPr>
        <w:tc>
          <w:tcPr>
            <w:tcW w:w="3040" w:type="dxa"/>
            <w:vAlign w:val="bottom"/>
            <w:shd w:val="clear" w:color="auto" w:fill="CCEEFF"/>
          </w:tcPr>
          <w:p>
            <w:pPr>
              <w:ind w:left="80"/>
              <w:spacing w:after="0"/>
              <w:rPr>
                <w:sz w:val="20"/>
                <w:szCs w:val="20"/>
                <w:color w:val="auto"/>
              </w:rPr>
            </w:pPr>
            <w:r>
              <w:rPr>
                <w:rFonts w:ascii="Arial" w:cs="Arial" w:eastAsia="Arial" w:hAnsi="Arial"/>
                <w:sz w:val="15"/>
                <w:szCs w:val="15"/>
                <w:color w:val="auto"/>
              </w:rPr>
              <w:t>Bulk MSR purchases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55,133.5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n/m</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55,133.5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1,541.3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44"/>
              <w:spacing w:after="0"/>
              <w:rPr>
                <w:sz w:val="20"/>
                <w:szCs w:val="20"/>
                <w:color w:val="auto"/>
              </w:rPr>
            </w:pPr>
            <w:r>
              <w:rPr>
                <w:rFonts w:ascii="Arial" w:cs="Arial" w:eastAsia="Arial" w:hAnsi="Arial"/>
                <w:sz w:val="15"/>
                <w:szCs w:val="15"/>
                <w:color w:val="auto"/>
              </w:rPr>
              <w:t>n/m</w:t>
            </w:r>
          </w:p>
        </w:tc>
      </w:tr>
      <w:tr>
        <w:trPr>
          <w:trHeight w:val="184"/>
        </w:trPr>
        <w:tc>
          <w:tcPr>
            <w:tcW w:w="30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61,301.8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5,985.2</w:t>
            </w:r>
          </w:p>
        </w:tc>
        <w:tc>
          <w:tcPr>
            <w:tcW w:w="106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924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67,287.0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5,725.5</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ind w:right="444"/>
              <w:spacing w:after="0"/>
              <w:rPr>
                <w:sz w:val="20"/>
                <w:szCs w:val="20"/>
                <w:color w:val="auto"/>
              </w:rPr>
            </w:pPr>
            <w:r>
              <w:rPr>
                <w:rFonts w:ascii="Arial" w:cs="Arial" w:eastAsia="Arial" w:hAnsi="Arial"/>
                <w:sz w:val="15"/>
                <w:szCs w:val="15"/>
                <w:color w:val="auto"/>
              </w:rPr>
              <w:t>n/m</w:t>
            </w:r>
          </w:p>
        </w:tc>
      </w:tr>
      <w:tr>
        <w:trPr>
          <w:trHeight w:val="208"/>
        </w:trPr>
        <w:tc>
          <w:tcPr>
            <w:tcW w:w="3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4"/>
        </w:trPr>
        <w:tc>
          <w:tcPr>
            <w:tcW w:w="3040" w:type="dxa"/>
            <w:vAlign w:val="bottom"/>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64,740.0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9,438.5</w:t>
            </w:r>
          </w:p>
        </w:tc>
        <w:tc>
          <w:tcPr>
            <w:tcW w:w="1060" w:type="dxa"/>
            <w:vAlign w:val="bottom"/>
            <w:gridSpan w:val="2"/>
          </w:tcPr>
          <w:p>
            <w:pPr>
              <w:ind w:left="300"/>
              <w:spacing w:after="0"/>
              <w:rPr>
                <w:sz w:val="20"/>
                <w:szCs w:val="20"/>
                <w:color w:val="auto"/>
              </w:rPr>
            </w:pPr>
            <w:r>
              <w:rPr>
                <w:rFonts w:ascii="Arial" w:cs="Arial" w:eastAsia="Arial" w:hAnsi="Arial"/>
                <w:sz w:val="15"/>
                <w:szCs w:val="15"/>
                <w:color w:val="auto"/>
              </w:rPr>
              <w:t>586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74,178.5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7,854.0</w:t>
            </w:r>
          </w:p>
        </w:tc>
        <w:tc>
          <w:tcPr>
            <w:tcW w:w="1060" w:type="dxa"/>
            <w:vAlign w:val="bottom"/>
            <w:gridSpan w:val="2"/>
          </w:tcPr>
          <w:p>
            <w:pPr>
              <w:ind w:left="300"/>
              <w:spacing w:after="0"/>
              <w:rPr>
                <w:sz w:val="20"/>
                <w:szCs w:val="20"/>
                <w:color w:val="auto"/>
              </w:rPr>
            </w:pPr>
            <w:r>
              <w:rPr>
                <w:rFonts w:ascii="Arial" w:cs="Arial" w:eastAsia="Arial" w:hAnsi="Arial"/>
                <w:sz w:val="15"/>
                <w:szCs w:val="15"/>
                <w:color w:val="auto"/>
              </w:rPr>
              <w:t>844</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90"/>
        </w:trPr>
        <w:tc>
          <w:tcPr>
            <w:tcW w:w="3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5"/>
                <w:szCs w:val="15"/>
                <w:b w:val="1"/>
                <w:bCs w:val="1"/>
                <w:color w:val="auto"/>
                <w:w w:val="96"/>
              </w:rPr>
              <w:t>Short term loan commitment (at period end)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3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Forward loans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995.0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916.9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995.0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477.5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108 %</w:t>
            </w:r>
          </w:p>
        </w:tc>
      </w:tr>
      <w:tr>
        <w:trPr>
          <w:trHeight w:val="192"/>
        </w:trPr>
        <w:tc>
          <w:tcPr>
            <w:tcW w:w="3040" w:type="dxa"/>
            <w:vAlign w:val="bottom"/>
          </w:tcPr>
          <w:p>
            <w:pPr>
              <w:ind w:left="100"/>
              <w:spacing w:after="0"/>
              <w:rPr>
                <w:sz w:val="20"/>
                <w:szCs w:val="20"/>
                <w:color w:val="auto"/>
              </w:rPr>
            </w:pPr>
            <w:r>
              <w:rPr>
                <w:rFonts w:ascii="Arial" w:cs="Arial" w:eastAsia="Arial" w:hAnsi="Arial"/>
                <w:sz w:val="15"/>
                <w:szCs w:val="15"/>
                <w:color w:val="auto"/>
              </w:rPr>
              <w:t>Reverse loans</w:t>
            </w:r>
          </w:p>
        </w:tc>
        <w:tc>
          <w:tcPr>
            <w:tcW w:w="2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68.4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50.2</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68.4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30.2</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127</w:t>
            </w:r>
          </w:p>
        </w:tc>
      </w:tr>
      <w:tr>
        <w:trPr>
          <w:trHeight w:val="228"/>
        </w:trPr>
        <w:tc>
          <w:tcPr>
            <w:tcW w:w="3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5"/>
                <w:szCs w:val="15"/>
                <w:b w:val="1"/>
                <w:bCs w:val="1"/>
                <w:color w:val="auto"/>
              </w:rPr>
              <w:t>Average Employment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30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U.S.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577</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433</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40</w:t>
            </w:r>
          </w:p>
        </w:tc>
      </w:tr>
      <w:tr>
        <w:trPr>
          <w:trHeight w:val="192"/>
        </w:trPr>
        <w:tc>
          <w:tcPr>
            <w:tcW w:w="304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India and other</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345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280</w:t>
            </w:r>
          </w:p>
        </w:tc>
        <w:tc>
          <w:tcPr>
            <w:tcW w:w="106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118</w:t>
            </w:r>
          </w:p>
        </w:tc>
        <w:tc>
          <w:tcPr>
            <w:tcW w:w="106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164</w:t>
            </w:r>
          </w:p>
        </w:tc>
      </w:tr>
      <w:tr>
        <w:trPr>
          <w:trHeight w:val="21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857</w:t>
            </w:r>
          </w:p>
        </w:tc>
        <w:tc>
          <w:tcPr>
            <w:tcW w:w="106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918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551</w:t>
            </w:r>
          </w:p>
        </w:tc>
        <w:tc>
          <w:tcPr>
            <w:tcW w:w="106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67</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116" w:lineRule="exact"/>
        <w:rPr>
          <w:sz w:val="20"/>
          <w:szCs w:val="20"/>
          <w:color w:val="auto"/>
        </w:rPr>
      </w:pPr>
    </w:p>
    <w:p>
      <w:pPr>
        <w:ind w:left="269" w:hanging="269"/>
        <w:spacing w:after="0"/>
        <w:tabs>
          <w:tab w:leader="none" w:pos="269"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Loan production excludes reverse mortgage loan draws by borrowers disbursed subsequent to origination.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9" w:lineRule="exact"/>
        <w:rPr>
          <w:rFonts w:ascii="Arial" w:cs="Arial" w:eastAsia="Arial" w:hAnsi="Arial"/>
          <w:sz w:val="14"/>
          <w:szCs w:val="14"/>
          <w:color w:val="auto"/>
        </w:rPr>
      </w:pPr>
    </w:p>
    <w:p>
      <w:pPr>
        <w:ind w:left="5549"/>
        <w:spacing w:after="0"/>
        <w:rPr>
          <w:rFonts w:ascii="Arial" w:cs="Arial" w:eastAsia="Arial" w:hAnsi="Arial"/>
          <w:sz w:val="14"/>
          <w:szCs w:val="14"/>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85" w:name="page86"/>
    <w:bookmarkEnd w:id="85"/>
    <w:tbl>
      <w:tblPr>
        <w:tblLayout w:type="fixed"/>
        <w:tblInd w:w="9" w:type="dxa"/>
        <w:tblCellMar>
          <w:top w:w="0" w:type="dxa"/>
          <w:left w:w="0" w:type="dxa"/>
          <w:bottom w:w="0" w:type="dxa"/>
          <w:right w:w="0" w:type="dxa"/>
        </w:tblCellMar>
      </w:tblPr>
      <w:tr>
        <w:trPr>
          <w:trHeight w:val="191"/>
        </w:trPr>
        <w:tc>
          <w:tcPr>
            <w:tcW w:w="3040" w:type="dxa"/>
            <w:vAlign w:val="bottom"/>
          </w:tcPr>
          <w:p>
            <w:pPr>
              <w:spacing w:after="0"/>
              <w:rPr>
                <w:sz w:val="20"/>
                <w:szCs w:val="20"/>
                <w:color w:val="auto"/>
              </w:rPr>
            </w:pPr>
            <w:r>
              <w:rPr>
                <w:rFonts w:ascii="Arial" w:cs="Arial" w:eastAsia="Arial" w:hAnsi="Arial"/>
                <w:sz w:val="15"/>
                <w:szCs w:val="15"/>
                <w:b w:val="1"/>
                <w:bCs w:val="1"/>
                <w:i w:val="1"/>
                <w:iCs w:val="1"/>
                <w:color w:val="auto"/>
              </w:rPr>
              <w:t>Gain on Loans Held for Sale</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2"/>
        </w:trPr>
        <w:tc>
          <w:tcPr>
            <w:tcW w:w="10200" w:type="dxa"/>
            <w:vAlign w:val="bottom"/>
            <w:gridSpan w:val="14"/>
          </w:tcPr>
          <w:p>
            <w:pPr>
              <w:jc w:val="right"/>
              <w:ind w:right="624"/>
              <w:spacing w:after="0"/>
              <w:rPr>
                <w:sz w:val="20"/>
                <w:szCs w:val="20"/>
                <w:color w:val="auto"/>
              </w:rPr>
            </w:pPr>
            <w:r>
              <w:rPr>
                <w:rFonts w:ascii="Arial" w:cs="Arial" w:eastAsia="Arial" w:hAnsi="Arial"/>
                <w:sz w:val="15"/>
                <w:szCs w:val="15"/>
                <w:color w:val="auto"/>
                <w:w w:val="94"/>
              </w:rPr>
              <w:t>The following table provides information regarding Gain on loans held for sale by channel and the related forward loan origination volume and margins:</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30"/>
        </w:trPr>
        <w:tc>
          <w:tcPr>
            <w:tcW w:w="3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5"/>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16"/>
                <w:szCs w:val="16"/>
                <w:color w:val="auto"/>
              </w:rPr>
            </w:pPr>
          </w:p>
        </w:tc>
        <w:tc>
          <w:tcPr>
            <w:tcW w:w="1200" w:type="dxa"/>
            <w:vAlign w:val="bottom"/>
          </w:tcPr>
          <w:p>
            <w:pPr>
              <w:jc w:val="right"/>
              <w:ind w:right="32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6"/>
                <w:szCs w:val="16"/>
                <w:color w:val="auto"/>
              </w:rPr>
            </w:pPr>
          </w:p>
        </w:tc>
        <w:tc>
          <w:tcPr>
            <w:tcW w:w="1180" w:type="dxa"/>
            <w:vAlign w:val="bottom"/>
          </w:tcPr>
          <w:p>
            <w:pPr>
              <w:jc w:val="right"/>
              <w:ind w:right="384"/>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5"/>
                <w:szCs w:val="15"/>
                <w:b w:val="1"/>
                <w:bCs w:val="1"/>
                <w:color w:val="auto"/>
              </w:rPr>
              <w:t>% Change</w:t>
            </w:r>
          </w:p>
        </w:tc>
        <w:tc>
          <w:tcPr>
            <w:tcW w:w="28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0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b w:val="1"/>
                <w:bCs w:val="1"/>
                <w:color w:val="auto"/>
              </w:rPr>
              <w:t>% Change</w:t>
            </w:r>
          </w:p>
        </w:tc>
      </w:tr>
      <w:tr>
        <w:trPr>
          <w:trHeight w:val="174"/>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Gain on Loans Held for Sale (1)</w:t>
            </w: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2"/>
        </w:trPr>
        <w:tc>
          <w:tcPr>
            <w:tcW w:w="3040" w:type="dxa"/>
            <w:vAlign w:val="bottom"/>
          </w:tcPr>
          <w:p>
            <w:pPr>
              <w:ind w:left="180"/>
              <w:spacing w:after="0"/>
              <w:rPr>
                <w:sz w:val="20"/>
                <w:szCs w:val="20"/>
                <w:color w:val="auto"/>
              </w:rPr>
            </w:pPr>
            <w:r>
              <w:rPr>
                <w:rFonts w:ascii="Arial" w:cs="Arial" w:eastAsia="Arial" w:hAnsi="Arial"/>
                <w:sz w:val="15"/>
                <w:szCs w:val="15"/>
                <w:color w:val="auto"/>
              </w:rPr>
              <w:t>Correspondent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3.5</w:t>
            </w:r>
          </w:p>
        </w:tc>
        <w:tc>
          <w:tcPr>
            <w:tcW w:w="1060" w:type="dxa"/>
            <w:vAlign w:val="bottom"/>
            <w:gridSpan w:val="2"/>
          </w:tcPr>
          <w:p>
            <w:pPr>
              <w:ind w:left="720"/>
              <w:spacing w:after="0"/>
              <w:rPr>
                <w:sz w:val="20"/>
                <w:szCs w:val="20"/>
                <w:color w:val="auto"/>
              </w:rPr>
            </w:pPr>
            <w:r>
              <w:rPr>
                <w:rFonts w:ascii="Arial" w:cs="Arial" w:eastAsia="Arial" w:hAnsi="Arial"/>
                <w:sz w:val="15"/>
                <w:szCs w:val="15"/>
                <w:color w:val="auto"/>
                <w:w w:val="93"/>
              </w:rPr>
              <w:t>34 %</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6.7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23 %</w:t>
            </w:r>
          </w:p>
        </w:tc>
      </w:tr>
      <w:tr>
        <w:trPr>
          <w:trHeight w:val="193"/>
        </w:trPr>
        <w:tc>
          <w:tcPr>
            <w:tcW w:w="3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Recapture</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34.1</w:t>
            </w:r>
          </w:p>
        </w:tc>
        <w:tc>
          <w:tcPr>
            <w:tcW w:w="106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56.6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36.1</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57</w:t>
            </w:r>
          </w:p>
        </w:tc>
      </w:tr>
      <w:tr>
        <w:trPr>
          <w:trHeight w:val="185"/>
        </w:trPr>
        <w:tc>
          <w:tcPr>
            <w:tcW w:w="304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27.3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37.6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64.9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42.9</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51 %</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90"/>
        </w:trPr>
        <w:tc>
          <w:tcPr>
            <w:tcW w:w="3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5"/>
                <w:szCs w:val="15"/>
                <w:b w:val="1"/>
                <w:bCs w:val="1"/>
                <w:color w:val="auto"/>
              </w:rPr>
              <w:t>% Gain on Sale Margin (2)</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3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Correspondent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0.18 %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0.12 %</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0.53 %</w:t>
            </w:r>
          </w:p>
        </w:tc>
        <w:tc>
          <w:tcPr>
            <w:tcW w:w="106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(72)</w:t>
            </w:r>
          </w:p>
        </w:tc>
      </w:tr>
      <w:tr>
        <w:trPr>
          <w:trHeight w:val="192"/>
        </w:trPr>
        <w:tc>
          <w:tcPr>
            <w:tcW w:w="30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Recapture</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5.12</w:t>
            </w:r>
          </w:p>
        </w:tc>
        <w:tc>
          <w:tcPr>
            <w:tcW w:w="1060" w:type="dxa"/>
            <w:vAlign w:val="bottom"/>
            <w:tcBorders>
              <w:bottom w:val="single" w:sz="8" w:color="CCEEFF"/>
            </w:tcBorders>
            <w:gridSpan w:val="2"/>
          </w:tcPr>
          <w:p>
            <w:pPr>
              <w:jc w:val="right"/>
              <w:ind w:right="64"/>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4.82 %</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5.15</w:t>
            </w:r>
          </w:p>
        </w:tc>
        <w:tc>
          <w:tcPr>
            <w:tcW w:w="106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(7)</w:t>
            </w:r>
          </w:p>
        </w:tc>
      </w:tr>
      <w:tr>
        <w:trPr>
          <w:trHeight w:val="210"/>
        </w:trPr>
        <w:tc>
          <w:tcPr>
            <w:tcW w:w="3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0.86 %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1.08 %</w:t>
            </w:r>
          </w:p>
        </w:tc>
        <w:tc>
          <w:tcPr>
            <w:tcW w:w="10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0.97 %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170"/>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Origination UPB (3)</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2"/>
        </w:trPr>
        <w:tc>
          <w:tcPr>
            <w:tcW w:w="3040" w:type="dxa"/>
            <w:vAlign w:val="bottom"/>
          </w:tcPr>
          <w:p>
            <w:pPr>
              <w:ind w:left="180"/>
              <w:spacing w:after="0"/>
              <w:rPr>
                <w:sz w:val="20"/>
                <w:szCs w:val="20"/>
                <w:color w:val="auto"/>
              </w:rPr>
            </w:pPr>
            <w:r>
              <w:rPr>
                <w:rFonts w:ascii="Arial" w:cs="Arial" w:eastAsia="Arial" w:hAnsi="Arial"/>
                <w:sz w:val="15"/>
                <w:szCs w:val="15"/>
                <w:color w:val="auto"/>
              </w:rPr>
              <w:t>Correspondent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2,664.9</w:t>
            </w:r>
          </w:p>
        </w:tc>
        <w:tc>
          <w:tcPr>
            <w:tcW w:w="1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2,822.3</w:t>
            </w: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5,487.2</w:t>
            </w:r>
          </w:p>
        </w:tc>
        <w:tc>
          <w:tcPr>
            <w:tcW w:w="10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1,259.7</w:t>
            </w: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336%</w:t>
            </w:r>
          </w:p>
        </w:tc>
      </w:tr>
      <w:tr>
        <w:trPr>
          <w:trHeight w:val="193"/>
        </w:trPr>
        <w:tc>
          <w:tcPr>
            <w:tcW w:w="3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Recapture</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510.0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665.6</w:t>
            </w:r>
          </w:p>
        </w:tc>
        <w:tc>
          <w:tcPr>
            <w:tcW w:w="106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1,175.7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701.5</w:t>
            </w: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68</w:t>
            </w:r>
          </w:p>
        </w:tc>
      </w:tr>
      <w:tr>
        <w:trPr>
          <w:trHeight w:val="185"/>
        </w:trPr>
        <w:tc>
          <w:tcPr>
            <w:tcW w:w="304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3,175.0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3,487.9</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6,662.8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1,961.2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240 %</w:t>
            </w: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94" w:lineRule="exact"/>
        <w:rPr>
          <w:sz w:val="20"/>
          <w:szCs w:val="20"/>
          <w:color w:val="auto"/>
        </w:rPr>
      </w:pPr>
    </w:p>
    <w:p>
      <w:pPr>
        <w:ind w:left="269" w:hanging="269"/>
        <w:spacing w:after="0"/>
        <w:tabs>
          <w:tab w:leader="none" w:pos="269"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realized gains on loan sales and related new MSR capitalization, changes in fair value of IRLCs, changes in fair value of loans held for sale and economic hedging gains and losses.</w:t>
      </w:r>
    </w:p>
    <w:p>
      <w:pPr>
        <w:spacing w:after="0" w:line="32" w:lineRule="exact"/>
        <w:rPr>
          <w:rFonts w:ascii="Arial" w:cs="Arial" w:eastAsia="Arial" w:hAnsi="Arial"/>
          <w:sz w:val="12"/>
          <w:szCs w:val="12"/>
          <w:color w:val="auto"/>
        </w:rPr>
      </w:pPr>
    </w:p>
    <w:p>
      <w:pPr>
        <w:ind w:left="269" w:hanging="269"/>
        <w:spacing w:after="0" w:line="236" w:lineRule="auto"/>
        <w:tabs>
          <w:tab w:leader="none" w:pos="269" w:val="left"/>
        </w:tabs>
        <w:numPr>
          <w:ilvl w:val="0"/>
          <w:numId w:val="50"/>
        </w:numPr>
        <w:rPr>
          <w:rFonts w:ascii="Arial" w:cs="Arial" w:eastAsia="Arial" w:hAnsi="Arial"/>
          <w:sz w:val="14"/>
          <w:szCs w:val="14"/>
          <w:color w:val="auto"/>
        </w:rPr>
      </w:pPr>
      <w:r>
        <w:rPr>
          <w:rFonts w:ascii="Arial" w:cs="Arial" w:eastAsia="Arial" w:hAnsi="Arial"/>
          <w:sz w:val="14"/>
          <w:szCs w:val="14"/>
          <w:color w:val="auto"/>
        </w:rPr>
        <w:t>Ratio of gain on Loans held for sale to volume UPB. See (3) below. Note that the ratio differs from the day-one gain on sale margin upon lock.</w:t>
      </w:r>
    </w:p>
    <w:p>
      <w:pPr>
        <w:ind w:left="269" w:hanging="269"/>
        <w:spacing w:after="0"/>
        <w:tabs>
          <w:tab w:leader="none" w:pos="269"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Defined as the UPB of loans funded in the period plus the change in the period in the pull-through adjusted UPB of IRLCs.</w:t>
      </w:r>
    </w:p>
    <w:p>
      <w:pPr>
        <w:spacing w:after="0" w:line="75" w:lineRule="exact"/>
        <w:rPr>
          <w:sz w:val="20"/>
          <w:szCs w:val="20"/>
          <w:color w:val="auto"/>
        </w:rPr>
      </w:pPr>
    </w:p>
    <w:p>
      <w:pPr>
        <w:ind w:left="9" w:right="20" w:firstLine="272"/>
        <w:spacing w:after="0" w:line="292" w:lineRule="auto"/>
        <w:rPr>
          <w:sz w:val="20"/>
          <w:szCs w:val="20"/>
          <w:color w:val="auto"/>
        </w:rPr>
      </w:pPr>
      <w:r>
        <w:rPr>
          <w:rFonts w:ascii="Arial" w:cs="Arial" w:eastAsia="Arial" w:hAnsi="Arial"/>
          <w:sz w:val="14"/>
          <w:szCs w:val="14"/>
          <w:color w:val="auto"/>
        </w:rPr>
        <w:t>We recognized a $27.3 million gain on loans held for sale, net for the second quarter of 2021, a $10.3 million, or 27% decrease as compared to the first quarter of 2021. The decrease is primarily due to lower loan production volume for both channels and a decline in margin in our recapture channel, partially offset by higher margin on our correspondent channel. Recapture margin was lower due to increased competition in the marketplace, while correspondent margin increased through enhanced execution.</w:t>
      </w:r>
    </w:p>
    <w:p>
      <w:pPr>
        <w:spacing w:after="0" w:line="48" w:lineRule="exact"/>
        <w:rPr>
          <w:sz w:val="20"/>
          <w:szCs w:val="20"/>
          <w:color w:val="auto"/>
        </w:rPr>
      </w:pPr>
    </w:p>
    <w:p>
      <w:pPr>
        <w:ind w:left="9" w:right="40" w:firstLine="272"/>
        <w:spacing w:after="0" w:line="258" w:lineRule="auto"/>
        <w:rPr>
          <w:sz w:val="20"/>
          <w:szCs w:val="20"/>
          <w:color w:val="auto"/>
        </w:rPr>
      </w:pPr>
      <w:r>
        <w:rPr>
          <w:rFonts w:ascii="Arial" w:cs="Arial" w:eastAsia="Arial" w:hAnsi="Arial"/>
          <w:sz w:val="15"/>
          <w:szCs w:val="15"/>
          <w:color w:val="auto"/>
        </w:rPr>
        <w:t>Gain on loans held for sale, net for the six months ended June 30, 2021 increased $22.0 million, or 51%, as compared to the six months ended June 30, 2020, mostly in our recapture channel, with an increase in our loan production volume, partially offset by a lower margin. The $4.7 billion, or 240% new production volume increase in both our correspondent and recapture channels is due to favorable market conditions for borrower refinancing and the demonstrated capability of our Originations platform. We have expanded our correspondent seller network from 95 to 383, a 303% increase in twelve months. In addition, the increase in the new production volume of our recapture channel is the result of investments in staffing we made to develop the capabilities of our platform.</w:t>
      </w:r>
    </w:p>
    <w:p>
      <w:pPr>
        <w:spacing w:after="0" w:line="71"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Reverse Mortgage Revenue, Net</w:t>
      </w:r>
    </w:p>
    <w:p>
      <w:pPr>
        <w:spacing w:after="0" w:line="100" w:lineRule="exact"/>
        <w:rPr>
          <w:sz w:val="20"/>
          <w:szCs w:val="20"/>
          <w:color w:val="auto"/>
        </w:rPr>
      </w:pPr>
    </w:p>
    <w:p>
      <w:pPr>
        <w:ind w:left="9" w:right="180" w:firstLine="272"/>
        <w:spacing w:after="0" w:line="278" w:lineRule="auto"/>
        <w:rPr>
          <w:sz w:val="20"/>
          <w:szCs w:val="20"/>
          <w:color w:val="auto"/>
        </w:rPr>
      </w:pPr>
      <w:r>
        <w:rPr>
          <w:rFonts w:ascii="Arial" w:cs="Arial" w:eastAsia="Arial" w:hAnsi="Arial"/>
          <w:sz w:val="15"/>
          <w:szCs w:val="15"/>
          <w:color w:val="auto"/>
        </w:rPr>
        <w:t>The following table provides information regarding Reverse mortgage revenue, net of the Originations segment that comprises fair value changes of the pipeline and unsecuritized reverse mortgage loans held for investment, at fair value, together with volume and margin:</w:t>
      </w:r>
    </w:p>
    <w:p>
      <w:pPr>
        <w:spacing w:after="0" w:line="107"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5"/>
                <w:szCs w:val="15"/>
                <w:b w:val="1"/>
                <w:bCs w:val="1"/>
                <w:color w:val="auto"/>
              </w:rPr>
              <w:t>Six Months Ended</w:t>
            </w:r>
          </w:p>
        </w:tc>
        <w:tc>
          <w:tcPr>
            <w:tcW w:w="1060" w:type="dxa"/>
            <w:vAlign w:val="bottom"/>
          </w:tcPr>
          <w:p>
            <w:pPr>
              <w:spacing w:after="0"/>
              <w:rPr>
                <w:sz w:val="16"/>
                <w:szCs w:val="16"/>
                <w:color w:val="auto"/>
              </w:rPr>
            </w:pPr>
          </w:p>
        </w:tc>
      </w:tr>
      <w:tr>
        <w:trPr>
          <w:trHeight w:val="195"/>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16"/>
                <w:szCs w:val="16"/>
                <w:color w:val="auto"/>
              </w:rPr>
            </w:pPr>
          </w:p>
        </w:tc>
        <w:tc>
          <w:tcPr>
            <w:tcW w:w="1200" w:type="dxa"/>
            <w:vAlign w:val="bottom"/>
          </w:tcPr>
          <w:p>
            <w:pPr>
              <w:jc w:val="right"/>
              <w:ind w:right="32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6"/>
                <w:szCs w:val="16"/>
                <w:color w:val="auto"/>
              </w:rPr>
            </w:pPr>
          </w:p>
        </w:tc>
        <w:tc>
          <w:tcPr>
            <w:tcW w:w="1180" w:type="dxa"/>
            <w:vAlign w:val="bottom"/>
          </w:tcPr>
          <w:p>
            <w:pPr>
              <w:jc w:val="right"/>
              <w:ind w:right="384"/>
              <w:spacing w:after="0"/>
              <w:rPr>
                <w:sz w:val="20"/>
                <w:szCs w:val="20"/>
                <w:color w:val="auto"/>
              </w:rPr>
            </w:pPr>
            <w:r>
              <w:rPr>
                <w:rFonts w:ascii="Arial" w:cs="Arial" w:eastAsia="Arial" w:hAnsi="Arial"/>
                <w:sz w:val="15"/>
                <w:szCs w:val="15"/>
                <w:b w:val="1"/>
                <w:bCs w:val="1"/>
                <w:color w:val="auto"/>
              </w:rPr>
              <w:t>June 30,</w:t>
            </w:r>
          </w:p>
        </w:tc>
        <w:tc>
          <w:tcPr>
            <w:tcW w:w="1060" w:type="dxa"/>
            <w:vAlign w:val="bottom"/>
          </w:tcPr>
          <w:p>
            <w:pPr>
              <w:spacing w:after="0"/>
              <w:rPr>
                <w:sz w:val="16"/>
                <w:szCs w:val="16"/>
                <w:color w:val="auto"/>
              </w:rPr>
            </w:pPr>
          </w:p>
        </w:tc>
      </w:tr>
      <w:tr>
        <w:trPr>
          <w:trHeight w:val="216"/>
        </w:trPr>
        <w:tc>
          <w:tcPr>
            <w:tcW w:w="3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2020</w:t>
            </w: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 Change</w:t>
            </w:r>
          </w:p>
        </w:tc>
      </w:tr>
      <w:tr>
        <w:trPr>
          <w:trHeight w:val="185"/>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Origination UPB (1)</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347.2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296.8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644.0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430.6</w:t>
            </w:r>
          </w:p>
        </w:tc>
        <w:tc>
          <w:tcPr>
            <w:tcW w:w="1060" w:type="dxa"/>
            <w:vAlign w:val="bottom"/>
            <w:shd w:val="clear" w:color="auto" w:fill="CCEEFF"/>
          </w:tcPr>
          <w:p>
            <w:pPr>
              <w:ind w:left="720"/>
              <w:spacing w:after="0"/>
              <w:rPr>
                <w:sz w:val="20"/>
                <w:szCs w:val="20"/>
                <w:color w:val="auto"/>
              </w:rPr>
            </w:pPr>
            <w:r>
              <w:rPr>
                <w:rFonts w:ascii="Arial" w:cs="Arial" w:eastAsia="Arial" w:hAnsi="Arial"/>
                <w:sz w:val="15"/>
                <w:szCs w:val="15"/>
                <w:color w:val="auto"/>
                <w:w w:val="93"/>
              </w:rPr>
              <w:t>50 %</w:t>
            </w:r>
          </w:p>
        </w:tc>
      </w:tr>
      <w:tr>
        <w:trPr>
          <w:trHeight w:val="192"/>
        </w:trPr>
        <w:tc>
          <w:tcPr>
            <w:tcW w:w="30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Origination margin (2)</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6.67 %</w:t>
            </w:r>
          </w:p>
        </w:tc>
        <w:tc>
          <w:tcPr>
            <w:tcW w:w="1060" w:type="dxa"/>
            <w:vAlign w:val="bottom"/>
            <w:tcBorders>
              <w:bottom w:val="single" w:sz="8" w:color="CCEEFF"/>
            </w:tcBorders>
            <w:gridSpan w:val="2"/>
          </w:tcPr>
          <w:p>
            <w:pPr>
              <w:jc w:val="right"/>
              <w:ind w:right="64"/>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6.00 %</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5.25 %</w:t>
            </w:r>
          </w:p>
        </w:tc>
        <w:tc>
          <w:tcPr>
            <w:tcW w:w="1060" w:type="dxa"/>
            <w:vAlign w:val="bottom"/>
            <w:tcBorders>
              <w:bottom w:val="single" w:sz="8" w:color="CCEEFF"/>
            </w:tcBorders>
          </w:tcPr>
          <w:p>
            <w:pPr>
              <w:ind w:left="720"/>
              <w:spacing w:after="0"/>
              <w:rPr>
                <w:sz w:val="20"/>
                <w:szCs w:val="20"/>
                <w:color w:val="auto"/>
              </w:rPr>
            </w:pPr>
            <w:r>
              <w:rPr>
                <w:rFonts w:ascii="Arial" w:cs="Arial" w:eastAsia="Arial" w:hAnsi="Arial"/>
                <w:sz w:val="15"/>
                <w:szCs w:val="15"/>
                <w:color w:val="auto"/>
              </w:rPr>
              <w:t>14</w:t>
            </w:r>
          </w:p>
        </w:tc>
      </w:tr>
      <w:tr>
        <w:trPr>
          <w:trHeight w:val="210"/>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2"/>
              </w:rPr>
              <w:t>Reverse mortgage revenue, net (Originations) (3)</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19.8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38.6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22.6</w:t>
            </w:r>
          </w:p>
        </w:tc>
        <w:tc>
          <w:tcPr>
            <w:tcW w:w="1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color w:val="auto"/>
                <w:w w:val="93"/>
              </w:rPr>
              <w:t>71 %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82" w:lineRule="exact"/>
        <w:rPr>
          <w:sz w:val="20"/>
          <w:szCs w:val="20"/>
          <w:color w:val="auto"/>
        </w:rPr>
      </w:pPr>
    </w:p>
    <w:p>
      <w:pPr>
        <w:ind w:left="269" w:hanging="269"/>
        <w:spacing w:after="0"/>
        <w:tabs>
          <w:tab w:leader="none" w:pos="269"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Defined as the UPB of loans funded in the period plus the change in the period in the pull-through adjusted UPB of IRLCs.</w:t>
      </w:r>
    </w:p>
    <w:p>
      <w:pPr>
        <w:spacing w:after="0" w:line="9" w:lineRule="exact"/>
        <w:rPr>
          <w:rFonts w:ascii="Arial" w:cs="Arial" w:eastAsia="Arial" w:hAnsi="Arial"/>
          <w:sz w:val="14"/>
          <w:szCs w:val="14"/>
          <w:color w:val="auto"/>
        </w:rPr>
      </w:pPr>
    </w:p>
    <w:p>
      <w:pPr>
        <w:ind w:left="269" w:hanging="269"/>
        <w:spacing w:after="0"/>
        <w:tabs>
          <w:tab w:leader="none" w:pos="269" w:val="left"/>
        </w:tabs>
        <w:numPr>
          <w:ilvl w:val="0"/>
          <w:numId w:val="51"/>
        </w:numPr>
        <w:rPr>
          <w:rFonts w:ascii="Arial" w:cs="Arial" w:eastAsia="Arial" w:hAnsi="Arial"/>
          <w:sz w:val="14"/>
          <w:szCs w:val="14"/>
          <w:color w:val="auto"/>
        </w:rPr>
      </w:pPr>
      <w:r>
        <w:rPr>
          <w:rFonts w:ascii="Arial" w:cs="Arial" w:eastAsia="Arial" w:hAnsi="Arial"/>
          <w:sz w:val="14"/>
          <w:szCs w:val="14"/>
          <w:color w:val="auto"/>
        </w:rPr>
        <w:t>Ratio of origination gain and fees - see (3) below - to origination UPB - see (1) above.</w:t>
      </w:r>
    </w:p>
    <w:p>
      <w:pPr>
        <w:spacing w:after="0" w:line="200" w:lineRule="exact"/>
        <w:rPr>
          <w:sz w:val="20"/>
          <w:szCs w:val="20"/>
          <w:color w:val="auto"/>
        </w:rPr>
      </w:pPr>
    </w:p>
    <w:p>
      <w:pPr>
        <w:spacing w:after="0" w:line="24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66" w:right="319" w:bottom="1440" w:gutter="0" w:footer="0" w:header="0"/>
        </w:sectPr>
      </w:pPr>
    </w:p>
    <w:bookmarkStart w:id="86" w:name="page87"/>
    <w:bookmarkEnd w:id="86"/>
    <w:p>
      <w:pPr>
        <w:spacing w:after="0"/>
        <w:tabs>
          <w:tab w:leader="none" w:pos="24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2"/>
          <w:szCs w:val="12"/>
          <w:color w:val="auto"/>
        </w:rPr>
        <w:t>Includes gain on new origination, and loan fees and other.</w:t>
      </w:r>
    </w:p>
    <w:p>
      <w:pPr>
        <w:spacing w:after="0" w:line="87" w:lineRule="exact"/>
        <w:rPr>
          <w:sz w:val="20"/>
          <w:szCs w:val="20"/>
          <w:color w:val="auto"/>
        </w:rPr>
      </w:pPr>
    </w:p>
    <w:p>
      <w:pPr>
        <w:ind w:right="80" w:firstLine="272"/>
        <w:spacing w:after="0" w:line="261" w:lineRule="auto"/>
        <w:rPr>
          <w:sz w:val="20"/>
          <w:szCs w:val="20"/>
          <w:color w:val="auto"/>
        </w:rPr>
      </w:pPr>
      <w:r>
        <w:rPr>
          <w:rFonts w:ascii="Arial" w:cs="Arial" w:eastAsia="Arial" w:hAnsi="Arial"/>
          <w:sz w:val="15"/>
          <w:szCs w:val="15"/>
          <w:color w:val="auto"/>
        </w:rPr>
        <w:t>We reported $18.8 million Originations Reverse mortgage revenue, net for the second quarter of 2021, a $1.0 million, or 5% decrease as compared to the first quarter of 2021. As detailed in the above table, the decrease is driven by a lower average margin that was mostly offset by a volume increase. All reverse channels generated higher volumes, but at a lower margin for the correspondent and retail channels. This decrease in margin is attributable to less favorable yield spread tightening observed in the market during the second quarter which explains the revenue decrease during the quarter.</w:t>
      </w:r>
    </w:p>
    <w:p>
      <w:pPr>
        <w:spacing w:after="0" w:line="67" w:lineRule="exact"/>
        <w:rPr>
          <w:sz w:val="20"/>
          <w:szCs w:val="20"/>
          <w:color w:val="auto"/>
        </w:rPr>
      </w:pPr>
    </w:p>
    <w:p>
      <w:pPr>
        <w:ind w:right="120" w:firstLine="272"/>
        <w:spacing w:after="0" w:line="265" w:lineRule="auto"/>
        <w:rPr>
          <w:sz w:val="20"/>
          <w:szCs w:val="20"/>
          <w:color w:val="auto"/>
        </w:rPr>
      </w:pPr>
      <w:r>
        <w:rPr>
          <w:rFonts w:ascii="Arial" w:cs="Arial" w:eastAsia="Arial" w:hAnsi="Arial"/>
          <w:sz w:val="15"/>
          <w:szCs w:val="15"/>
          <w:color w:val="auto"/>
        </w:rPr>
        <w:t>Reverse mortgage revenue, net for the six months ended June 30, 2021 increased $16.0 million, or 71% as compared to the six months ended June 30, 2020, primarily driven by a higher margin across all channels and increased volume. The higher margin is mostly due to more favorable yield spread tightening observed in the market during the six months ended June 30, 2021.</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Revenue</w:t>
      </w:r>
    </w:p>
    <w:p>
      <w:pPr>
        <w:spacing w:after="0" w:line="100" w:lineRule="exact"/>
        <w:rPr>
          <w:sz w:val="20"/>
          <w:szCs w:val="20"/>
          <w:color w:val="auto"/>
        </w:rPr>
      </w:pPr>
    </w:p>
    <w:p>
      <w:pPr>
        <w:ind w:right="240" w:firstLine="272"/>
        <w:spacing w:after="0" w:line="278" w:lineRule="auto"/>
        <w:rPr>
          <w:sz w:val="20"/>
          <w:szCs w:val="20"/>
          <w:color w:val="auto"/>
        </w:rPr>
      </w:pPr>
      <w:r>
        <w:rPr>
          <w:rFonts w:ascii="Arial" w:cs="Arial" w:eastAsia="Arial" w:hAnsi="Arial"/>
          <w:sz w:val="15"/>
          <w:szCs w:val="15"/>
          <w:color w:val="auto"/>
        </w:rPr>
        <w:t>Other revenue for the six months ended June 30, 2021 increased $13.1 million as compared to the six months ended June 30, 2020, primarily driven by increased loan production volumes in both recapture and correspondent channels.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MSR Valuation Adjustments, Net</w:t>
      </w:r>
    </w:p>
    <w:p>
      <w:pPr>
        <w:spacing w:after="0" w:line="100" w:lineRule="exact"/>
        <w:rPr>
          <w:sz w:val="20"/>
          <w:szCs w:val="20"/>
          <w:color w:val="auto"/>
        </w:rPr>
      </w:pPr>
    </w:p>
    <w:p>
      <w:pPr>
        <w:ind w:right="80" w:firstLine="272"/>
        <w:spacing w:after="0" w:line="258" w:lineRule="auto"/>
        <w:rPr>
          <w:sz w:val="20"/>
          <w:szCs w:val="20"/>
          <w:color w:val="auto"/>
        </w:rPr>
      </w:pPr>
      <w:r>
        <w:rPr>
          <w:rFonts w:ascii="Arial" w:cs="Arial" w:eastAsia="Arial" w:hAnsi="Arial"/>
          <w:sz w:val="15"/>
          <w:szCs w:val="15"/>
          <w:color w:val="auto"/>
        </w:rPr>
        <w:t>MSR valuation adjustments, net includes a gain of $8.8 million for the second quarter of 2021 due to the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We transfer the MSR from the Originations segment to the Servicing segment at fair value upon closing.</w:t>
      </w:r>
    </w:p>
    <w:p>
      <w:pPr>
        <w:spacing w:after="0" w:line="71" w:lineRule="exact"/>
        <w:rPr>
          <w:sz w:val="20"/>
          <w:szCs w:val="20"/>
          <w:color w:val="auto"/>
        </w:rPr>
      </w:pPr>
    </w:p>
    <w:p>
      <w:pPr>
        <w:ind w:right="60" w:firstLine="272"/>
        <w:spacing w:after="0" w:line="265" w:lineRule="auto"/>
        <w:rPr>
          <w:sz w:val="20"/>
          <w:szCs w:val="20"/>
          <w:color w:val="auto"/>
        </w:rPr>
      </w:pPr>
      <w:r>
        <w:rPr>
          <w:rFonts w:ascii="Arial" w:cs="Arial" w:eastAsia="Arial" w:hAnsi="Arial"/>
          <w:sz w:val="15"/>
          <w:szCs w:val="15"/>
          <w:color w:val="auto"/>
        </w:rPr>
        <w:t>MSR valuation adjustments, net for the second quarter of 2021 increased $0.3 million as compared to the first quarter of 2021. Opportunities for fair value discount or margins were larger in the early period of the pandemic and have reduced as markets normalize. For the six months ended June 30, 2021, MSR valuation adjustments, net increased $3.3 million as compared to the same period of 2020 since we did not record any such gain prior to the pandemic in the first quarter of 2020.</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00" w:lineRule="exact"/>
        <w:rPr>
          <w:sz w:val="20"/>
          <w:szCs w:val="20"/>
          <w:color w:val="auto"/>
        </w:rPr>
      </w:pPr>
    </w:p>
    <w:p>
      <w:pPr>
        <w:ind w:firstLine="272"/>
        <w:spacing w:after="0" w:line="258" w:lineRule="auto"/>
        <w:rPr>
          <w:sz w:val="20"/>
          <w:szCs w:val="20"/>
          <w:color w:val="auto"/>
        </w:rPr>
      </w:pPr>
      <w:r>
        <w:rPr>
          <w:rFonts w:ascii="Arial" w:cs="Arial" w:eastAsia="Arial" w:hAnsi="Arial"/>
          <w:sz w:val="15"/>
          <w:szCs w:val="15"/>
          <w:color w:val="auto"/>
        </w:rPr>
        <w:t>Operating expenses for the second quarter of 2021 increased $2.4 million, or 6%, as compared to the first quarter of 2021, primarily due to a $2.4 million, or 11% increase in Compensation and benefits. Originations average headcount increased 14% as compared to the first quarter of 2021, reflecting increases in staffing levels as part of our initiative to expand our origination platform and increase volumes. The net $0.1 million decrease in other operating expenses is primarily driven by a $1.3 million decrease in Professional services due to a reduction in the utilization of temporary resources and consulting services, offset by a $0.5 million increase in origination expenses and a $0.6 million increase in Other expenses to support the surge in our Originations business.</w:t>
      </w:r>
    </w:p>
    <w:p>
      <w:pPr>
        <w:spacing w:after="0" w:line="71" w:lineRule="exact"/>
        <w:rPr>
          <w:sz w:val="20"/>
          <w:szCs w:val="20"/>
          <w:color w:val="auto"/>
        </w:rPr>
      </w:pPr>
    </w:p>
    <w:p>
      <w:pPr>
        <w:ind w:firstLine="272"/>
        <w:spacing w:after="0" w:line="302" w:lineRule="auto"/>
        <w:rPr>
          <w:sz w:val="20"/>
          <w:szCs w:val="20"/>
          <w:color w:val="auto"/>
        </w:rPr>
      </w:pPr>
      <w:r>
        <w:rPr>
          <w:rFonts w:ascii="Arial" w:cs="Arial" w:eastAsia="Arial" w:hAnsi="Arial"/>
          <w:sz w:val="13"/>
          <w:szCs w:val="13"/>
          <w:color w:val="auto"/>
        </w:rPr>
        <w:t>Operating expenses for the six months ended June 30, 2021 increased $29.0 million, or 60%, as compared to the six months ended June 30, 2020, primarily due to a $20.0 million, or 79% increase in Compensation and benefits (including a $4.8 million increase in commissions). Originations average headcount increased 67% as compared to the six months ended June 30, 2020, reflecting an increase in staffing levels as part of our initiative to expand our origination platform and increase volumes. The offshore-to-total average headcount ratio for Originations increased from 21% for the six months ended June 30, 2020 to 34% for the six months ended June 30, 2021. Other operating expenses increased primarily due to a $2.2 million increase in Professional Services and a $3.3 million increase in origination expenses due to increased volumes, and a $1.6 million increase in Technology and communications due to additional software licensing costs related to lending, capital markets and hedging systems. Certain other operating expenses are variable, and as a result, as origination volume increased so did the related expenses. Examples include credit reports included in origination expenses or certain outsourced services recorded in Professional services.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w:t>
      </w:r>
    </w:p>
    <w:p>
      <w:pPr>
        <w:spacing w:after="0" w:line="100" w:lineRule="exact"/>
        <w:rPr>
          <w:sz w:val="20"/>
          <w:szCs w:val="20"/>
          <w:color w:val="auto"/>
        </w:rPr>
      </w:pPr>
    </w:p>
    <w:p>
      <w:pPr>
        <w:ind w:right="180" w:firstLine="272"/>
        <w:spacing w:after="0" w:line="313" w:lineRule="auto"/>
        <w:rPr>
          <w:sz w:val="20"/>
          <w:szCs w:val="20"/>
          <w:color w:val="auto"/>
        </w:rPr>
      </w:pPr>
      <w:r>
        <w:rPr>
          <w:rFonts w:ascii="Arial" w:cs="Arial" w:eastAsia="Arial" w:hAnsi="Arial"/>
          <w:sz w:val="13"/>
          <w:szCs w:val="13"/>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 in interest income and interest expense during the second quarter of 2021 as compared to the first quarter of 2021, and the six months ended June 30, 2021 as compared to the six months ended June 30, 2020, is primarily the result of the increase in the average held for sale loan and warehouse debt balances due to increased loan production volumes.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7" w:name="page88"/>
    <w:bookmarkEnd w:id="87"/>
    <w:p>
      <w:pPr>
        <w:spacing w:after="0"/>
        <w:rPr>
          <w:sz w:val="20"/>
          <w:szCs w:val="20"/>
          <w:color w:val="auto"/>
        </w:rPr>
      </w:pPr>
      <w:r>
        <w:rPr>
          <w:rFonts w:ascii="Arial" w:cs="Arial" w:eastAsia="Arial" w:hAnsi="Arial"/>
          <w:sz w:val="15"/>
          <w:szCs w:val="15"/>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54" w:lineRule="exact"/>
        <w:rPr>
          <w:sz w:val="20"/>
          <w:szCs w:val="20"/>
          <w:color w:val="auto"/>
        </w:rPr>
      </w:pPr>
    </w:p>
    <w:p>
      <w:pPr>
        <w:ind w:right="180" w:firstLine="272"/>
        <w:spacing w:after="0" w:line="261" w:lineRule="auto"/>
        <w:rPr>
          <w:sz w:val="20"/>
          <w:szCs w:val="20"/>
          <w:color w:val="auto"/>
        </w:rPr>
      </w:pPr>
      <w:r>
        <w:rPr>
          <w:rFonts w:ascii="Arial" w:cs="Arial" w:eastAsia="Arial" w:hAnsi="Arial"/>
          <w:sz w:val="15"/>
          <w:szCs w:val="15"/>
          <w:color w:val="auto"/>
        </w:rPr>
        <w:t>Corporate Items and Other includes revenues and expenses of corporate support services, our reinsurance business CRL, our share of earnings in our equity method investee MAV Canopy (effective the second quarter of 2021), and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w:t>
      </w:r>
    </w:p>
    <w:p>
      <w:pPr>
        <w:spacing w:after="0" w:line="67" w:lineRule="exact"/>
        <w:rPr>
          <w:sz w:val="20"/>
          <w:szCs w:val="20"/>
          <w:color w:val="auto"/>
        </w:rPr>
      </w:pPr>
    </w:p>
    <w:p>
      <w:pPr>
        <w:ind w:firstLine="272"/>
        <w:spacing w:after="0" w:line="261" w:lineRule="auto"/>
        <w:rPr>
          <w:sz w:val="20"/>
          <w:szCs w:val="20"/>
          <w:color w:val="auto"/>
        </w:rPr>
      </w:pPr>
      <w:r>
        <w:rPr>
          <w:rFonts w:ascii="Arial" w:cs="Arial" w:eastAsia="Arial" w:hAnsi="Arial"/>
          <w:sz w:val="15"/>
          <w:szCs w:val="15"/>
          <w:color w:val="auto"/>
        </w:rPr>
        <w:t>Interest expense on direct asset-backed financings are recorded in the respective Servicing and Originations segments. Interest expense on the SSTL and the Senior Notes is allocated to the Servicing segment (excluding Reverse Servicing) based on funding needs. Prior to the third quarter of 2020, we did not allocate the corporate debt and the associated interest expense to the Servicing segment. The interest expense related to the corporate debt for periods prior to the third quarter of 2020 has been allocated to the Servicing segment to conform to the current period presentation. Our cash balances are included in Corporate Items and Other.</w:t>
      </w:r>
    </w:p>
    <w:p>
      <w:pPr>
        <w:spacing w:after="0" w:line="67" w:lineRule="exact"/>
        <w:rPr>
          <w:sz w:val="20"/>
          <w:szCs w:val="20"/>
          <w:color w:val="auto"/>
        </w:rPr>
      </w:pPr>
    </w:p>
    <w:p>
      <w:pPr>
        <w:ind w:right="100" w:firstLine="272"/>
        <w:spacing w:after="0" w:line="314" w:lineRule="auto"/>
        <w:rPr>
          <w:sz w:val="20"/>
          <w:szCs w:val="20"/>
          <w:color w:val="auto"/>
        </w:rPr>
      </w:pPr>
      <w:r>
        <w:rPr>
          <w:rFonts w:ascii="Arial" w:cs="Arial" w:eastAsia="Arial" w:hAnsi="Arial"/>
          <w:sz w:val="14"/>
          <w:szCs w:val="14"/>
          <w:color w:val="auto"/>
        </w:rPr>
        <w:t>Corporate support services include finance, facilities, human resources, internal audit, legal, risk and compliance and technology functions. Corporate Items and Other also includes severance, retention, facility-related and other expenses incurred in 2020 related to our re-engineering initiatives and have not been allocated to other segments.</w:t>
      </w:r>
    </w:p>
    <w:p>
      <w:pPr>
        <w:spacing w:after="0" w:line="33" w:lineRule="exact"/>
        <w:rPr>
          <w:sz w:val="20"/>
          <w:szCs w:val="20"/>
          <w:color w:val="auto"/>
        </w:rPr>
      </w:pPr>
    </w:p>
    <w:p>
      <w:pPr>
        <w:ind w:right="140" w:firstLine="272"/>
        <w:spacing w:after="0" w:line="307" w:lineRule="auto"/>
        <w:rPr>
          <w:sz w:val="20"/>
          <w:szCs w:val="20"/>
          <w:color w:val="auto"/>
        </w:rPr>
      </w:pPr>
      <w:r>
        <w:rPr>
          <w:rFonts w:ascii="Arial" w:cs="Arial" w:eastAsia="Arial" w:hAnsi="Arial"/>
          <w:sz w:val="13"/>
          <w:szCs w:val="13"/>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50% quote share of premiums and all related losses incurred by the third-party insurer, effective June 2020, and 40% through May 2020.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w:t>
      </w:r>
    </w:p>
    <w:p>
      <w:pPr>
        <w:spacing w:after="0" w:line="42" w:lineRule="exact"/>
        <w:rPr>
          <w:sz w:val="20"/>
          <w:szCs w:val="20"/>
          <w:color w:val="auto"/>
        </w:rPr>
      </w:pPr>
    </w:p>
    <w:p>
      <w:pPr>
        <w:ind w:right="40" w:firstLine="272"/>
        <w:spacing w:after="0" w:line="258" w:lineRule="auto"/>
        <w:rPr>
          <w:sz w:val="20"/>
          <w:szCs w:val="20"/>
          <w:color w:val="auto"/>
        </w:rPr>
      </w:pPr>
      <w:r>
        <w:rPr>
          <w:rFonts w:ascii="Arial" w:cs="Arial" w:eastAsia="Arial" w:hAnsi="Arial"/>
          <w:sz w:val="15"/>
          <w:szCs w:val="15"/>
          <w:color w:val="auto"/>
        </w:rPr>
        <w:t>Certain expenses incurred by corporate support services that are not directly attributable to a segment are allocated to the Servicing and Originations segments. We allocate overhead costs incurred by corporate support services to the Servicing and Originations segments which now incorporates the utilization of various measurements primarily based on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costs related to our 2020 re-engineering initiatives, and other costs related to operating as a public company.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1112" w:right="319" w:bottom="1440" w:gutter="0" w:footer="0" w:header="0"/>
        </w:sectPr>
      </w:pPr>
    </w:p>
    <w:bookmarkStart w:id="88" w:name="page89"/>
    <w:bookmarkEnd w:id="88"/>
    <w:p>
      <w:pPr>
        <w:ind w:right="320" w:firstLine="272"/>
        <w:spacing w:after="0" w:line="278" w:lineRule="auto"/>
        <w:rPr>
          <w:sz w:val="20"/>
          <w:szCs w:val="20"/>
          <w:color w:val="auto"/>
        </w:rPr>
      </w:pPr>
      <w:r>
        <w:rPr>
          <w:rFonts w:ascii="Arial" w:cs="Arial" w:eastAsia="Arial" w:hAnsi="Arial"/>
          <w:sz w:val="15"/>
          <w:szCs w:val="15"/>
          <w:color w:val="auto"/>
        </w:rPr>
        <w:t>The following table presents selected results of operations of Corporate Items and Other. The amounts presented are before the elimination of balances and transactions with our other segments: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20" w:type="dxa"/>
            <w:vAlign w:val="bottom"/>
          </w:tcPr>
          <w:p>
            <w:pPr>
              <w:spacing w:after="0"/>
              <w:rPr>
                <w:sz w:val="16"/>
                <w:szCs w:val="16"/>
                <w:color w:val="auto"/>
              </w:rPr>
            </w:pPr>
          </w:p>
        </w:tc>
        <w:tc>
          <w:tcPr>
            <w:tcW w:w="116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260" w:type="dxa"/>
            <w:vAlign w:val="bottom"/>
          </w:tcPr>
          <w:p>
            <w:pPr>
              <w:spacing w:after="0"/>
              <w:rPr>
                <w:sz w:val="16"/>
                <w:szCs w:val="16"/>
                <w:color w:val="auto"/>
              </w:rPr>
            </w:pPr>
          </w:p>
        </w:tc>
        <w:tc>
          <w:tcPr>
            <w:tcW w:w="1120" w:type="dxa"/>
            <w:vAlign w:val="bottom"/>
          </w:tcPr>
          <w:p>
            <w:pPr>
              <w:jc w:val="right"/>
              <w:ind w:right="344"/>
              <w:spacing w:after="0"/>
              <w:rPr>
                <w:sz w:val="20"/>
                <w:szCs w:val="20"/>
                <w:color w:val="auto"/>
              </w:rPr>
            </w:pPr>
            <w:r>
              <w:rPr>
                <w:rFonts w:ascii="Arial" w:cs="Arial" w:eastAsia="Arial" w:hAnsi="Arial"/>
                <w:sz w:val="15"/>
                <w:szCs w:val="15"/>
                <w:b w:val="1"/>
                <w:bCs w:val="1"/>
                <w:color w:val="auto"/>
              </w:rPr>
              <w:t>June 30,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8"/>
                <w:szCs w:val="18"/>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74"/>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Premiums (CRL)</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17 %</w:t>
            </w:r>
          </w:p>
        </w:tc>
        <w:tc>
          <w:tcPr>
            <w:tcW w:w="1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revenue</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0.1</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4"/>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revenue</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1.3</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17"/>
        </w:trPr>
        <w:tc>
          <w:tcPr>
            <w:tcW w:w="3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2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Compensation and benefits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22.1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21.7</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Professional services</w:t>
            </w: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7.0</w:t>
            </w:r>
          </w:p>
        </w:tc>
        <w:tc>
          <w:tcPr>
            <w:tcW w:w="1100" w:type="dxa"/>
            <w:vAlign w:val="bottom"/>
            <w:gridSpan w:val="2"/>
          </w:tcPr>
          <w:p>
            <w:pPr>
              <w:jc w:val="right"/>
              <w:ind w:right="104"/>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32.6</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Technology and communications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Occupancy and equipment</w:t>
            </w: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0.9</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7.9</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Servicing and origination</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0.2</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expenses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1.3</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rPr>
              <w:t>Total operating expenses before corporate</w:t>
            </w: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43.5</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36.8</w:t>
            </w:r>
          </w:p>
        </w:tc>
        <w:tc>
          <w:tcPr>
            <w:tcW w:w="1100" w:type="dxa"/>
            <w:vAlign w:val="bottom"/>
            <w:gridSpan w:val="2"/>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106.1</w:t>
            </w:r>
          </w:p>
        </w:tc>
        <w:tc>
          <w:tcPr>
            <w:tcW w:w="110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92"/>
        </w:trPr>
        <w:tc>
          <w:tcPr>
            <w:tcW w:w="3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overhead allocations</w:t>
            </w:r>
          </w:p>
        </w:tc>
        <w:tc>
          <w:tcPr>
            <w:tcW w:w="2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Corporate overhead allocations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Servicing segment</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(12.2)</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Originations segment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(5.0)</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w:t>
            </w:r>
          </w:p>
        </w:tc>
        <w:tc>
          <w:tcPr>
            <w:tcW w:w="1100" w:type="dxa"/>
            <w:vAlign w:val="bottom"/>
            <w:tcBorders>
              <w:bottom w:val="single" w:sz="8" w:color="CCEEFF"/>
            </w:tcBorders>
            <w:gridSpan w:val="2"/>
          </w:tcPr>
          <w:p>
            <w:pPr>
              <w:jc w:val="right"/>
              <w:ind w:right="104"/>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operating expenses</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19.5</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 (expense), net</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0.1</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(4.6)</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92"/>
        </w:trPr>
        <w:tc>
          <w:tcPr>
            <w:tcW w:w="3220" w:type="dxa"/>
            <w:vAlign w:val="bottom"/>
          </w:tcPr>
          <w:p>
            <w:pPr>
              <w:ind w:left="100"/>
              <w:spacing w:after="0"/>
              <w:rPr>
                <w:sz w:val="20"/>
                <w:szCs w:val="20"/>
                <w:color w:val="auto"/>
              </w:rPr>
            </w:pPr>
            <w:r>
              <w:rPr>
                <w:rFonts w:ascii="Arial" w:cs="Arial" w:eastAsia="Arial" w:hAnsi="Arial"/>
                <w:sz w:val="15"/>
                <w:szCs w:val="15"/>
                <w:color w:val="auto"/>
              </w:rPr>
              <w:t>Loss on extinguishment of debt</w:t>
            </w:r>
          </w:p>
        </w:tc>
        <w:tc>
          <w:tcPr>
            <w:tcW w:w="26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(15.5)</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Earnings of equity method investee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n/m</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net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0.7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(0.2)</w:t>
            </w:r>
          </w:p>
        </w:tc>
        <w:tc>
          <w:tcPr>
            <w:tcW w:w="110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(477)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100" w:type="dxa"/>
            <w:vAlign w:val="bottom"/>
            <w:tcBorders>
              <w:bottom w:val="single" w:sz="8" w:color="CCEEFF"/>
            </w:tcBorders>
            <w:gridSpan w:val="2"/>
          </w:tcPr>
          <w:p>
            <w:pPr>
              <w:jc w:val="right"/>
              <w:ind w:right="64"/>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other expense, net</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(20.1)</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1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Loss before income taxes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(29.4)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(67.7)</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n/m: not meaningful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88" w:lineRule="exact"/>
        <w:rPr>
          <w:sz w:val="20"/>
          <w:szCs w:val="20"/>
          <w:color w:val="auto"/>
        </w:rPr>
      </w:pPr>
    </w:p>
    <w:p>
      <w:pPr>
        <w:ind w:right="100" w:firstLine="272"/>
        <w:spacing w:after="0" w:line="246" w:lineRule="auto"/>
        <w:rPr>
          <w:sz w:val="20"/>
          <w:szCs w:val="20"/>
          <w:color w:val="auto"/>
        </w:rPr>
      </w:pPr>
      <w:r>
        <w:rPr>
          <w:rFonts w:ascii="Arial" w:cs="Arial" w:eastAsia="Arial" w:hAnsi="Arial"/>
          <w:sz w:val="15"/>
          <w:szCs w:val="15"/>
          <w:color w:val="auto"/>
        </w:rPr>
        <w:t>Compensation and benefits expense for the second quarter of 2021 increased $0.5 million, or 2%, as compared to the first quarter of 2021. The average corporate headcount and the mix between onshore and offshore was mostly unchanged.</w:t>
      </w:r>
    </w:p>
    <w:p>
      <w:pPr>
        <w:spacing w:after="0" w:line="168" w:lineRule="exact"/>
        <w:rPr>
          <w:sz w:val="20"/>
          <w:szCs w:val="20"/>
          <w:color w:val="auto"/>
        </w:rPr>
      </w:pPr>
    </w:p>
    <w:p>
      <w:pPr>
        <w:ind w:right="60" w:firstLine="272"/>
        <w:spacing w:after="0" w:line="232" w:lineRule="auto"/>
        <w:rPr>
          <w:sz w:val="20"/>
          <w:szCs w:val="20"/>
          <w:color w:val="auto"/>
        </w:rPr>
      </w:pPr>
      <w:r>
        <w:rPr>
          <w:rFonts w:ascii="Arial" w:cs="Arial" w:eastAsia="Arial" w:hAnsi="Arial"/>
          <w:sz w:val="15"/>
          <w:szCs w:val="15"/>
          <w:color w:val="auto"/>
        </w:rPr>
        <w:t>As compared to the six months ended June 30, 2020, compensation and benefits expense for the six months ended June 30, 2021 decreased $0.2 million. Incentive compensation increased $3.6 million due to additional annual long-term incentive awards granted in March 2021 and an increase in the fair value of cash-settled share-based awards. Largely offsetting this increase, salaries and benefit expenses decreased by $2.8 million due to the effects of a 10% decline in average corporate headcount, including a 22% decrease in average onshore headcount from 336 to 261, and a $0.8 million decline in severance expense.</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Professional Services</w:t>
      </w:r>
    </w:p>
    <w:p>
      <w:pPr>
        <w:spacing w:after="0" w:line="100" w:lineRule="exact"/>
        <w:rPr>
          <w:sz w:val="20"/>
          <w:szCs w:val="20"/>
          <w:color w:val="auto"/>
        </w:rPr>
      </w:pPr>
    </w:p>
    <w:p>
      <w:pPr>
        <w:ind w:right="20" w:firstLine="272"/>
        <w:spacing w:after="0" w:line="292" w:lineRule="auto"/>
        <w:rPr>
          <w:sz w:val="20"/>
          <w:szCs w:val="20"/>
          <w:color w:val="auto"/>
        </w:rPr>
      </w:pPr>
      <w:r>
        <w:rPr>
          <w:rFonts w:ascii="Arial" w:cs="Arial" w:eastAsia="Arial" w:hAnsi="Arial"/>
          <w:sz w:val="14"/>
          <w:szCs w:val="14"/>
          <w:color w:val="auto"/>
        </w:rPr>
        <w:t>Professional services expense for the second quarter of 2021 increased $6.3 million, or 90%, as compared to the first quarter of 2021, primarily due to a $2.9 million increase in legal expenses and a $3.2 million increase in other professional fees. The net increase in legal expenses is largely due to a $3.1 million additional provision for litigation settlements. Other professional fees increased primarily due to $3.2 million of advisory fees related to our MSR investment joint venture with Oaktree, MAV Canopy, which closed on May 3,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89" w:name="page90"/>
    <w:bookmarkEnd w:id="89"/>
    <w:p>
      <w:pPr>
        <w:ind w:firstLine="272"/>
        <w:spacing w:after="0" w:line="258" w:lineRule="auto"/>
        <w:rPr>
          <w:sz w:val="20"/>
          <w:szCs w:val="20"/>
          <w:color w:val="auto"/>
        </w:rPr>
      </w:pPr>
      <w:r>
        <w:rPr>
          <w:rFonts w:ascii="Arial" w:cs="Arial" w:eastAsia="Arial" w:hAnsi="Arial"/>
          <w:sz w:val="15"/>
          <w:szCs w:val="15"/>
          <w:color w:val="auto"/>
        </w:rPr>
        <w:t>As compared to the six months ended June 30, 2020, professional services expense for the six months ended June 30, 2021 declined $12.2 million, or 37%, primarily due to a $6.6 million decrease in legal expenses and a $5.4 million decline in other professional services. The net decline in legal expenses is largely due to expenses recorded in the first six months of 2020 related to the CFPB, Florida and other matters, partially offset by a $3.1 million additional provision for litigation settlements in the second quarter of 2021. In addition, cost reduction initiatives in 2020 resulted in lower other professional fees for the six months ended June 30, 2021, partially offset by the $3.2 million of advisory fees related to our MSR investment joint venture with Oaktree, MAV Canopy.</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Operating Expenses</w:t>
      </w:r>
    </w:p>
    <w:p>
      <w:pPr>
        <w:spacing w:after="0" w:line="100" w:lineRule="exact"/>
        <w:rPr>
          <w:sz w:val="20"/>
          <w:szCs w:val="20"/>
          <w:color w:val="auto"/>
        </w:rPr>
      </w:pPr>
    </w:p>
    <w:p>
      <w:pPr>
        <w:ind w:right="100" w:firstLine="272"/>
        <w:spacing w:after="0" w:line="285" w:lineRule="auto"/>
        <w:rPr>
          <w:sz w:val="20"/>
          <w:szCs w:val="20"/>
          <w:color w:val="auto"/>
        </w:rPr>
      </w:pPr>
      <w:r>
        <w:rPr>
          <w:rFonts w:ascii="Arial" w:cs="Arial" w:eastAsia="Arial" w:hAnsi="Arial"/>
          <w:sz w:val="14"/>
          <w:szCs w:val="14"/>
          <w:color w:val="auto"/>
        </w:rPr>
        <w:t>Technology and communications, Occupancy and equipment, and Other expenses remained mostly constant in the second quarter of 2021 as compared to the first quarter of 2021. Technology and communications expense for the six months ended June 30, 2021 declined $3.8 million as compared to the six months ended June 30, 2020, primarily due to a $2.1 million decrease in telephone expense, and a $2.5 million decrease in hardware and software depreciation and related expenses. Cost re-engineering initiatives in 2020 resulted in lower Technology and communications expenses in 2021 with the transition to a more cost-effective alternative telephone system.</w:t>
      </w:r>
    </w:p>
    <w:p>
      <w:pPr>
        <w:spacing w:after="0" w:line="52" w:lineRule="exact"/>
        <w:rPr>
          <w:sz w:val="20"/>
          <w:szCs w:val="20"/>
          <w:color w:val="auto"/>
        </w:rPr>
      </w:pPr>
    </w:p>
    <w:p>
      <w:pPr>
        <w:ind w:right="560" w:firstLine="272"/>
        <w:spacing w:after="0" w:line="314" w:lineRule="auto"/>
        <w:rPr>
          <w:sz w:val="20"/>
          <w:szCs w:val="20"/>
          <w:color w:val="auto"/>
        </w:rPr>
      </w:pPr>
      <w:r>
        <w:rPr>
          <w:rFonts w:ascii="Arial" w:cs="Arial" w:eastAsia="Arial" w:hAnsi="Arial"/>
          <w:sz w:val="14"/>
          <w:szCs w:val="14"/>
          <w:color w:val="auto"/>
        </w:rPr>
        <w:t>Occupancy and equipment expense for the six months ended June 30, 2021 decreased $6.3 million as compared to the six months ended June 30, 2020, primarily due to the recognition of facility-related costs in the second quarter of 2020, mainly accelerated depreciation and exit costs of leased properties we partially abandoned.</w:t>
      </w:r>
    </w:p>
    <w:p>
      <w:pPr>
        <w:spacing w:after="0" w:line="21" w:lineRule="exact"/>
        <w:rPr>
          <w:sz w:val="20"/>
          <w:szCs w:val="20"/>
          <w:color w:val="auto"/>
        </w:rPr>
      </w:pPr>
    </w:p>
    <w:p>
      <w:pPr>
        <w:ind w:right="480" w:firstLine="272"/>
        <w:spacing w:after="0" w:line="246" w:lineRule="auto"/>
        <w:rPr>
          <w:sz w:val="20"/>
          <w:szCs w:val="20"/>
          <w:color w:val="auto"/>
        </w:rPr>
      </w:pPr>
      <w:r>
        <w:rPr>
          <w:rFonts w:ascii="Arial" w:cs="Arial" w:eastAsia="Arial" w:hAnsi="Arial"/>
          <w:sz w:val="15"/>
          <w:szCs w:val="15"/>
          <w:color w:val="auto"/>
        </w:rPr>
        <w:t>Other expenses for the six months ended June 30, 2021 decreased $3.1 million as compared to the six months ended June 30, 2020, primarily due to a $2.1 million decline in franchise taxes (non-income related).</w:t>
      </w:r>
    </w:p>
    <w:p>
      <w:pPr>
        <w:spacing w:after="0" w:line="66" w:lineRule="exact"/>
        <w:rPr>
          <w:sz w:val="20"/>
          <w:szCs w:val="20"/>
          <w:color w:val="auto"/>
        </w:rPr>
      </w:pPr>
    </w:p>
    <w:p>
      <w:pPr>
        <w:ind w:firstLine="272"/>
        <w:spacing w:after="0" w:line="265" w:lineRule="auto"/>
        <w:rPr>
          <w:sz w:val="20"/>
          <w:szCs w:val="20"/>
          <w:color w:val="auto"/>
        </w:rPr>
      </w:pPr>
      <w:r>
        <w:rPr>
          <w:rFonts w:ascii="Arial" w:cs="Arial" w:eastAsia="Arial" w:hAnsi="Arial"/>
          <w:sz w:val="15"/>
          <w:szCs w:val="15"/>
          <w:color w:val="auto"/>
        </w:rPr>
        <w:t>Corporate overhead allocations remained mostly constant in the second quarter of 2021 as compared to the first quarter of 2021, and decreased $8.7 million for the six months ended June 30, 2021 as compared to the six months ended June 30, 2020, mostly due to the reduction of the relative size of the Servicing segment and the cost savings achieved through our cost re-engineering initiatives in 2020.</w:t>
      </w:r>
    </w:p>
    <w:p>
      <w:pPr>
        <w:spacing w:after="0" w:line="64" w:lineRule="exact"/>
        <w:rPr>
          <w:sz w:val="20"/>
          <w:szCs w:val="20"/>
          <w:color w:val="auto"/>
        </w:rPr>
      </w:pPr>
    </w:p>
    <w:p>
      <w:pPr>
        <w:ind w:right="60" w:firstLine="272"/>
        <w:spacing w:after="0" w:line="265" w:lineRule="auto"/>
        <w:rPr>
          <w:sz w:val="20"/>
          <w:szCs w:val="20"/>
          <w:color w:val="auto"/>
        </w:rPr>
      </w:pPr>
      <w:r>
        <w:rPr>
          <w:rFonts w:ascii="Arial" w:cs="Arial" w:eastAsia="Arial" w:hAnsi="Arial"/>
          <w:sz w:val="15"/>
          <w:szCs w:val="15"/>
          <w:color w:val="auto"/>
        </w:rPr>
        <w:t>Total expenses after corporate overhead allocations increased $6.9 million, or 36%, in the second quarter of 2021 as compared to the first quarter of 2021, and decreased by $17.1 million, or 27%, for the six months ended June 30, 2021 as compared to the six months ended June 30, 2020, primarily due to Professional services expenses, as discussed above, which were not allocated.</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(Expenses)</w:t>
      </w:r>
    </w:p>
    <w:p>
      <w:pPr>
        <w:spacing w:after="0" w:line="100" w:lineRule="exact"/>
        <w:rPr>
          <w:sz w:val="20"/>
          <w:szCs w:val="20"/>
          <w:color w:val="auto"/>
        </w:rPr>
      </w:pPr>
    </w:p>
    <w:p>
      <w:pPr>
        <w:ind w:right="80" w:firstLine="272"/>
        <w:spacing w:after="0" w:line="278" w:lineRule="auto"/>
        <w:rPr>
          <w:sz w:val="20"/>
          <w:szCs w:val="20"/>
          <w:color w:val="auto"/>
        </w:rPr>
      </w:pPr>
      <w:r>
        <w:rPr>
          <w:rFonts w:ascii="Arial" w:cs="Arial" w:eastAsia="Arial" w:hAnsi="Arial"/>
          <w:sz w:val="15"/>
          <w:szCs w:val="15"/>
          <w:color w:val="auto"/>
        </w:rPr>
        <w:t>Interest income for the six months ended June 30, 2021 decreased $1.3 million or 86%, as compared to the six months ended June 30, 2020, mostly due to a decline in interest rates and average interest-earning cash balances in 2021.</w:t>
      </w:r>
    </w:p>
    <w:p>
      <w:pPr>
        <w:spacing w:after="0" w:line="54" w:lineRule="exact"/>
        <w:rPr>
          <w:sz w:val="20"/>
          <w:szCs w:val="20"/>
          <w:color w:val="auto"/>
        </w:rPr>
      </w:pPr>
    </w:p>
    <w:p>
      <w:pPr>
        <w:ind w:right="180" w:firstLine="272"/>
        <w:spacing w:after="0" w:line="261" w:lineRule="auto"/>
        <w:rPr>
          <w:sz w:val="20"/>
          <w:szCs w:val="20"/>
          <w:color w:val="auto"/>
        </w:rPr>
      </w:pPr>
      <w:r>
        <w:rPr>
          <w:rFonts w:ascii="Arial" w:cs="Arial" w:eastAsia="Arial" w:hAnsi="Arial"/>
          <w:sz w:val="15"/>
          <w:szCs w:val="15"/>
          <w:color w:val="auto"/>
        </w:rPr>
        <w:t>Interest expense of the Corporate segment relates to the remaining corporate debt unallocated to other segments. Interest expense for the second quarter of 2021 increased $0.9 million, or 20%, as compared to the first quarter of 2021, and increased $5.1 million, or 103%, for the six months ended June 30, 2021 as compared to the six months ended June 30, 2020. The increase is primarily driven by a higher cost of corporate debt that is mostly due to the senior secured notes issued at a discount on March 4, 2021 and May 3, 2021 together with warrants, resulting in an incremental discount that amortizes over the six-year life of the notes.</w:t>
      </w:r>
    </w:p>
    <w:p>
      <w:pPr>
        <w:spacing w:after="0" w:line="67" w:lineRule="exact"/>
        <w:rPr>
          <w:sz w:val="20"/>
          <w:szCs w:val="20"/>
          <w:color w:val="auto"/>
        </w:rPr>
      </w:pPr>
    </w:p>
    <w:p>
      <w:pPr>
        <w:ind w:right="260" w:firstLine="272"/>
        <w:spacing w:after="0" w:line="265" w:lineRule="auto"/>
        <w:rPr>
          <w:sz w:val="20"/>
          <w:szCs w:val="20"/>
          <w:color w:val="auto"/>
        </w:rPr>
      </w:pPr>
      <w:r>
        <w:rPr>
          <w:rFonts w:ascii="Arial" w:cs="Arial" w:eastAsia="Arial" w:hAnsi="Arial"/>
          <w:sz w:val="15"/>
          <w:szCs w:val="15"/>
          <w:color w:val="auto"/>
        </w:rPr>
        <w:t>On March 4, 2021, we recognized a loss on debt extinguishment of $15.5 million resulting from our early repayment of the SSTL due May 2022, 6.375% PHH senior unsecured notes due August 2021, and 8.375% PMC senior secured notes due November 2022. The loss on debt extinguishment includes the write-off of unamortized debt issuance costs and discount, as well as contractual prepayment premiums.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Earnings of equity method investee represents our 15% share of MAV Canopy earnings from May 3, 2021. See Note 10 - Investment in Equity Method Investee for further detail.</w:t>
      </w:r>
    </w:p>
    <w:p>
      <w:pPr>
        <w:spacing w:after="0" w:line="111" w:lineRule="exact"/>
        <w:rPr>
          <w:sz w:val="20"/>
          <w:szCs w:val="20"/>
          <w:color w:val="auto"/>
        </w:rPr>
      </w:pPr>
    </w:p>
    <w:p>
      <w:pPr>
        <w:ind w:firstLine="272"/>
        <w:spacing w:after="0" w:line="292" w:lineRule="auto"/>
        <w:rPr>
          <w:sz w:val="20"/>
          <w:szCs w:val="20"/>
          <w:color w:val="auto"/>
        </w:rPr>
      </w:pPr>
      <w:r>
        <w:rPr>
          <w:rFonts w:ascii="Arial" w:cs="Arial" w:eastAsia="Arial" w:hAnsi="Arial"/>
          <w:sz w:val="14"/>
          <w:szCs w:val="14"/>
          <w:color w:val="auto"/>
        </w:rPr>
        <w:t>Other expense, net decreased $5.3 million in the six months ended June 30, 2021, as compared to the six months ended June 30, 2020, primarily driven by a $1.7 million loss on sale of a vacant office facility in the first quarter of 2020, a $1.5 million decrease in CRL loss adjustment expense due to a decline in the number of covered REO properties due to the COVID-19 foreclosure moratorium and a $0.9 million decrease in foreign currency remeasurement losses related to our operations in India.</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90" w:name="page91"/>
    <w:bookmarkEnd w:id="90"/>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07517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75170"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04" w:lineRule="exact"/>
        <w:rPr>
          <w:sz w:val="20"/>
          <w:szCs w:val="20"/>
          <w:color w:val="auto"/>
        </w:rPr>
      </w:pPr>
    </w:p>
    <w:p>
      <w:pPr>
        <w:ind w:right="440" w:firstLine="272"/>
        <w:spacing w:after="0" w:line="278" w:lineRule="auto"/>
        <w:rPr>
          <w:sz w:val="20"/>
          <w:szCs w:val="20"/>
          <w:color w:val="auto"/>
        </w:rPr>
      </w:pPr>
      <w:r>
        <w:rPr>
          <w:rFonts w:ascii="Arial" w:cs="Arial" w:eastAsia="Arial" w:hAnsi="Arial"/>
          <w:sz w:val="15"/>
          <w:szCs w:val="15"/>
          <w:color w:val="auto"/>
        </w:rPr>
        <w:t>On March 4, 2021, we successfully completed a comprehensive refinancing of our corporate debt and a capital contribution to our licensed entity PMC, through the following transactions:</w:t>
      </w:r>
    </w:p>
    <w:p>
      <w:pPr>
        <w:spacing w:after="0" w:line="54" w:lineRule="exact"/>
        <w:rPr>
          <w:sz w:val="20"/>
          <w:szCs w:val="20"/>
          <w:color w:val="auto"/>
        </w:rPr>
      </w:pPr>
    </w:p>
    <w:p>
      <w:pPr>
        <w:ind w:left="540" w:hanging="277"/>
        <w:spacing w:after="0" w:line="277" w:lineRule="auto"/>
        <w:tabs>
          <w:tab w:leader="none" w:pos="536"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redeemed all of PHH’s outstanding 6.375% Senior Notes due August 2021 at a price of 100% of the $21.5 million principal amount, plus accrued and unpaid interest, and all of PMC’s 8.375% Senior Secured Notes due November 2022 at a price of 102.094% of the $291.5 million principal amount, plus accrued and unpaid interest.</w:t>
      </w:r>
    </w:p>
    <w:p>
      <w:pPr>
        <w:ind w:left="540" w:right="300" w:hanging="277"/>
        <w:spacing w:after="0" w:line="252" w:lineRule="auto"/>
        <w:tabs>
          <w:tab w:leader="none" w:pos="531" w:val="left"/>
        </w:tabs>
        <w:numPr>
          <w:ilvl w:val="0"/>
          <w:numId w:val="52"/>
        </w:numPr>
        <w:rPr>
          <w:rFonts w:ascii="Arial" w:cs="Arial" w:eastAsia="Arial" w:hAnsi="Arial"/>
          <w:sz w:val="14"/>
          <w:szCs w:val="14"/>
          <w:color w:val="auto"/>
        </w:rPr>
      </w:pPr>
      <w:r>
        <w:rPr>
          <w:rFonts w:ascii="Arial" w:cs="Arial" w:eastAsia="Arial" w:hAnsi="Arial"/>
          <w:sz w:val="15"/>
          <w:szCs w:val="15"/>
          <w:color w:val="auto"/>
        </w:rPr>
        <w:t>We repaid in full the $185.0 million outstanding principal balance of the SSTL due May 2022, with a 2% prepayment premium of the outstanding principal balance, or $3.7 million.</w:t>
      </w:r>
    </w:p>
    <w:p>
      <w:pPr>
        <w:ind w:left="540" w:hanging="277"/>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PMC completed the issuance and sale of $400.0 million aggregate principal amount of 7.875% senior secured notes due March 15, 2026 (the PMC Senior Secured Notes).</w:t>
      </w:r>
    </w:p>
    <w:p>
      <w:pPr>
        <w:spacing w:after="0" w:line="20" w:lineRule="exact"/>
        <w:rPr>
          <w:rFonts w:ascii="Arial" w:cs="Arial" w:eastAsia="Arial" w:hAnsi="Arial"/>
          <w:sz w:val="14"/>
          <w:szCs w:val="14"/>
          <w:color w:val="auto"/>
        </w:rPr>
      </w:pPr>
    </w:p>
    <w:p>
      <w:pPr>
        <w:ind w:left="540" w:right="160" w:hanging="277"/>
        <w:spacing w:after="0" w:line="291" w:lineRule="auto"/>
        <w:tabs>
          <w:tab w:leader="none" w:pos="536" w:val="left"/>
        </w:tabs>
        <w:numPr>
          <w:ilvl w:val="0"/>
          <w:numId w:val="52"/>
        </w:numPr>
        <w:rPr>
          <w:rFonts w:ascii="Arial" w:cs="Arial" w:eastAsia="Arial" w:hAnsi="Arial"/>
          <w:sz w:val="13"/>
          <w:szCs w:val="13"/>
          <w:color w:val="auto"/>
        </w:rPr>
      </w:pPr>
      <w:r>
        <w:rPr>
          <w:rFonts w:ascii="Arial" w:cs="Arial" w:eastAsia="Arial" w:hAnsi="Arial"/>
          <w:sz w:val="13"/>
          <w:szCs w:val="13"/>
          <w:color w:val="auto"/>
        </w:rPr>
        <w:t>Ocwen Financial Corporation, completed the private placement of $199.5 million aggregate principal amount of senior secured notes due March 4, 2027 (the OFC Senior Secured Notes) together with the issuance of warrants to certain entities owned by funds and accounts managed by Oaktree Capital Management, L.P. (the Oaktree Investors).</w:t>
      </w:r>
    </w:p>
    <w:p>
      <w:pPr>
        <w:ind w:left="540" w:right="180" w:hanging="277"/>
        <w:spacing w:after="0" w:line="297" w:lineRule="auto"/>
        <w:tabs>
          <w:tab w:leader="none" w:pos="531" w:val="left"/>
        </w:tabs>
        <w:numPr>
          <w:ilvl w:val="0"/>
          <w:numId w:val="52"/>
        </w:numPr>
        <w:rPr>
          <w:rFonts w:ascii="Arial" w:cs="Arial" w:eastAsia="Arial" w:hAnsi="Arial"/>
          <w:sz w:val="13"/>
          <w:szCs w:val="13"/>
          <w:color w:val="auto"/>
        </w:rPr>
      </w:pPr>
      <w:r>
        <w:rPr>
          <w:rFonts w:ascii="Arial" w:cs="Arial" w:eastAsia="Arial" w:hAnsi="Arial"/>
          <w:sz w:val="14"/>
          <w:szCs w:val="14"/>
          <w:color w:val="auto"/>
        </w:rPr>
        <w:t>Ocwen Financial Corporation contributed the $175.0 million net proceeds from the issuance of the OFC Senior Secured Notes to its wholly owned subsidiary, PHH, and PHH contributed $153.4 million to its wholly owned subsidiary PMC, as permanent equity, after redeeming PHH’s 6.375% Senior Notes disclosed above.</w:t>
      </w:r>
    </w:p>
    <w:p>
      <w:pPr>
        <w:spacing w:after="0" w:line="1" w:lineRule="exact"/>
        <w:rPr>
          <w:sz w:val="20"/>
          <w:szCs w:val="20"/>
          <w:color w:val="auto"/>
        </w:rPr>
      </w:pPr>
    </w:p>
    <w:p>
      <w:pPr>
        <w:ind w:right="100" w:firstLine="272"/>
        <w:spacing w:after="0" w:line="265" w:lineRule="auto"/>
        <w:rPr>
          <w:sz w:val="20"/>
          <w:szCs w:val="20"/>
          <w:color w:val="auto"/>
        </w:rPr>
      </w:pPr>
      <w:r>
        <w:rPr>
          <w:rFonts w:ascii="Arial" w:cs="Arial" w:eastAsia="Arial" w:hAnsi="Arial"/>
          <w:sz w:val="15"/>
          <w:szCs w:val="15"/>
          <w:color w:val="auto"/>
        </w:rPr>
        <w:t>With the completion of the corporate debt refinancing, we have reduced corporate indebtedness at the PHH and PMC level by approximately $100 million and extended overall corporate debt maturities by over three years resulting in a better alignment of the debt profile with our investments. We now have greater financial flexibility than with the prior capital structure, and we believe, an opportunity to negotiate better terms for our future financing needs.</w:t>
      </w:r>
    </w:p>
    <w:p>
      <w:pPr>
        <w:spacing w:after="0" w:line="64" w:lineRule="exact"/>
        <w:rPr>
          <w:sz w:val="20"/>
          <w:szCs w:val="20"/>
          <w:color w:val="auto"/>
        </w:rPr>
      </w:pPr>
    </w:p>
    <w:p>
      <w:pPr>
        <w:ind w:right="100" w:firstLine="272"/>
        <w:spacing w:after="0" w:line="278" w:lineRule="auto"/>
        <w:rPr>
          <w:sz w:val="20"/>
          <w:szCs w:val="20"/>
          <w:color w:val="auto"/>
        </w:rPr>
      </w:pPr>
      <w:r>
        <w:rPr>
          <w:rFonts w:ascii="Arial" w:cs="Arial" w:eastAsia="Arial" w:hAnsi="Arial"/>
          <w:sz w:val="15"/>
          <w:szCs w:val="15"/>
          <w:color w:val="auto"/>
        </w:rPr>
        <w:t>On May 3, 2021, concurrent with the closing of the MAV transaction, we issued to Oaktree the second tranche of the OFC Senior Secured Notes due March 4, 2027 in an aggregate principal amount of $85.5 million, together with the issuance of common shares and additional warrants.</w:t>
      </w:r>
    </w:p>
    <w:p>
      <w:pPr>
        <w:spacing w:after="0" w:line="54" w:lineRule="exact"/>
        <w:rPr>
          <w:sz w:val="20"/>
          <w:szCs w:val="20"/>
          <w:color w:val="auto"/>
        </w:rPr>
      </w:pPr>
    </w:p>
    <w:p>
      <w:pPr>
        <w:ind w:right="40" w:firstLine="272"/>
        <w:spacing w:after="0" w:line="278" w:lineRule="auto"/>
        <w:rPr>
          <w:sz w:val="20"/>
          <w:szCs w:val="20"/>
          <w:color w:val="auto"/>
        </w:rPr>
      </w:pPr>
      <w:r>
        <w:rPr>
          <w:rFonts w:ascii="Arial" w:cs="Arial" w:eastAsia="Arial" w:hAnsi="Arial"/>
          <w:sz w:val="15"/>
          <w:szCs w:val="15"/>
          <w:color w:val="auto"/>
        </w:rPr>
        <w:t>In addition, in the normal course of business, we are actively engaged with our lenders and as a result, have successfully completed at market terms the following with respect to our current and anticipated financing needs:</w:t>
      </w:r>
    </w:p>
    <w:p>
      <w:pPr>
        <w:spacing w:after="0" w:line="54" w:lineRule="exact"/>
        <w:rPr>
          <w:sz w:val="20"/>
          <w:szCs w:val="20"/>
          <w:color w:val="auto"/>
        </w:rPr>
      </w:pPr>
    </w:p>
    <w:p>
      <w:pPr>
        <w:ind w:left="540" w:right="100" w:hanging="277"/>
        <w:spacing w:after="0" w:line="273" w:lineRule="auto"/>
        <w:tabs>
          <w:tab w:leader="none" w:pos="531" w:val="left"/>
        </w:tabs>
        <w:numPr>
          <w:ilvl w:val="0"/>
          <w:numId w:val="53"/>
        </w:numPr>
        <w:rPr>
          <w:rFonts w:ascii="Arial" w:cs="Arial" w:eastAsia="Arial" w:hAnsi="Arial"/>
          <w:sz w:val="13"/>
          <w:szCs w:val="13"/>
          <w:color w:val="auto"/>
        </w:rPr>
      </w:pPr>
      <w:r>
        <w:rPr>
          <w:rFonts w:ascii="Arial" w:cs="Arial" w:eastAsia="Arial" w:hAnsi="Arial"/>
          <w:sz w:val="14"/>
          <w:szCs w:val="14"/>
          <w:color w:val="auto"/>
        </w:rPr>
        <w:t>On March 29, 2021, we entered into a gestation repurchase agreement which provides borrowing at our discretion up to a certain maximum amount of capacity on a rolling 30-day committed basis. Under this facility, dry Agency mortgage loans are sold to a trust which issues a trust certificate that is pledged as the collateral for any borrowings. On March 31, 2021, the trust issued the first certificate of $50.0 million which was increased to $75.0 million on May 28, 2021 and further increased to $225.0 million on July 29, 2021. The second trust certificate of $50.0 million was issued on April 12, 2021 and increased to $100.0 million on July 13, 2021. Additional trust certificates of $25.0 million and $100.0 million were issued for borrowing on June 25, 2021 and July 23, 2021, respectively, under this agreement.</w:t>
      </w:r>
    </w:p>
    <w:p>
      <w:pPr>
        <w:spacing w:after="0" w:line="1" w:lineRule="exact"/>
        <w:rPr>
          <w:rFonts w:ascii="Arial" w:cs="Arial" w:eastAsia="Arial" w:hAnsi="Arial"/>
          <w:sz w:val="13"/>
          <w:szCs w:val="13"/>
          <w:color w:val="auto"/>
        </w:rPr>
      </w:pPr>
    </w:p>
    <w:p>
      <w:pPr>
        <w:ind w:left="540" w:hanging="277"/>
        <w:spacing w:after="0" w:line="252" w:lineRule="auto"/>
        <w:tabs>
          <w:tab w:leader="none" w:pos="536"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March 30, 2021, the borrowing capacity on a reverse mortgage loan facility was temporarily increased from $100.0 million to $150.0 million effective April 1, 2021 until the increase was made permanent on April 29, 2021.</w:t>
      </w:r>
    </w:p>
    <w:p>
      <w:pPr>
        <w:ind w:left="540" w:hanging="277"/>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March 31, 2021, we extended the maturity date on a $275.0 million repurchase facility to June 30, 2022.</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April 29, 2021, we entered into a revolving facility which provides up to $30.0 million of committed borrowing capacity secured by eligible HECM loans.</w:t>
      </w:r>
    </w:p>
    <w:p>
      <w:pPr>
        <w:spacing w:after="0" w:line="9" w:lineRule="exact"/>
        <w:rPr>
          <w:rFonts w:ascii="Arial" w:cs="Arial" w:eastAsia="Arial" w:hAnsi="Arial"/>
          <w:sz w:val="15"/>
          <w:szCs w:val="15"/>
          <w:color w:val="auto"/>
        </w:rPr>
      </w:pPr>
    </w:p>
    <w:p>
      <w:pPr>
        <w:ind w:left="540" w:right="280" w:hanging="277"/>
        <w:spacing w:after="0" w:line="252" w:lineRule="auto"/>
        <w:tabs>
          <w:tab w:leader="none" w:pos="536"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May 17, 2021, we increased the total borrowing capacity of a $100.0 million uncommitted facility to $150.0 million through the addition of a $50.0 million participation interest. We use this facility to finance the purchase of EBO loans from Ginnie Mae.</w:t>
      </w:r>
    </w:p>
    <w:p>
      <w:pPr>
        <w:ind w:left="540" w:right="60" w:hanging="277"/>
        <w:spacing w:after="0" w:line="252" w:lineRule="auto"/>
        <w:tabs>
          <w:tab w:leader="none" w:pos="536"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June 23, 2021, we renewed a $210.0 million mortgage loan warehouse agreement for one year to June 23, 2022 and increased the total borrowing capacity to $250.0 million ($150.0 million uncommitted and $100.0 million committed).</w:t>
      </w:r>
    </w:p>
    <w:p>
      <w:pPr>
        <w:ind w:left="540" w:right="180" w:hanging="277"/>
        <w:spacing w:after="0" w:line="252" w:lineRule="auto"/>
        <w:tabs>
          <w:tab w:leader="none" w:pos="536"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June 28, 2021, we entered into an Agency MSR financing facility which includes a $135.0 million term loan and a $285.0 million revolving loan. The original maturity of the revolving loan is June 28, 2026, and the term loan is scheduled to mature on June 28, 2023.</w:t>
      </w:r>
    </w:p>
    <w:p>
      <w:pPr>
        <w:ind w:left="540" w:right="360" w:hanging="277"/>
        <w:spacing w:after="0" w:line="252" w:lineRule="auto"/>
        <w:tabs>
          <w:tab w:leader="none" w:pos="536"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June 30, 2021, we extended the amortization date of the OMART variable funding facility by one year to June 30, 2022. The interest rate margin on the lender’s cost of funds was reduced from 400 bps to 200 bps, and the total borrowing capacity was reduced from $250.0 million to $80.0 million.</w:t>
      </w:r>
    </w:p>
    <w:p>
      <w:pPr>
        <w:ind w:left="540" w:hanging="277"/>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June 30, 2021, we extended the amortization date of the OFAF variable funding facility for 60 days to August 27, 2021.</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July 23, 2021, we temporarily increased the total borrowing capacity of a $150.0 million uncommitted warehouse facility to $300.0 million, until September 15, 2021.</w:t>
      </w:r>
    </w:p>
    <w:p>
      <w:pPr>
        <w:spacing w:after="0" w:line="20" w:lineRule="exact"/>
        <w:rPr>
          <w:rFonts w:ascii="Arial" w:cs="Arial" w:eastAsia="Arial" w:hAnsi="Arial"/>
          <w:sz w:val="14"/>
          <w:szCs w:val="14"/>
          <w:color w:val="auto"/>
        </w:rPr>
      </w:pPr>
    </w:p>
    <w:p>
      <w:pPr>
        <w:ind w:left="540" w:hanging="277"/>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July 23, 2021, we entered into a repurchase agreement warehouse facility with borrowing capacity of $210.0 million to fund called loans for up to three months.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91" w:name="page92"/>
    <w:bookmarkEnd w:id="91"/>
    <w:p>
      <w:pPr>
        <w:ind w:left="269"/>
        <w:spacing w:after="0"/>
        <w:rPr>
          <w:sz w:val="20"/>
          <w:szCs w:val="20"/>
          <w:color w:val="auto"/>
        </w:rPr>
      </w:pPr>
      <w:r>
        <w:rPr>
          <w:rFonts w:ascii="Arial" w:cs="Arial" w:eastAsia="Arial" w:hAnsi="Arial"/>
          <w:sz w:val="15"/>
          <w:szCs w:val="15"/>
          <w:color w:val="auto"/>
        </w:rPr>
        <w:t>See Note 12 – Borrowings to the Unaudited Consolidated Financial Statements for additional information.</w:t>
      </w:r>
    </w:p>
    <w:p>
      <w:pPr>
        <w:spacing w:after="0" w:line="100" w:lineRule="exact"/>
        <w:rPr>
          <w:sz w:val="20"/>
          <w:szCs w:val="20"/>
          <w:color w:val="auto"/>
        </w:rPr>
      </w:pPr>
    </w:p>
    <w:p>
      <w:pPr>
        <w:ind w:left="269"/>
        <w:spacing w:after="0"/>
        <w:rPr>
          <w:sz w:val="20"/>
          <w:szCs w:val="20"/>
          <w:color w:val="auto"/>
        </w:rPr>
      </w:pPr>
      <w:r>
        <w:rPr>
          <w:rFonts w:ascii="Arial" w:cs="Arial" w:eastAsia="Arial" w:hAnsi="Arial"/>
          <w:sz w:val="13"/>
          <w:szCs w:val="13"/>
          <w:color w:val="auto"/>
        </w:rPr>
        <w:t>A summary of borrowing capacity under our advance facilities, mortgage warehouse facilities and MSR financing facilities is as follows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99060</wp:posOffset>
            </wp:positionV>
            <wp:extent cx="545401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54015" cy="6985"/>
                    </a:xfrm>
                    <a:prstGeom prst="rect">
                      <a:avLst/>
                    </a:prstGeom>
                    <a:noFill/>
                  </pic:spPr>
                </pic:pic>
              </a:graphicData>
            </a:graphic>
          </wp:anchor>
        </w:drawing>
      </w:r>
    </w:p>
    <w:p>
      <w:pPr>
        <w:sectPr>
          <w:pgSz w:w="11900" w:h="16838" w:orient="portrait"/>
          <w:cols w:equalWidth="0" w:num="1">
            <w:col w:w="11209"/>
          </w:cols>
          <w:pgMar w:left="311" w:top="867" w:right="379" w:bottom="1440" w:gutter="0" w:footer="0" w:header="0"/>
        </w:sectPr>
      </w:pPr>
    </w:p>
    <w:p>
      <w:pPr>
        <w:spacing w:after="0" w:line="160" w:lineRule="exact"/>
        <w:rPr>
          <w:sz w:val="20"/>
          <w:szCs w:val="20"/>
          <w:color w:val="auto"/>
        </w:rPr>
      </w:pPr>
    </w:p>
    <w:p>
      <w:pPr>
        <w:ind w:left="4269"/>
        <w:spacing w:after="0"/>
        <w:rPr>
          <w:sz w:val="20"/>
          <w:szCs w:val="20"/>
          <w:color w:val="auto"/>
        </w:rPr>
      </w:pPr>
      <w:r>
        <w:rPr>
          <w:rFonts w:ascii="Arial" w:cs="Arial" w:eastAsia="Arial" w:hAnsi="Arial"/>
          <w:sz w:val="14"/>
          <w:szCs w:val="14"/>
          <w:b w:val="1"/>
          <w:bCs w:val="1"/>
          <w:color w:val="auto"/>
        </w:rPr>
        <w:t>June 30, 2021</w:t>
      </w:r>
    </w:p>
    <w:p>
      <w:pPr>
        <w:spacing w:after="0" w:line="25" w:lineRule="exact"/>
        <w:rPr>
          <w:sz w:val="20"/>
          <w:szCs w:val="20"/>
          <w:color w:val="auto"/>
        </w:rPr>
      </w:pPr>
    </w:p>
    <w:tbl>
      <w:tblPr>
        <w:tblLayout w:type="fixed"/>
        <w:tblInd w:w="2569" w:type="dxa"/>
        <w:tblCellMar>
          <w:top w:w="0" w:type="dxa"/>
          <w:left w:w="0" w:type="dxa"/>
          <w:bottom w:w="0" w:type="dxa"/>
          <w:right w:w="0" w:type="dxa"/>
        </w:tblCellMar>
      </w:tblPr>
      <w:tr>
        <w:trPr>
          <w:trHeight w:val="131"/>
        </w:trPr>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Total Borrowing</w:t>
            </w:r>
          </w:p>
        </w:tc>
        <w:tc>
          <w:tcPr>
            <w:tcW w:w="15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4"/>
              </w:rPr>
              <w:t>Available Borrowing</w:t>
            </w:r>
          </w:p>
        </w:tc>
        <w:tc>
          <w:tcPr>
            <w:tcW w:w="14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w w:val="98"/>
              </w:rPr>
              <w:t>Available Borrowing</w:t>
            </w:r>
          </w:p>
        </w:tc>
        <w:tc>
          <w:tcPr>
            <w:tcW w:w="0" w:type="dxa"/>
            <w:vAlign w:val="bottom"/>
          </w:tcPr>
          <w:p>
            <w:pPr>
              <w:spacing w:after="0"/>
              <w:rPr>
                <w:sz w:val="1"/>
                <w:szCs w:val="1"/>
                <w:color w:val="auto"/>
              </w:rPr>
            </w:pPr>
          </w:p>
        </w:tc>
      </w:tr>
      <w:tr>
        <w:trPr>
          <w:trHeight w:val="136"/>
        </w:trPr>
        <w:tc>
          <w:tcPr>
            <w:tcW w:w="1340" w:type="dxa"/>
            <w:vAlign w:val="bottom"/>
            <w:vMerge w:val="continue"/>
          </w:tcPr>
          <w:p>
            <w:pPr>
              <w:spacing w:after="0"/>
              <w:rPr>
                <w:sz w:val="11"/>
                <w:szCs w:val="11"/>
                <w:color w:val="auto"/>
              </w:rPr>
            </w:pPr>
          </w:p>
        </w:tc>
        <w:tc>
          <w:tcPr>
            <w:tcW w:w="150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5"/>
              </w:rPr>
              <w:t>Capacity -</w:t>
            </w:r>
          </w:p>
        </w:tc>
        <w:tc>
          <w:tcPr>
            <w:tcW w:w="106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Capacity -</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Capacity (1)</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Committed (1)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Uncommitted</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Total Borrowing</w:t>
            </w:r>
          </w:p>
        </w:tc>
        <w:tc>
          <w:tcPr>
            <w:tcW w:w="15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3"/>
              </w:rPr>
              <w:t>Available Borrowing</w:t>
            </w:r>
          </w:p>
        </w:tc>
        <w:tc>
          <w:tcPr>
            <w:tcW w:w="14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b w:val="1"/>
                <w:bCs w:val="1"/>
                <w:color w:val="auto"/>
                <w:w w:val="98"/>
              </w:rPr>
              <w:t>Available Borrowing</w:t>
            </w:r>
          </w:p>
        </w:tc>
        <w:tc>
          <w:tcPr>
            <w:tcW w:w="0" w:type="dxa"/>
            <w:vAlign w:val="bottom"/>
          </w:tcPr>
          <w:p>
            <w:pPr>
              <w:spacing w:after="0"/>
              <w:rPr>
                <w:sz w:val="1"/>
                <w:szCs w:val="1"/>
                <w:color w:val="auto"/>
              </w:rPr>
            </w:pPr>
          </w:p>
        </w:tc>
      </w:tr>
      <w:tr>
        <w:trPr>
          <w:trHeight w:val="136"/>
        </w:trPr>
        <w:tc>
          <w:tcPr>
            <w:tcW w:w="1340" w:type="dxa"/>
            <w:vAlign w:val="bottom"/>
            <w:vMerge w:val="continue"/>
          </w:tcPr>
          <w:p>
            <w:pPr>
              <w:spacing w:after="0"/>
              <w:rPr>
                <w:sz w:val="11"/>
                <w:szCs w:val="11"/>
                <w:color w:val="auto"/>
              </w:rPr>
            </w:pPr>
          </w:p>
        </w:tc>
        <w:tc>
          <w:tcPr>
            <w:tcW w:w="152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2"/>
              </w:rPr>
              <w:t>Capacity -</w:t>
            </w:r>
          </w:p>
        </w:tc>
        <w:tc>
          <w:tcPr>
            <w:tcW w:w="106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Capacity -</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82"/>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Capacity (1)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Committed (1)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Uncommitted</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09" w:space="100"/>
            <w:col w:w="4300"/>
          </w:cols>
          <w:pgMar w:left="311" w:top="867" w:right="379" w:bottom="1440" w:gutter="0" w:footer="0" w:header="0"/>
          <w:type w:val="continuous"/>
        </w:sectPr>
      </w:pPr>
    </w:p>
    <w:tbl>
      <w:tblPr>
        <w:tblLayout w:type="fixed"/>
        <w:tblInd w:w="9" w:type="dxa"/>
        <w:tblCellMar>
          <w:top w:w="0" w:type="dxa"/>
          <w:left w:w="0" w:type="dxa"/>
          <w:bottom w:w="0" w:type="dxa"/>
          <w:right w:w="0" w:type="dxa"/>
        </w:tblCellMar>
      </w:tblPr>
      <w:tr>
        <w:trPr>
          <w:trHeight w:val="173"/>
        </w:trPr>
        <w:tc>
          <w:tcPr>
            <w:tcW w:w="2560" w:type="dxa"/>
            <w:vAlign w:val="bottom"/>
          </w:tcPr>
          <w:p>
            <w:pPr>
              <w:spacing w:after="0"/>
              <w:rPr>
                <w:sz w:val="20"/>
                <w:szCs w:val="20"/>
                <w:color w:val="auto"/>
              </w:rPr>
            </w:pPr>
            <w:r>
              <w:rPr>
                <w:rFonts w:ascii="Arial" w:cs="Arial" w:eastAsia="Arial" w:hAnsi="Arial"/>
                <w:sz w:val="14"/>
                <w:szCs w:val="14"/>
                <w:color w:val="auto"/>
              </w:rPr>
              <w:t>Advance facilities</w:t>
            </w: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625.0</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795.0</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213.7</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Mortgage loan warehouse facilities</w:t>
            </w:r>
          </w:p>
        </w:tc>
        <w:tc>
          <w:tcPr>
            <w:tcW w:w="4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1,360.3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336.9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398.4</w:t>
            </w:r>
          </w:p>
        </w:tc>
      </w:t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MSR financing facilities</w:t>
            </w: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835.0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r>
      <w:tr>
        <w:trPr>
          <w:trHeight w:val="173"/>
        </w:trPr>
        <w:tc>
          <w:tcPr>
            <w:tcW w:w="2560" w:type="dxa"/>
            <w:vAlign w:val="bottom"/>
          </w:tcPr>
          <w:p>
            <w:pPr>
              <w:ind w:left="10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2,820.3</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395.1</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341.3</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2,207.0</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439.8</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411.4</w:t>
            </w:r>
          </w:p>
        </w:tc>
      </w:tr>
      <w:tr>
        <w:trPr>
          <w:trHeight w:val="20"/>
        </w:trPr>
        <w:tc>
          <w:tcPr>
            <w:tcW w:w="2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69" w:right="140" w:hanging="269"/>
        <w:spacing w:after="0" w:line="255" w:lineRule="auto"/>
        <w:tabs>
          <w:tab w:leader="none" w:pos="269"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Total Borrowing Capacity represents the maximum amount which can be borrowed, subject to eligible collateral. Available Borrowing Capacity represents Total Borrowing Capacity less outstanding borrowings.</w:t>
      </w:r>
    </w:p>
    <w:p>
      <w:pPr>
        <w:spacing w:after="0" w:line="64" w:lineRule="exact"/>
        <w:rPr>
          <w:sz w:val="20"/>
          <w:szCs w:val="20"/>
          <w:color w:val="auto"/>
        </w:rPr>
      </w:pPr>
    </w:p>
    <w:p>
      <w:pPr>
        <w:ind w:left="9" w:firstLine="272"/>
        <w:spacing w:after="0" w:line="256" w:lineRule="auto"/>
        <w:rPr>
          <w:sz w:val="20"/>
          <w:szCs w:val="20"/>
          <w:color w:val="auto"/>
        </w:rPr>
      </w:pPr>
      <w:r>
        <w:rPr>
          <w:rFonts w:ascii="Arial" w:cs="Arial" w:eastAsia="Arial" w:hAnsi="Arial"/>
          <w:sz w:val="15"/>
          <w:szCs w:val="15"/>
          <w:color w:val="auto"/>
        </w:rPr>
        <w:t>Our total borrowing capacity increased by approximately $600 million (or 27%) in six months, driven by $460 million capacity under our MSR financing facilities to fund our MSR bulk acquisitions and portfolio growth. In addition, we increased our mortgage loan warehouse capacity by more than $300 million (29%) in six months to fund the growth in our Originations business. The available borrowing capacity under our advance financing facilities decreased by $118.9 million as compared to December 31, 2020 due to the $170 million reduction in total borrowing capacity of the OMART variable funding notes, offset in part by a $51.1 million decrease in outstanding borrowings, consistent with a decrease in our servicer advances. At June 30, 2021, none of the available borrowing capacity under our advance financing facilities could be funded based on the amount of eligible collateral that had been pledged to such facilities. Also, none of our uncommitted borrowing capacity was available to fund advances at June 30, 2021 under our Ginnie Mae MSR financing facility based on the amount of eligible collateral as disclosed below.</w:t>
      </w:r>
    </w:p>
    <w:p>
      <w:pPr>
        <w:spacing w:after="0" w:line="74" w:lineRule="exact"/>
        <w:rPr>
          <w:sz w:val="20"/>
          <w:szCs w:val="20"/>
          <w:color w:val="auto"/>
        </w:rPr>
      </w:pPr>
    </w:p>
    <w:p>
      <w:pPr>
        <w:ind w:left="9" w:right="80" w:firstLine="272"/>
        <w:spacing w:after="0" w:line="261" w:lineRule="auto"/>
        <w:rPr>
          <w:sz w:val="20"/>
          <w:szCs w:val="20"/>
          <w:color w:val="auto"/>
        </w:rPr>
      </w:pPr>
      <w:r>
        <w:rPr>
          <w:rFonts w:ascii="Arial" w:cs="Arial" w:eastAsia="Arial" w:hAnsi="Arial"/>
          <w:sz w:val="15"/>
          <w:szCs w:val="15"/>
          <w:color w:val="auto"/>
        </w:rPr>
        <w:t>We may utilize committed borrowing capacity under our mortgage warehouse facilities and MSR financing facilities to the extent we have sufficient eligible collateral to borrow against and otherwise satisfy the applicable conditions to funding. At June 30, 2021, we had $13.3 million committed borrowing capacity under our mortgage loan warehouse facilities, based on the amount of eligible collateral. Uncommitted amounts can be advanced at the discretion of the lender, and there can be no assurance that any uncommitted amounts will be available to us at any particular time.</w:t>
      </w:r>
    </w:p>
    <w:p>
      <w:pPr>
        <w:spacing w:after="0" w:line="67" w:lineRule="exact"/>
        <w:rPr>
          <w:sz w:val="20"/>
          <w:szCs w:val="20"/>
          <w:color w:val="auto"/>
        </w:rPr>
      </w:pPr>
    </w:p>
    <w:p>
      <w:pPr>
        <w:ind w:left="9" w:right="540" w:firstLine="272"/>
        <w:spacing w:after="0" w:line="278" w:lineRule="auto"/>
        <w:rPr>
          <w:sz w:val="20"/>
          <w:szCs w:val="20"/>
          <w:color w:val="auto"/>
        </w:rPr>
      </w:pPr>
      <w:r>
        <w:rPr>
          <w:rFonts w:ascii="Arial" w:cs="Arial" w:eastAsia="Arial" w:hAnsi="Arial"/>
          <w:sz w:val="15"/>
          <w:szCs w:val="15"/>
          <w:color w:val="auto"/>
        </w:rPr>
        <w:t>At June 30, 2021, our unrestricted cash position was $243.6 million compared to $284.8 million at December 31, 2020. We typically invest cash in excess of our immediate operating needs in deposit accounts and other liquid assets.</w:t>
      </w:r>
    </w:p>
    <w:p>
      <w:pPr>
        <w:spacing w:after="0" w:line="54" w:lineRule="exact"/>
        <w:rPr>
          <w:sz w:val="20"/>
          <w:szCs w:val="20"/>
          <w:color w:val="auto"/>
        </w:rPr>
      </w:pPr>
    </w:p>
    <w:p>
      <w:pPr>
        <w:ind w:left="9" w:right="220" w:firstLine="272"/>
        <w:spacing w:after="0" w:line="278" w:lineRule="auto"/>
        <w:rPr>
          <w:sz w:val="20"/>
          <w:szCs w:val="20"/>
          <w:color w:val="auto"/>
        </w:rPr>
      </w:pPr>
      <w:r>
        <w:rPr>
          <w:rFonts w:ascii="Arial" w:cs="Arial" w:eastAsia="Arial" w:hAnsi="Arial"/>
          <w:sz w:val="15"/>
          <w:szCs w:val="15"/>
          <w:color w:val="auto"/>
        </w:rPr>
        <w:t>We strive to optimize our daily cash position to reduce financing costs while closely monitoring our liquidity needs and ongoing funding requirements. We regularly monitor and project cash flows over various time horizons as a way to anticipate and mitigate liquidity risk.</w:t>
      </w:r>
    </w:p>
    <w:p>
      <w:pPr>
        <w:spacing w:after="0" w:line="54" w:lineRule="exact"/>
        <w:rPr>
          <w:sz w:val="20"/>
          <w:szCs w:val="20"/>
          <w:color w:val="auto"/>
        </w:rPr>
      </w:pPr>
    </w:p>
    <w:p>
      <w:pPr>
        <w:ind w:left="269"/>
        <w:spacing w:after="0"/>
        <w:rPr>
          <w:sz w:val="20"/>
          <w:szCs w:val="20"/>
          <w:color w:val="auto"/>
        </w:rPr>
      </w:pPr>
      <w:r>
        <w:rPr>
          <w:rFonts w:ascii="Arial" w:cs="Arial" w:eastAsia="Arial" w:hAnsi="Arial"/>
          <w:sz w:val="15"/>
          <w:szCs w:val="15"/>
          <w:color w:val="auto"/>
        </w:rPr>
        <w:t>In assessing our liquidity outlook, our primary focus is on available cash on hand, unused available funding and the following forecast measures:</w:t>
      </w:r>
    </w:p>
    <w:p>
      <w:pPr>
        <w:spacing w:after="0" w:line="100" w:lineRule="exact"/>
        <w:rPr>
          <w:sz w:val="20"/>
          <w:szCs w:val="20"/>
          <w:color w:val="auto"/>
        </w:rPr>
      </w:pPr>
    </w:p>
    <w:p>
      <w:pPr>
        <w:ind w:left="549" w:hanging="277"/>
        <w:spacing w:after="0"/>
        <w:tabs>
          <w:tab w:leader="none" w:pos="5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Financial projections for ongoing net income, excluding the impact of non-cash items, and working capital needs including loan repurchases;</w:t>
      </w:r>
    </w:p>
    <w:p>
      <w:pPr>
        <w:spacing w:after="0" w:line="18" w:lineRule="exact"/>
        <w:rPr>
          <w:rFonts w:ascii="Arial" w:cs="Arial" w:eastAsia="Arial" w:hAnsi="Arial"/>
          <w:sz w:val="15"/>
          <w:szCs w:val="15"/>
          <w:color w:val="auto"/>
        </w:rPr>
      </w:pPr>
    </w:p>
    <w:p>
      <w:pPr>
        <w:ind w:left="549" w:hanging="277"/>
        <w:spacing w:after="0"/>
        <w:tabs>
          <w:tab w:leader="none" w:pos="5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Requirements for amortizing and maturing liabilities;</w:t>
      </w:r>
    </w:p>
    <w:p>
      <w:pPr>
        <w:spacing w:after="0" w:line="9" w:lineRule="exact"/>
        <w:rPr>
          <w:rFonts w:ascii="Arial" w:cs="Arial" w:eastAsia="Arial" w:hAnsi="Arial"/>
          <w:sz w:val="15"/>
          <w:szCs w:val="15"/>
          <w:color w:val="auto"/>
        </w:rPr>
      </w:pPr>
    </w:p>
    <w:p>
      <w:pPr>
        <w:ind w:left="549" w:hanging="277"/>
        <w:spacing w:after="0"/>
        <w:tabs>
          <w:tab w:leader="none" w:pos="549"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projected change in advances compared to the projected borrowing capacity to fund such advances under our facilities, including capacity for monthly peak needs;</w:t>
      </w:r>
    </w:p>
    <w:p>
      <w:pPr>
        <w:spacing w:after="0" w:line="20" w:lineRule="exact"/>
        <w:rPr>
          <w:rFonts w:ascii="Arial" w:cs="Arial" w:eastAsia="Arial" w:hAnsi="Arial"/>
          <w:sz w:val="14"/>
          <w:szCs w:val="14"/>
          <w:color w:val="auto"/>
        </w:rPr>
      </w:pPr>
    </w:p>
    <w:p>
      <w:pPr>
        <w:ind w:left="549" w:hanging="277"/>
        <w:spacing w:after="0"/>
        <w:tabs>
          <w:tab w:leader="none" w:pos="5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Projected funding requirements for acquisitions of MSRs and other investment opportunities;</w:t>
      </w:r>
    </w:p>
    <w:p>
      <w:pPr>
        <w:spacing w:after="0" w:line="9" w:lineRule="exact"/>
        <w:rPr>
          <w:rFonts w:ascii="Arial" w:cs="Arial" w:eastAsia="Arial" w:hAnsi="Arial"/>
          <w:sz w:val="15"/>
          <w:szCs w:val="15"/>
          <w:color w:val="auto"/>
        </w:rPr>
      </w:pPr>
    </w:p>
    <w:p>
      <w:pPr>
        <w:ind w:left="549" w:hanging="277"/>
        <w:spacing w:after="0"/>
        <w:tabs>
          <w:tab w:leader="none" w:pos="5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Funding capacity for whole loans and tail draws under our reverse mortgage commitments subject to warehouse eligibility requirements;</w:t>
      </w:r>
    </w:p>
    <w:p>
      <w:pPr>
        <w:spacing w:after="0" w:line="9" w:lineRule="exact"/>
        <w:rPr>
          <w:rFonts w:ascii="Arial" w:cs="Arial" w:eastAsia="Arial" w:hAnsi="Arial"/>
          <w:sz w:val="15"/>
          <w:szCs w:val="15"/>
          <w:color w:val="auto"/>
        </w:rPr>
      </w:pPr>
    </w:p>
    <w:p>
      <w:pPr>
        <w:ind w:left="549" w:hanging="277"/>
        <w:spacing w:after="0"/>
        <w:tabs>
          <w:tab w:leader="none" w:pos="5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Potential payments or recoveries related to legal and regulatory matters, insurance, taxes and others; and</w:t>
      </w:r>
    </w:p>
    <w:p>
      <w:pPr>
        <w:spacing w:after="0" w:line="9" w:lineRule="exact"/>
        <w:rPr>
          <w:rFonts w:ascii="Arial" w:cs="Arial" w:eastAsia="Arial" w:hAnsi="Arial"/>
          <w:sz w:val="15"/>
          <w:szCs w:val="15"/>
          <w:color w:val="auto"/>
        </w:rPr>
      </w:pPr>
    </w:p>
    <w:p>
      <w:pPr>
        <w:ind w:left="549" w:hanging="277"/>
        <w:spacing w:after="0"/>
        <w:tabs>
          <w:tab w:leader="none" w:pos="5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Margining requirements associated with our borrowing facilities and hedging program.</w:t>
      </w:r>
    </w:p>
    <w:p>
      <w:pPr>
        <w:spacing w:after="0" w:line="8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Use of Funds</w:t>
      </w:r>
    </w:p>
    <w:p>
      <w:pPr>
        <w:spacing w:after="0" w:line="104" w:lineRule="exact"/>
        <w:rPr>
          <w:sz w:val="20"/>
          <w:szCs w:val="20"/>
          <w:color w:val="auto"/>
        </w:rPr>
      </w:pPr>
    </w:p>
    <w:p>
      <w:pPr>
        <w:ind w:left="269"/>
        <w:spacing w:after="0"/>
        <w:rPr>
          <w:sz w:val="20"/>
          <w:szCs w:val="20"/>
          <w:color w:val="auto"/>
        </w:rPr>
      </w:pPr>
      <w:r>
        <w:rPr>
          <w:rFonts w:ascii="Arial" w:cs="Arial" w:eastAsia="Arial" w:hAnsi="Arial"/>
          <w:sz w:val="15"/>
          <w:szCs w:val="15"/>
          <w:color w:val="auto"/>
        </w:rPr>
        <w:t>Our primary near-term uses of funds in the normal course include:</w:t>
      </w:r>
    </w:p>
    <w:p>
      <w:pPr>
        <w:spacing w:after="0" w:line="100" w:lineRule="exact"/>
        <w:rPr>
          <w:sz w:val="20"/>
          <w:szCs w:val="20"/>
          <w:color w:val="auto"/>
        </w:rPr>
      </w:pPr>
    </w:p>
    <w:p>
      <w:pPr>
        <w:ind w:left="549" w:hanging="277"/>
        <w:spacing w:after="0"/>
        <w:tabs>
          <w:tab w:leader="none" w:pos="549" w:val="left"/>
        </w:tabs>
        <w:numPr>
          <w:ilvl w:val="0"/>
          <w:numId w:val="56"/>
        </w:numPr>
        <w:rPr>
          <w:rFonts w:ascii="Arial" w:cs="Arial" w:eastAsia="Arial" w:hAnsi="Arial"/>
          <w:sz w:val="15"/>
          <w:szCs w:val="15"/>
          <w:color w:val="auto"/>
        </w:rPr>
      </w:pPr>
      <w:r>
        <w:rPr>
          <w:rFonts w:ascii="Arial" w:cs="Arial" w:eastAsia="Arial" w:hAnsi="Arial"/>
          <w:sz w:val="15"/>
          <w:szCs w:val="15"/>
          <w:color w:val="auto"/>
        </w:rPr>
        <w:t>Payment of operating costs and corporate expenses;</w:t>
      </w:r>
    </w:p>
    <w:p>
      <w:pPr>
        <w:spacing w:after="0" w:line="18" w:lineRule="exact"/>
        <w:rPr>
          <w:rFonts w:ascii="Arial" w:cs="Arial" w:eastAsia="Arial" w:hAnsi="Arial"/>
          <w:sz w:val="15"/>
          <w:szCs w:val="15"/>
          <w:color w:val="auto"/>
        </w:rPr>
      </w:pPr>
    </w:p>
    <w:p>
      <w:pPr>
        <w:ind w:left="549" w:hanging="277"/>
        <w:spacing w:after="0"/>
        <w:tabs>
          <w:tab w:leader="none" w:pos="549" w:val="left"/>
        </w:tabs>
        <w:numPr>
          <w:ilvl w:val="0"/>
          <w:numId w:val="56"/>
        </w:numPr>
        <w:rPr>
          <w:rFonts w:ascii="Arial" w:cs="Arial" w:eastAsia="Arial" w:hAnsi="Arial"/>
          <w:sz w:val="15"/>
          <w:szCs w:val="15"/>
          <w:color w:val="auto"/>
        </w:rPr>
      </w:pPr>
      <w:r>
        <w:rPr>
          <w:rFonts w:ascii="Arial" w:cs="Arial" w:eastAsia="Arial" w:hAnsi="Arial"/>
          <w:sz w:val="15"/>
          <w:szCs w:val="15"/>
          <w:color w:val="auto"/>
        </w:rPr>
        <w:t>Payments for advances in excess of collections;</w:t>
      </w:r>
    </w:p>
    <w:p>
      <w:pPr>
        <w:spacing w:after="0" w:line="200" w:lineRule="exact"/>
        <w:rPr>
          <w:sz w:val="20"/>
          <w:szCs w:val="20"/>
          <w:color w:val="auto"/>
        </w:rPr>
      </w:pPr>
    </w:p>
    <w:p>
      <w:pPr>
        <w:spacing w:after="0" w:line="265"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09"/>
          </w:cols>
          <w:pgMar w:left="311" w:top="867" w:right="379" w:bottom="1440" w:gutter="0" w:footer="0" w:header="0"/>
          <w:type w:val="continuous"/>
        </w:sectPr>
      </w:pPr>
    </w:p>
    <w:bookmarkStart w:id="92" w:name="page93"/>
    <w:bookmarkEnd w:id="92"/>
    <w:p>
      <w:pPr>
        <w:ind w:left="540" w:hanging="277"/>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Investing in our servicing and originations businesses, including MSR and other asset acquisitions;</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Originated and repurchased loans, including scheduled and unscheduled equity draws on reverse mortgage loans;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Payment of margin calls under our MSR financing facilities and derivative instruments;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Repayments of borrowings, including under our MSR financing, advance financing and warehouse facilities, and payment of interest expense; and</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Net negative working capital and other general corporate cash outflows.</w:t>
      </w:r>
    </w:p>
    <w:p>
      <w:pPr>
        <w:spacing w:after="0" w:line="91" w:lineRule="exact"/>
        <w:rPr>
          <w:sz w:val="20"/>
          <w:szCs w:val="20"/>
          <w:color w:val="auto"/>
        </w:rPr>
      </w:pPr>
    </w:p>
    <w:p>
      <w:pPr>
        <w:ind w:right="180" w:firstLine="272"/>
        <w:spacing w:after="0" w:line="258" w:lineRule="auto"/>
        <w:rPr>
          <w:sz w:val="20"/>
          <w:szCs w:val="20"/>
          <w:color w:val="auto"/>
        </w:rPr>
      </w:pPr>
      <w:r>
        <w:rPr>
          <w:rFonts w:ascii="Arial" w:cs="Arial" w:eastAsia="Arial" w:hAnsi="Arial"/>
          <w:sz w:val="15"/>
          <w:szCs w:val="15"/>
          <w:color w:val="auto"/>
        </w:rPr>
        <w:t>We have originated floating-rate reverse mortgage loans under which the borrowers have additional borrowing capacity of $2.0 billion at June 30, 2021. This additional borrowing capacity is available on a scheduled or unscheduled payment basis. During the six months ended June 30, 2021, we funded $91.8 million out of the $2.0 billion borrowing capacity available as of December 31, 2020. We also had short-term commitments to lend $995.0 million and $68.4 million in connection with our forward and reverse mortgage loan IRLCs, respectively, outstanding at June 30, 2021. We finance originated and purchased forward and reverse mortgage loans with repurchase and participation agreements, referred to as warehouse lines.</w:t>
      </w:r>
    </w:p>
    <w:p>
      <w:pPr>
        <w:spacing w:after="0" w:line="71" w:lineRule="exact"/>
        <w:rPr>
          <w:sz w:val="20"/>
          <w:szCs w:val="20"/>
          <w:color w:val="auto"/>
        </w:rPr>
      </w:pPr>
    </w:p>
    <w:p>
      <w:pPr>
        <w:ind w:right="200" w:firstLine="272"/>
        <w:spacing w:after="0" w:line="261" w:lineRule="auto"/>
        <w:rPr>
          <w:sz w:val="20"/>
          <w:szCs w:val="20"/>
          <w:color w:val="auto"/>
        </w:rPr>
      </w:pPr>
      <w:r>
        <w:rPr>
          <w:rFonts w:ascii="Arial" w:cs="Arial" w:eastAsia="Arial" w:hAnsi="Arial"/>
          <w:sz w:val="15"/>
          <w:szCs w:val="15"/>
          <w:color w:val="auto"/>
        </w:rPr>
        <w:t>Regarding the current maturities of our borrowings, as of June 30, 2021, we have approximately $1.37 billion of debt outstanding that would either come due, begin amortizing or require partial repayment in the next 12 months. This amount is comprised of $773.4 million of borrowings under forward and reverse mortgage warehouse facilities, $40.2 million of variable funding notes under advance financing facilities that will enter their respective amortization periods, $503.3 million outstanding under our Agency and Ginnie Mae MSR financing facilities and $55.1 million of scheduled principal amortization on the PLS Notes secured by PLS MSRs.</w:t>
      </w:r>
    </w:p>
    <w:p>
      <w:pPr>
        <w:spacing w:after="0" w:line="67" w:lineRule="exact"/>
        <w:rPr>
          <w:sz w:val="20"/>
          <w:szCs w:val="20"/>
          <w:color w:val="auto"/>
        </w:rPr>
      </w:pPr>
    </w:p>
    <w:p>
      <w:pPr>
        <w:ind w:right="60" w:firstLine="272"/>
        <w:spacing w:after="0" w:line="265" w:lineRule="auto"/>
        <w:rPr>
          <w:sz w:val="20"/>
          <w:szCs w:val="20"/>
          <w:color w:val="auto"/>
        </w:rPr>
      </w:pPr>
      <w:r>
        <w:rPr>
          <w:rFonts w:ascii="Arial" w:cs="Arial" w:eastAsia="Arial" w:hAnsi="Arial"/>
          <w:sz w:val="15"/>
          <w:szCs w:val="15"/>
          <w:color w:val="auto"/>
        </w:rPr>
        <w:t>In our liquidity management, we consider two factors more specifically as a result of the COVID-19 environment and the volatile interest rate environment: our increased advancing requirements as servicer during each investor remittance period, and the uncertainties of daily margin calls on our collateralized debt facilities and derivative instruments due to interest rate fluctuations.</w:t>
      </w:r>
    </w:p>
    <w:p>
      <w:pPr>
        <w:spacing w:after="0" w:line="64" w:lineRule="exact"/>
        <w:rPr>
          <w:sz w:val="20"/>
          <w:szCs w:val="20"/>
          <w:color w:val="auto"/>
        </w:rPr>
      </w:pPr>
    </w:p>
    <w:p>
      <w:pPr>
        <w:ind w:firstLine="272"/>
        <w:spacing w:after="0" w:line="256" w:lineRule="auto"/>
        <w:rPr>
          <w:sz w:val="20"/>
          <w:szCs w:val="20"/>
          <w:color w:val="auto"/>
        </w:rPr>
      </w:pPr>
      <w:r>
        <w:rPr>
          <w:rFonts w:ascii="Arial" w:cs="Arial" w:eastAsia="Arial" w:hAnsi="Arial"/>
          <w:sz w:val="15"/>
          <w:szCs w:val="15"/>
          <w:color w:val="auto"/>
        </w:rPr>
        <w:t>First, as servicer, we are required to advance to investors the loan P&amp;I installments not collected from borrowers for those delinquent loans, including those on forbearance plans. We also advance T&amp;I and Corporate advances primarily on properties that are in default or have been foreclosed. Our obligations to make these advances are governed by servicing agreements or guides, depending on investors or guarantor. Refer to Note 25 — Commitments to the Consolidated Financial Statements in our Annual Report on Form 10-K for the year ended December 31, 2020 for further description of our servicer advance obligations.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NRZ the same day we fund P&amp;I advances, or within no more than three days for servicing advances and certain P&amp;I advances under the Ocwen agreements.</w:t>
      </w:r>
    </w:p>
    <w:p>
      <w:pPr>
        <w:spacing w:after="0" w:line="74" w:lineRule="exact"/>
        <w:rPr>
          <w:sz w:val="20"/>
          <w:szCs w:val="20"/>
          <w:color w:val="auto"/>
        </w:rPr>
      </w:pPr>
    </w:p>
    <w:p>
      <w:pPr>
        <w:ind w:right="60" w:firstLine="272"/>
        <w:spacing w:after="0" w:line="258" w:lineRule="auto"/>
        <w:rPr>
          <w:sz w:val="20"/>
          <w:szCs w:val="20"/>
          <w:color w:val="auto"/>
        </w:rPr>
      </w:pPr>
      <w:r>
        <w:rPr>
          <w:rFonts w:ascii="Arial" w:cs="Arial" w:eastAsia="Arial" w:hAnsi="Arial"/>
          <w:sz w:val="15"/>
          <w:szCs w:val="15"/>
          <w:color w:val="auto"/>
        </w:rPr>
        <w:t>Second, 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Our exposure to changes in fair value of our MSRs and the associated liquidity risk have increased in the past quarter as a result of the GSE MSR bulk acquisitions in June 2021. Refer to the sensitivity analysis in Item 3, Quantitative and qualitative disclosures about market risk.</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medium- and long-term requirements for cash include:</w:t>
      </w:r>
    </w:p>
    <w:p>
      <w:pPr>
        <w:spacing w:after="0" w:line="54" w:lineRule="exact"/>
        <w:rPr>
          <w:sz w:val="20"/>
          <w:szCs w:val="20"/>
          <w:color w:val="auto"/>
        </w:rPr>
      </w:pPr>
    </w:p>
    <w:p>
      <w:pPr>
        <w:ind w:left="540" w:hanging="277"/>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Payment of interest and principal repayment of our corporate debt that matures in 2026 and 2027;</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payments associated with the confirmation of loss contingencies; and</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other payments required under contractual obligations discussed above that extend beyond one year, e.g., lease payments.</w:t>
      </w:r>
    </w:p>
    <w:p>
      <w:pPr>
        <w:spacing w:after="0" w:line="91" w:lineRule="exact"/>
        <w:rPr>
          <w:sz w:val="20"/>
          <w:szCs w:val="20"/>
          <w:color w:val="auto"/>
        </w:rPr>
      </w:pPr>
    </w:p>
    <w:p>
      <w:pPr>
        <w:jc w:val="both"/>
        <w:ind w:right="280" w:firstLine="272"/>
        <w:spacing w:after="0" w:line="265" w:lineRule="auto"/>
        <w:rPr>
          <w:sz w:val="20"/>
          <w:szCs w:val="20"/>
          <w:color w:val="auto"/>
        </w:rPr>
      </w:pPr>
      <w:r>
        <w:rPr>
          <w:rFonts w:ascii="Arial" w:cs="Arial" w:eastAsia="Arial" w:hAnsi="Arial"/>
          <w:sz w:val="15"/>
          <w:szCs w:val="15"/>
          <w:color w:val="auto"/>
        </w:rPr>
        <w:t>Under the terms of the $210.0 million warehouse facility entered into on July 23, 2021, PMC is required to maintain a minimum of $100.0 million in consolidated liquidity on a daily basis. We believe we are in compliance with this liquidity covenant and have cash management strategies in place to ensure we remain compliant during the entire period of the facility.</w:t>
      </w:r>
    </w:p>
    <w:p>
      <w:pPr>
        <w:spacing w:after="0" w:line="64" w:lineRule="exact"/>
        <w:rPr>
          <w:sz w:val="20"/>
          <w:szCs w:val="20"/>
          <w:color w:val="auto"/>
        </w:rPr>
      </w:pPr>
    </w:p>
    <w:p>
      <w:pPr>
        <w:ind w:right="100" w:firstLine="272"/>
        <w:spacing w:after="0" w:line="278" w:lineRule="auto"/>
        <w:rPr>
          <w:sz w:val="20"/>
          <w:szCs w:val="20"/>
          <w:color w:val="auto"/>
        </w:rPr>
      </w:pPr>
      <w:r>
        <w:rPr>
          <w:rFonts w:ascii="Arial" w:cs="Arial" w:eastAsia="Arial" w:hAnsi="Arial"/>
          <w:sz w:val="15"/>
          <w:szCs w:val="15"/>
          <w:color w:val="auto"/>
        </w:rPr>
        <w:t>We are focused on ensuring that we have sufficient liquidity sources to continue to operate through the pandemic as well as after. We continuously evaluate alternative financings to diversify our sources of funds, optimize maturities and reduce our funding cost. See “Sources of Funds” below.</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Sources of Funds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primary sources of funds for near-term liquidity in normal course include:</w:t>
      </w:r>
    </w:p>
    <w:p>
      <w:pPr>
        <w:spacing w:after="0" w:line="100" w:lineRule="exact"/>
        <w:rPr>
          <w:sz w:val="20"/>
          <w:szCs w:val="20"/>
          <w:color w:val="auto"/>
        </w:rPr>
      </w:pPr>
    </w:p>
    <w:p>
      <w:pPr>
        <w:ind w:left="540" w:hanging="277"/>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Collections of servicing fees and ancillary revenues;</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Collections of advances in excess of new advances;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93" w:name="page94"/>
    <w:bookmarkEnd w:id="93"/>
    <w:p>
      <w:pPr>
        <w:ind w:left="540" w:hanging="277"/>
        <w:spacing w:after="0"/>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Proceeds from match funded advance financing facilities;</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Proceeds from other borrowings, including warehouse facilities and MSR financing facilities;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Proceeds from sales and securitizations of originated loans and repurchased loans; and</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Net positive working capital from changes in other assets and liabilities.</w:t>
      </w:r>
    </w:p>
    <w:p>
      <w:pPr>
        <w:spacing w:after="0" w:line="91" w:lineRule="exact"/>
        <w:rPr>
          <w:sz w:val="20"/>
          <w:szCs w:val="20"/>
          <w:color w:val="auto"/>
        </w:rPr>
      </w:pPr>
    </w:p>
    <w:p>
      <w:pPr>
        <w:ind w:right="40" w:firstLine="272"/>
        <w:spacing w:after="0" w:line="258" w:lineRule="auto"/>
        <w:rPr>
          <w:sz w:val="20"/>
          <w:szCs w:val="20"/>
          <w:color w:val="auto"/>
        </w:rPr>
      </w:pPr>
      <w:r>
        <w:rPr>
          <w:rFonts w:ascii="Arial" w:cs="Arial" w:eastAsia="Arial" w:hAnsi="Arial"/>
          <w:sz w:val="15"/>
          <w:szCs w:val="15"/>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by our advance financing facilities to financial institutions typically have a revolving period of 12 months. Term notes are generally issued to institutional investors with one-, two- or three-year revolving periods. Additionally, certain of our financing and subservicing agreements permit us to retain advance collections for a period ranging from one to two business days before remittance, thus providing a source of short-term liquidity.</w:t>
      </w:r>
    </w:p>
    <w:p>
      <w:pPr>
        <w:spacing w:after="0" w:line="71" w:lineRule="exact"/>
        <w:rPr>
          <w:sz w:val="20"/>
          <w:szCs w:val="20"/>
          <w:color w:val="auto"/>
        </w:rPr>
      </w:pPr>
    </w:p>
    <w:p>
      <w:pPr>
        <w:ind w:firstLine="272"/>
        <w:spacing w:after="0" w:line="281" w:lineRule="auto"/>
        <w:rPr>
          <w:sz w:val="20"/>
          <w:szCs w:val="20"/>
          <w:color w:val="auto"/>
        </w:rPr>
      </w:pPr>
      <w:r>
        <w:rPr>
          <w:rFonts w:ascii="Arial" w:cs="Arial" w:eastAsia="Arial" w:hAnsi="Arial"/>
          <w:sz w:val="14"/>
          <w:szCs w:val="14"/>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 days. The funds are typically repaid using the proceeds from the sale of the loans to the secondary market investors, usually within 30 days.</w:t>
      </w:r>
    </w:p>
    <w:p>
      <w:pPr>
        <w:spacing w:after="0" w:line="56" w:lineRule="exact"/>
        <w:rPr>
          <w:sz w:val="20"/>
          <w:szCs w:val="20"/>
          <w:color w:val="auto"/>
        </w:rPr>
      </w:pPr>
    </w:p>
    <w:p>
      <w:pPr>
        <w:ind w:right="280" w:firstLine="272"/>
        <w:spacing w:after="0" w:line="324" w:lineRule="auto"/>
        <w:rPr>
          <w:sz w:val="20"/>
          <w:szCs w:val="20"/>
          <w:color w:val="auto"/>
        </w:rPr>
      </w:pPr>
      <w:r>
        <w:rPr>
          <w:rFonts w:ascii="Arial" w:cs="Arial" w:eastAsia="Arial" w:hAnsi="Arial"/>
          <w:sz w:val="13"/>
          <w:szCs w:val="13"/>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United States Department of Agriculture (USDA).</w:t>
      </w:r>
    </w:p>
    <w:p>
      <w:pPr>
        <w:spacing w:after="0" w:line="30" w:lineRule="exact"/>
        <w:rPr>
          <w:sz w:val="20"/>
          <w:szCs w:val="20"/>
          <w:color w:val="auto"/>
        </w:rPr>
      </w:pPr>
    </w:p>
    <w:p>
      <w:pPr>
        <w:ind w:firstLine="272"/>
        <w:spacing w:after="0" w:line="256" w:lineRule="auto"/>
        <w:rPr>
          <w:sz w:val="20"/>
          <w:szCs w:val="20"/>
          <w:color w:val="auto"/>
        </w:rPr>
      </w:pPr>
      <w:r>
        <w:rPr>
          <w:rFonts w:ascii="Arial" w:cs="Arial" w:eastAsia="Arial" w:hAnsi="Arial"/>
          <w:sz w:val="15"/>
          <w:szCs w:val="15"/>
          <w:color w:val="auto"/>
        </w:rPr>
        <w:t>We regularly evaluate financing structure options that we believe will most effectively provide the necessary capacity to support our investment plans, address upcoming debt maturities and accommodate our business needs. As noted above, we completed a significant refinancing on March 4, 2021. Our subsidiary PMC issued $400.0 million of senior secured notes maturing in 2026, and Ocwen issued $199.5 million of senior secured notes maturing in 2027 and warrants to Oaktree. We used the proceeds received from these note issuances to prepay the $185.0 million outstanding balance of our SSTL and $313.1 million outstanding balance of senior notes maturing in 2021 and 2022, as well as the related prepayment premiums. The remainder of the proceeds were used for general corporate purposes. On May 3, 2021, Ocwen issued an additional $85.5 million of senior secured notes maturing in 2027 and warrants to Oaktree. The proceeds were used to fund our investment in MAV, investments in MSRs and for general corporate purposes. Our financing structure actions are targeted at optimizing access to capital and debt financing, improving our cost of funds, enhancing financial flexibility, bolstering liquidity and reducing funding risk while maintaining leverage within our risk tolerances.</w:t>
      </w:r>
    </w:p>
    <w:p>
      <w:pPr>
        <w:spacing w:after="0" w:line="71" w:lineRule="exact"/>
        <w:rPr>
          <w:sz w:val="20"/>
          <w:szCs w:val="20"/>
          <w:color w:val="auto"/>
        </w:rPr>
      </w:pPr>
    </w:p>
    <w:p>
      <w:pPr>
        <w:ind w:right="80" w:firstLine="272"/>
        <w:spacing w:after="0" w:line="265" w:lineRule="auto"/>
        <w:rPr>
          <w:sz w:val="20"/>
          <w:szCs w:val="20"/>
          <w:color w:val="auto"/>
        </w:rPr>
      </w:pPr>
      <w:r>
        <w:rPr>
          <w:rFonts w:ascii="Arial" w:cs="Arial" w:eastAsia="Arial" w:hAnsi="Arial"/>
          <w:sz w:val="15"/>
          <w:szCs w:val="15"/>
          <w:color w:val="auto"/>
        </w:rPr>
        <w:t>We continuously evaluate the allocation of our capital to MSR investments, the related returns, funding and liquidity requirements. With the launch of MAV and our relationships with other subservicing clients, additional opportunities to rebalance our servicing and subservicing portfolio mix are available to us and may result in the sale of MSRs while we would perform subservicing for the sold portfolio.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Oaktree Investment and Strategic Relationship</w:t>
      </w:r>
    </w:p>
    <w:p>
      <w:pPr>
        <w:spacing w:after="0" w:line="104" w:lineRule="exact"/>
        <w:rPr>
          <w:sz w:val="20"/>
          <w:szCs w:val="20"/>
          <w:color w:val="auto"/>
        </w:rPr>
      </w:pPr>
    </w:p>
    <w:p>
      <w:pPr>
        <w:ind w:right="60" w:firstLine="272"/>
        <w:spacing w:after="0" w:line="275" w:lineRule="auto"/>
        <w:rPr>
          <w:sz w:val="20"/>
          <w:szCs w:val="20"/>
          <w:color w:val="auto"/>
        </w:rPr>
      </w:pPr>
      <w:r>
        <w:rPr>
          <w:rFonts w:ascii="Arial" w:cs="Arial" w:eastAsia="Arial" w:hAnsi="Arial"/>
          <w:sz w:val="14"/>
          <w:szCs w:val="14"/>
          <w:color w:val="auto"/>
        </w:rPr>
        <w:t>In December 2020, we agreed to create a strategic alliance with Oaktree to launch MAV pursuant to which Oaktree agreed to fund $212.5 million into MAV and we agreed to invest up to $37.5 million into MAV. In addition, on February 9, 2021, Oaktree agreed to invest into Ocwen up to $250.0 million. A portion of the investment by Oaktree facilitated the refinancing of our corporate debt on March 4, 2021 and the remainder of the investment is expected to accelerate the growth of our Originations and Servicing businesses.</w:t>
      </w:r>
    </w:p>
    <w:p>
      <w:pPr>
        <w:spacing w:after="0" w:line="48" w:lineRule="exact"/>
        <w:rPr>
          <w:sz w:val="20"/>
          <w:szCs w:val="20"/>
          <w:color w:val="auto"/>
        </w:rPr>
      </w:pPr>
    </w:p>
    <w:p>
      <w:pPr>
        <w:ind w:firstLine="272"/>
        <w:spacing w:after="0" w:line="261" w:lineRule="auto"/>
        <w:rPr>
          <w:sz w:val="20"/>
          <w:szCs w:val="20"/>
          <w:color w:val="auto"/>
        </w:rPr>
      </w:pPr>
      <w:r>
        <w:rPr>
          <w:rFonts w:ascii="Arial" w:cs="Arial" w:eastAsia="Arial" w:hAnsi="Arial"/>
          <w:sz w:val="15"/>
          <w:szCs w:val="15"/>
          <w:color w:val="auto"/>
        </w:rPr>
        <w:t>The $250.0 million investment by Oaktree is structured as senior secured notes issued by Ocwen Financial Corporation, in two tranches, for an aggregate of $285.0 million principal, with $35.0 million of original issue discount (OID). The $175.0 million first tranche of the investment was completed on March 4, 2021 and resulted in the issuance of $199.5 million OFC Senior Secured Notes, with a $24.5 million OID, and warrants. The $75.0 million second investment (85,500 principal and $10.5 million OID) was completed following the launch of MAV on May 3, 2021.</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part of the first tranche investment on March 4, 2021, we issued 1,184,768 warrants to the Oaktree Investors to purchase shares of our common stock equal to 12.0% of our then</w:t>
      </w:r>
    </w:p>
    <w:p>
      <w:pPr>
        <w:spacing w:after="0" w:line="66"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outstanding common stock at an exercise price of $26.82 per share, subject to anti-dilution adjustments. In addition, Oaktree purchased 4.9%, or 426,705 shares of our fully diluted outstanding common stock at the closing of the MAV transaction on May 3, 2021 at a purchase price of $23.15 per share, and Oaktree was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94" w:name="page95"/>
    <w:bookmarkEnd w:id="94"/>
    <w:p>
      <w:pPr>
        <w:ind w:left="9" w:right="640"/>
        <w:spacing w:after="0" w:line="278" w:lineRule="auto"/>
        <w:rPr>
          <w:sz w:val="20"/>
          <w:szCs w:val="20"/>
          <w:color w:val="auto"/>
        </w:rPr>
      </w:pPr>
      <w:r>
        <w:rPr>
          <w:rFonts w:ascii="Arial" w:cs="Arial" w:eastAsia="Arial" w:hAnsi="Arial"/>
          <w:sz w:val="15"/>
          <w:szCs w:val="15"/>
          <w:color w:val="auto"/>
        </w:rPr>
        <w:t>issued 261,248 warrants to purchase additional common stock equal to 3% of our then outstanding common stock at a purchase price of $24.31 per share, subject to anti-dilution adjustments.</w:t>
      </w:r>
    </w:p>
    <w:p>
      <w:pPr>
        <w:spacing w:after="0" w:line="5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Collateral</w:t>
      </w:r>
    </w:p>
    <w:p>
      <w:pPr>
        <w:spacing w:after="0" w:line="104" w:lineRule="exact"/>
        <w:rPr>
          <w:sz w:val="20"/>
          <w:szCs w:val="20"/>
          <w:color w:val="auto"/>
        </w:rPr>
      </w:pPr>
    </w:p>
    <w:p>
      <w:pPr>
        <w:ind w:left="9" w:right="300" w:firstLine="272"/>
        <w:spacing w:after="0" w:line="278" w:lineRule="auto"/>
        <w:rPr>
          <w:sz w:val="20"/>
          <w:szCs w:val="20"/>
          <w:color w:val="auto"/>
        </w:rPr>
      </w:pPr>
      <w:r>
        <w:rPr>
          <w:rFonts w:ascii="Arial" w:cs="Arial" w:eastAsia="Arial" w:hAnsi="Arial"/>
          <w:sz w:val="15"/>
          <w:szCs w:val="15"/>
          <w:color w:val="auto"/>
        </w:rPr>
        <w:t>The following table lists selected assets on our consolidated balance sheet held as collateral for secured borrowings and other unencumbered assets which may be subject to a lien under various collateralized borrowings at June 30, 2021:</w:t>
      </w:r>
    </w:p>
    <w:p>
      <w:pPr>
        <w:spacing w:after="0" w:line="63"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2580" w:type="dxa"/>
            <w:vAlign w:val="bottom"/>
          </w:tcPr>
          <w:p>
            <w:pPr>
              <w:spacing w:after="0"/>
              <w:rPr>
                <w:sz w:val="20"/>
                <w:szCs w:val="20"/>
                <w:color w:val="auto"/>
              </w:rPr>
            </w:pPr>
            <w:r>
              <w:rPr>
                <w:rFonts w:ascii="Arial" w:cs="Arial" w:eastAsia="Arial" w:hAnsi="Arial"/>
                <w:sz w:val="15"/>
                <w:szCs w:val="15"/>
                <w:i w:val="1"/>
                <w:iCs w:val="1"/>
                <w:color w:val="auto"/>
              </w:rPr>
              <w:t>$ in millions</w:t>
            </w:r>
          </w:p>
        </w:tc>
        <w:tc>
          <w:tcPr>
            <w:tcW w:w="200" w:type="dxa"/>
            <w:vAlign w:val="bottom"/>
          </w:tcPr>
          <w:p>
            <w:pPr>
              <w:spacing w:after="0"/>
              <w:rPr>
                <w:sz w:val="14"/>
                <w:szCs w:val="14"/>
                <w:color w:val="auto"/>
              </w:rPr>
            </w:pPr>
          </w:p>
        </w:tc>
        <w:tc>
          <w:tcPr>
            <w:tcW w:w="1480" w:type="dxa"/>
            <w:vAlign w:val="bottom"/>
          </w:tcPr>
          <w:p>
            <w:pPr>
              <w:jc w:val="right"/>
              <w:ind w:right="444"/>
              <w:spacing w:after="0"/>
              <w:rPr>
                <w:sz w:val="20"/>
                <w:szCs w:val="20"/>
                <w:color w:val="auto"/>
              </w:rPr>
            </w:pPr>
            <w:r>
              <w:rPr>
                <w:rFonts w:ascii="Arial" w:cs="Arial" w:eastAsia="Arial" w:hAnsi="Arial"/>
                <w:sz w:val="15"/>
                <w:szCs w:val="15"/>
                <w:b w:val="1"/>
                <w:bCs w:val="1"/>
                <w:color w:val="auto"/>
              </w:rPr>
              <w:t>Total Assets</w:t>
            </w:r>
          </w:p>
        </w:tc>
        <w:tc>
          <w:tcPr>
            <w:tcW w:w="1280" w:type="dxa"/>
            <w:vAlign w:val="bottom"/>
          </w:tcPr>
          <w:p>
            <w:pPr>
              <w:jc w:val="right"/>
              <w:ind w:right="444"/>
              <w:spacing w:after="0"/>
              <w:rPr>
                <w:sz w:val="20"/>
                <w:szCs w:val="20"/>
                <w:color w:val="auto"/>
              </w:rPr>
            </w:pPr>
            <w:r>
              <w:rPr>
                <w:rFonts w:ascii="Arial" w:cs="Arial" w:eastAsia="Arial" w:hAnsi="Arial"/>
                <w:sz w:val="15"/>
                <w:szCs w:val="15"/>
                <w:b w:val="1"/>
                <w:bCs w:val="1"/>
                <w:color w:val="auto"/>
              </w:rPr>
              <w:t>Pledged</w:t>
            </w:r>
          </w:p>
        </w:tc>
        <w:tc>
          <w:tcPr>
            <w:tcW w:w="1620" w:type="dxa"/>
            <w:vAlign w:val="bottom"/>
          </w:tcPr>
          <w:p>
            <w:pPr>
              <w:jc w:val="right"/>
              <w:ind w:right="424"/>
              <w:spacing w:after="0"/>
              <w:rPr>
                <w:sz w:val="20"/>
                <w:szCs w:val="20"/>
                <w:color w:val="auto"/>
              </w:rPr>
            </w:pPr>
            <w:r>
              <w:rPr>
                <w:rFonts w:ascii="Arial" w:cs="Arial" w:eastAsia="Arial" w:hAnsi="Arial"/>
                <w:sz w:val="15"/>
                <w:szCs w:val="15"/>
                <w:b w:val="1"/>
                <w:bCs w:val="1"/>
                <w:color w:val="auto"/>
              </w:rPr>
              <w:t>Collateralized</w:t>
            </w:r>
          </w:p>
        </w:tc>
        <w:tc>
          <w:tcPr>
            <w:tcW w:w="112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Net (1)</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w w:val="92"/>
              </w:rPr>
              <w:t>Unencumbered Assets</w:t>
            </w:r>
          </w:p>
        </w:tc>
        <w:tc>
          <w:tcPr>
            <w:tcW w:w="280" w:type="dxa"/>
            <w:vAlign w:val="bottom"/>
          </w:tcPr>
          <w:p>
            <w:pPr>
              <w:spacing w:after="0"/>
              <w:rPr>
                <w:sz w:val="14"/>
                <w:szCs w:val="14"/>
                <w:color w:val="auto"/>
              </w:rPr>
            </w:pPr>
          </w:p>
        </w:tc>
        <w:tc>
          <w:tcPr>
            <w:tcW w:w="114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Total (1)</w:t>
            </w:r>
          </w:p>
        </w:tc>
        <w:tc>
          <w:tcPr>
            <w:tcW w:w="0" w:type="dxa"/>
            <w:vAlign w:val="bottom"/>
          </w:tcPr>
          <w:p>
            <w:pPr>
              <w:spacing w:after="0"/>
              <w:rPr>
                <w:sz w:val="1"/>
                <w:szCs w:val="1"/>
                <w:color w:val="auto"/>
              </w:rPr>
            </w:pPr>
          </w:p>
        </w:tc>
      </w:tr>
      <w:tr>
        <w:trPr>
          <w:trHeight w:val="193"/>
        </w:trPr>
        <w:tc>
          <w:tcPr>
            <w:tcW w:w="2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w w:val="97"/>
              </w:rPr>
              <w:t>(Consolidated)</w:t>
            </w:r>
          </w:p>
        </w:tc>
        <w:tc>
          <w:tcPr>
            <w:tcW w:w="128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Assets</w:t>
            </w:r>
          </w:p>
        </w:tc>
        <w:tc>
          <w:tcPr>
            <w:tcW w:w="16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Borrowings</w:t>
            </w:r>
          </w:p>
        </w:tc>
        <w:tc>
          <w:tcPr>
            <w:tcW w:w="11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(1)</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Cash</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243.6</w:t>
            </w:r>
          </w:p>
        </w:tc>
        <w:tc>
          <w:tcPr>
            <w:tcW w:w="12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243.6</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243.6</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6"/>
                <w:szCs w:val="16"/>
                <w:color w:val="auto"/>
              </w:rPr>
            </w:pPr>
          </w:p>
        </w:tc>
        <w:tc>
          <w:tcPr>
            <w:tcW w:w="1480" w:type="dxa"/>
            <w:vAlign w:val="bottom"/>
          </w:tcPr>
          <w:p>
            <w:pPr>
              <w:jc w:val="right"/>
              <w:ind w:right="164"/>
              <w:spacing w:after="0"/>
              <w:rPr>
                <w:sz w:val="20"/>
                <w:szCs w:val="20"/>
                <w:color w:val="auto"/>
              </w:rPr>
            </w:pPr>
            <w:r>
              <w:rPr>
                <w:rFonts w:ascii="Arial" w:cs="Arial" w:eastAsia="Arial" w:hAnsi="Arial"/>
                <w:sz w:val="15"/>
                <w:szCs w:val="15"/>
                <w:color w:val="auto"/>
              </w:rPr>
              <w:t>67.9</w:t>
            </w: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67.9</w:t>
            </w:r>
          </w:p>
        </w:tc>
        <w:tc>
          <w:tcPr>
            <w:tcW w:w="162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67.9</w:t>
            </w:r>
          </w:p>
        </w:tc>
        <w:tc>
          <w:tcPr>
            <w:tcW w:w="15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67.9</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Loans held for sale</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696.0</w:t>
            </w:r>
          </w:p>
        </w:tc>
        <w:tc>
          <w:tcPr>
            <w:tcW w:w="12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660.0</w:t>
            </w:r>
          </w:p>
        </w:tc>
        <w:tc>
          <w:tcPr>
            <w:tcW w:w="16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628.0</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32.0</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36.0</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20"/>
                <w:szCs w:val="20"/>
                <w:color w:val="auto"/>
              </w:rPr>
            </w:pPr>
            <w:r>
              <w:rPr>
                <w:rFonts w:ascii="Arial" w:cs="Arial" w:eastAsia="Arial" w:hAnsi="Arial"/>
                <w:sz w:val="15"/>
                <w:szCs w:val="15"/>
                <w:color w:val="auto"/>
                <w:w w:val="93"/>
              </w:rPr>
              <w:t>Loans held for investment - unsecuritized</w:t>
            </w:r>
          </w:p>
        </w:tc>
        <w:tc>
          <w:tcPr>
            <w:tcW w:w="200" w:type="dxa"/>
            <w:vAlign w:val="bottom"/>
          </w:tcPr>
          <w:p>
            <w:pPr>
              <w:spacing w:after="0"/>
              <w:rPr>
                <w:sz w:val="16"/>
                <w:szCs w:val="16"/>
                <w:color w:val="auto"/>
              </w:rPr>
            </w:pPr>
          </w:p>
        </w:tc>
        <w:tc>
          <w:tcPr>
            <w:tcW w:w="1480" w:type="dxa"/>
            <w:vAlign w:val="bottom"/>
          </w:tcPr>
          <w:p>
            <w:pPr>
              <w:jc w:val="right"/>
              <w:ind w:right="164"/>
              <w:spacing w:after="0"/>
              <w:rPr>
                <w:sz w:val="20"/>
                <w:szCs w:val="20"/>
                <w:color w:val="auto"/>
              </w:rPr>
            </w:pPr>
            <w:r>
              <w:rPr>
                <w:rFonts w:ascii="Arial" w:cs="Arial" w:eastAsia="Arial" w:hAnsi="Arial"/>
                <w:sz w:val="15"/>
                <w:szCs w:val="15"/>
                <w:color w:val="auto"/>
              </w:rPr>
              <w:t>183.8</w:t>
            </w: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139.5</w:t>
            </w:r>
          </w:p>
        </w:tc>
        <w:tc>
          <w:tcPr>
            <w:tcW w:w="1620" w:type="dxa"/>
            <w:vAlign w:val="bottom"/>
          </w:tcPr>
          <w:p>
            <w:pPr>
              <w:jc w:val="right"/>
              <w:ind w:right="204"/>
              <w:spacing w:after="0"/>
              <w:rPr>
                <w:sz w:val="20"/>
                <w:szCs w:val="20"/>
                <w:color w:val="auto"/>
              </w:rPr>
            </w:pPr>
            <w:r>
              <w:rPr>
                <w:rFonts w:ascii="Arial" w:cs="Arial" w:eastAsia="Arial" w:hAnsi="Arial"/>
                <w:sz w:val="15"/>
                <w:szCs w:val="15"/>
                <w:color w:val="auto"/>
              </w:rPr>
              <w:t>121.0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18.5</w:t>
            </w:r>
          </w:p>
        </w:tc>
        <w:tc>
          <w:tcPr>
            <w:tcW w:w="1560" w:type="dxa"/>
            <w:vAlign w:val="bottom"/>
          </w:tcPr>
          <w:p>
            <w:pPr>
              <w:jc w:val="right"/>
              <w:ind w:right="4"/>
              <w:spacing w:after="0"/>
              <w:rPr>
                <w:sz w:val="20"/>
                <w:szCs w:val="20"/>
                <w:color w:val="auto"/>
              </w:rPr>
            </w:pPr>
            <w:r>
              <w:rPr>
                <w:rFonts w:ascii="Arial" w:cs="Arial" w:eastAsia="Arial" w:hAnsi="Arial"/>
                <w:sz w:val="15"/>
                <w:szCs w:val="15"/>
                <w:color w:val="auto"/>
              </w:rPr>
              <w:t>44.3</w:t>
            </w:r>
          </w:p>
        </w:tc>
        <w:tc>
          <w:tcPr>
            <w:tcW w:w="28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MSR (2)</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1,536.9</w:t>
            </w:r>
          </w:p>
        </w:tc>
        <w:tc>
          <w:tcPr>
            <w:tcW w:w="12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1,536.9</w:t>
            </w:r>
          </w:p>
        </w:tc>
        <w:tc>
          <w:tcPr>
            <w:tcW w:w="16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928.7</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608.2</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608.2</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20"/>
                <w:szCs w:val="20"/>
                <w:color w:val="auto"/>
              </w:rPr>
            </w:pPr>
            <w:r>
              <w:rPr>
                <w:rFonts w:ascii="Arial" w:cs="Arial" w:eastAsia="Arial" w:hAnsi="Arial"/>
                <w:sz w:val="15"/>
                <w:szCs w:val="15"/>
                <w:color w:val="auto"/>
              </w:rPr>
              <w:t>Advances</w:t>
            </w:r>
          </w:p>
        </w:tc>
        <w:tc>
          <w:tcPr>
            <w:tcW w:w="200" w:type="dxa"/>
            <w:vAlign w:val="bottom"/>
          </w:tcPr>
          <w:p>
            <w:pPr>
              <w:spacing w:after="0"/>
              <w:rPr>
                <w:sz w:val="16"/>
                <w:szCs w:val="16"/>
                <w:color w:val="auto"/>
              </w:rPr>
            </w:pPr>
          </w:p>
        </w:tc>
        <w:tc>
          <w:tcPr>
            <w:tcW w:w="1480" w:type="dxa"/>
            <w:vAlign w:val="bottom"/>
          </w:tcPr>
          <w:p>
            <w:pPr>
              <w:jc w:val="right"/>
              <w:ind w:right="164"/>
              <w:spacing w:after="0"/>
              <w:rPr>
                <w:sz w:val="20"/>
                <w:szCs w:val="20"/>
                <w:color w:val="auto"/>
              </w:rPr>
            </w:pPr>
            <w:r>
              <w:rPr>
                <w:rFonts w:ascii="Arial" w:cs="Arial" w:eastAsia="Arial" w:hAnsi="Arial"/>
                <w:sz w:val="15"/>
                <w:szCs w:val="15"/>
                <w:color w:val="auto"/>
              </w:rPr>
              <w:t>762.0</w:t>
            </w: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638.3</w:t>
            </w:r>
          </w:p>
        </w:tc>
        <w:tc>
          <w:tcPr>
            <w:tcW w:w="1620" w:type="dxa"/>
            <w:vAlign w:val="bottom"/>
          </w:tcPr>
          <w:p>
            <w:pPr>
              <w:jc w:val="right"/>
              <w:ind w:right="204"/>
              <w:spacing w:after="0"/>
              <w:rPr>
                <w:sz w:val="20"/>
                <w:szCs w:val="20"/>
                <w:color w:val="auto"/>
              </w:rPr>
            </w:pPr>
            <w:r>
              <w:rPr>
                <w:rFonts w:ascii="Arial" w:cs="Arial" w:eastAsia="Arial" w:hAnsi="Arial"/>
                <w:sz w:val="15"/>
                <w:szCs w:val="15"/>
                <w:color w:val="auto"/>
              </w:rPr>
              <w:t>615.3</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23.0</w:t>
            </w:r>
          </w:p>
        </w:tc>
        <w:tc>
          <w:tcPr>
            <w:tcW w:w="1560" w:type="dxa"/>
            <w:vAlign w:val="bottom"/>
          </w:tcPr>
          <w:p>
            <w:pPr>
              <w:jc w:val="right"/>
              <w:ind w:right="4"/>
              <w:spacing w:after="0"/>
              <w:rPr>
                <w:sz w:val="20"/>
                <w:szCs w:val="20"/>
                <w:color w:val="auto"/>
              </w:rPr>
            </w:pPr>
            <w:r>
              <w:rPr>
                <w:rFonts w:ascii="Arial" w:cs="Arial" w:eastAsia="Arial" w:hAnsi="Arial"/>
                <w:sz w:val="15"/>
                <w:szCs w:val="15"/>
                <w:color w:val="auto"/>
              </w:rPr>
              <w:t>123.7</w:t>
            </w:r>
          </w:p>
        </w:tc>
        <w:tc>
          <w:tcPr>
            <w:tcW w:w="28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Receivables, net</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165.2</w:t>
            </w:r>
          </w:p>
        </w:tc>
        <w:tc>
          <w:tcPr>
            <w:tcW w:w="12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30.9</w:t>
            </w:r>
          </w:p>
        </w:tc>
        <w:tc>
          <w:tcPr>
            <w:tcW w:w="16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20.9</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134.3</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REO</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8.4</w:t>
            </w: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6.1</w:t>
            </w:r>
          </w:p>
        </w:tc>
        <w:tc>
          <w:tcPr>
            <w:tcW w:w="16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3.4</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w:t>
            </w: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Total - Consolidated (3)</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3,663.8</w:t>
            </w:r>
          </w:p>
        </w:tc>
        <w:tc>
          <w:tcPr>
            <w:tcW w:w="1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3,079.6</w:t>
            </w:r>
          </w:p>
        </w:tc>
        <w:tc>
          <w:tcPr>
            <w:tcW w:w="162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2,317.4</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762.2</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584.2</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1,346.4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269" w:hanging="269"/>
        <w:spacing w:after="0"/>
        <w:tabs>
          <w:tab w:leader="none" w:pos="269" w:val="left"/>
        </w:tabs>
        <w:numPr>
          <w:ilvl w:val="0"/>
          <w:numId w:val="61"/>
        </w:numPr>
        <w:rPr>
          <w:rFonts w:ascii="Arial" w:cs="Arial" w:eastAsia="Arial" w:hAnsi="Arial"/>
          <w:sz w:val="14"/>
          <w:szCs w:val="14"/>
          <w:color w:val="auto"/>
        </w:rPr>
      </w:pPr>
      <w:r>
        <w:rPr>
          <w:rFonts w:ascii="Arial" w:cs="Arial" w:eastAsia="Arial" w:hAnsi="Arial"/>
          <w:sz w:val="14"/>
          <w:szCs w:val="14"/>
          <w:color w:val="auto"/>
        </w:rPr>
        <w:t>Certain assets are pledged as collateral to the $400.0 million PMC Senior Secured Notes and $285.0 million OFC Senior Secured (second lien) Notes.</w:t>
      </w:r>
    </w:p>
    <w:p>
      <w:pPr>
        <w:spacing w:after="0" w:line="9" w:lineRule="exact"/>
        <w:rPr>
          <w:rFonts w:ascii="Arial" w:cs="Arial" w:eastAsia="Arial" w:hAnsi="Arial"/>
          <w:sz w:val="14"/>
          <w:szCs w:val="14"/>
          <w:color w:val="auto"/>
        </w:rPr>
      </w:pPr>
    </w:p>
    <w:p>
      <w:pPr>
        <w:ind w:left="269" w:hanging="269"/>
        <w:spacing w:after="0" w:line="236" w:lineRule="auto"/>
        <w:tabs>
          <w:tab w:leader="none" w:pos="269" w:val="left"/>
        </w:tabs>
        <w:numPr>
          <w:ilvl w:val="0"/>
          <w:numId w:val="61"/>
        </w:numPr>
        <w:rPr>
          <w:rFonts w:ascii="Arial" w:cs="Arial" w:eastAsia="Arial" w:hAnsi="Arial"/>
          <w:sz w:val="14"/>
          <w:szCs w:val="14"/>
          <w:color w:val="auto"/>
        </w:rPr>
      </w:pPr>
      <w:r>
        <w:rPr>
          <w:rFonts w:ascii="Arial" w:cs="Arial" w:eastAsia="Arial" w:hAnsi="Arial"/>
          <w:sz w:val="14"/>
          <w:szCs w:val="14"/>
          <w:color w:val="auto"/>
        </w:rPr>
        <w:t>Excludes MSR pledged to NRZ and associated pledged MSR liability recorded as sale accounting criteria are not met.</w:t>
      </w:r>
    </w:p>
    <w:p>
      <w:pPr>
        <w:ind w:left="269" w:right="240" w:hanging="269"/>
        <w:spacing w:after="0" w:line="238" w:lineRule="auto"/>
        <w:tabs>
          <w:tab w:leader="none" w:pos="269"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total of selected assets disclosed in the above table does not represent the total consolidated assets of Ocwen. For example, the total excludes reverse mortgage loans, premises and equipment and certain other assets.</w:t>
      </w:r>
    </w:p>
    <w:p>
      <w:pPr>
        <w:spacing w:after="0" w:line="75" w:lineRule="exact"/>
        <w:rPr>
          <w:sz w:val="20"/>
          <w:szCs w:val="20"/>
          <w:color w:val="auto"/>
        </w:rPr>
      </w:pPr>
    </w:p>
    <w:p>
      <w:pPr>
        <w:ind w:left="9" w:right="140" w:firstLine="272"/>
        <w:spacing w:after="0" w:line="285" w:lineRule="auto"/>
        <w:rPr>
          <w:sz w:val="20"/>
          <w:szCs w:val="20"/>
          <w:color w:val="auto"/>
        </w:rPr>
      </w:pPr>
      <w:r>
        <w:rPr>
          <w:rFonts w:ascii="Arial" w:cs="Arial" w:eastAsia="Arial" w:hAnsi="Arial"/>
          <w:sz w:val="14"/>
          <w:szCs w:val="14"/>
          <w:color w:val="auto"/>
        </w:rPr>
        <w:t>In addition, as part of our reverse mortgage securitization activities, $6.9 billion in UPB of reverse mortgage loans and real estate owned was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spacing w:after="0" w:line="52" w:lineRule="exact"/>
        <w:rPr>
          <w:sz w:val="20"/>
          <w:szCs w:val="20"/>
          <w:color w:val="auto"/>
        </w:rPr>
      </w:pPr>
    </w:p>
    <w:p>
      <w:pPr>
        <w:ind w:left="9" w:right="180" w:firstLine="272"/>
        <w:spacing w:after="0" w:line="292" w:lineRule="auto"/>
        <w:rPr>
          <w:sz w:val="20"/>
          <w:szCs w:val="20"/>
          <w:color w:val="auto"/>
        </w:rPr>
      </w:pPr>
      <w:r>
        <w:rPr>
          <w:rFonts w:ascii="Arial" w:cs="Arial" w:eastAsia="Arial" w:hAnsi="Arial"/>
          <w:sz w:val="14"/>
          <w:szCs w:val="14"/>
          <w:color w:val="auto"/>
        </w:rPr>
        <w:t>The OFC Senior Secured Notes due 2027 have a second lien priority on specified assets carried on PMC’s balance sheet, as defined under the OFC Senior Secured Note Agreement and listed in the table below, and have a priority lien on the following assets: investments by our holding company in subsidiaries not guaranteeing the $400.0 million PMC Senior Secured Notes, including PHH and MAV; cash and investment accounts at the holding company; and certain other assets, including receivables.</w:t>
      </w:r>
    </w:p>
    <w:p>
      <w:pPr>
        <w:spacing w:after="0" w:line="78" w:lineRule="exact"/>
        <w:rPr>
          <w:sz w:val="20"/>
          <w:szCs w:val="20"/>
          <w:color w:val="auto"/>
        </w:rPr>
      </w:pPr>
    </w:p>
    <w:tbl>
      <w:tblPr>
        <w:tblLayout w:type="fixed"/>
        <w:tblInd w:w="269" w:type="dxa"/>
        <w:tblCellMar>
          <w:top w:w="0" w:type="dxa"/>
          <w:left w:w="0" w:type="dxa"/>
          <w:bottom w:w="0" w:type="dxa"/>
          <w:right w:w="0" w:type="dxa"/>
        </w:tblCellMar>
      </w:tblPr>
      <w:tr>
        <w:trPr>
          <w:trHeight w:val="195"/>
        </w:trPr>
        <w:tc>
          <w:tcPr>
            <w:tcW w:w="9360" w:type="dxa"/>
            <w:vAlign w:val="bottom"/>
            <w:tcBorders>
              <w:bottom w:val="single" w:sz="8" w:color="CCEEFF"/>
            </w:tcBorders>
          </w:tcPr>
          <w:p>
            <w:pPr>
              <w:ind w:left="300"/>
              <w:spacing w:after="0"/>
              <w:rPr>
                <w:sz w:val="20"/>
                <w:szCs w:val="20"/>
                <w:color w:val="auto"/>
              </w:rPr>
            </w:pPr>
            <w:r>
              <w:rPr>
                <w:rFonts w:ascii="Arial" w:cs="Arial" w:eastAsia="Arial" w:hAnsi="Arial"/>
                <w:sz w:val="15"/>
                <w:szCs w:val="15"/>
                <w:i w:val="1"/>
                <w:iCs w:val="1"/>
                <w:color w:val="auto"/>
              </w:rPr>
              <w:t>$ in millions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As of June 30, 2021</w:t>
            </w:r>
          </w:p>
        </w:tc>
      </w:tr>
      <w:tr>
        <w:trPr>
          <w:trHeight w:val="185"/>
        </w:trPr>
        <w:tc>
          <w:tcPr>
            <w:tcW w:w="9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Specified net servicing advances</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150.6</w:t>
            </w:r>
          </w:p>
        </w:tc>
      </w:tr>
      <w:tr>
        <w:trPr>
          <w:trHeight w:val="192"/>
        </w:trPr>
        <w:tc>
          <w:tcPr>
            <w:tcW w:w="9360" w:type="dxa"/>
            <w:vAlign w:val="bottom"/>
          </w:tcPr>
          <w:p>
            <w:pPr>
              <w:ind w:left="300"/>
              <w:spacing w:after="0"/>
              <w:rPr>
                <w:sz w:val="20"/>
                <w:szCs w:val="20"/>
                <w:color w:val="auto"/>
              </w:rPr>
            </w:pPr>
            <w:r>
              <w:rPr>
                <w:rFonts w:ascii="Arial" w:cs="Arial" w:eastAsia="Arial" w:hAnsi="Arial"/>
                <w:sz w:val="15"/>
                <w:szCs w:val="15"/>
                <w:color w:val="auto"/>
              </w:rPr>
              <w:t>Specified deferred servicing fee</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9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Specified MSR value less borrowings</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644.0</w:t>
            </w:r>
          </w:p>
        </w:tc>
      </w:tr>
      <w:tr>
        <w:trPr>
          <w:trHeight w:val="192"/>
        </w:trPr>
        <w:tc>
          <w:tcPr>
            <w:tcW w:w="9360" w:type="dxa"/>
            <w:vAlign w:val="bottom"/>
          </w:tcPr>
          <w:p>
            <w:pPr>
              <w:ind w:left="300"/>
              <w:spacing w:after="0"/>
              <w:rPr>
                <w:sz w:val="20"/>
                <w:szCs w:val="20"/>
                <w:color w:val="auto"/>
              </w:rPr>
            </w:pPr>
            <w:r>
              <w:rPr>
                <w:rFonts w:ascii="Arial" w:cs="Arial" w:eastAsia="Arial" w:hAnsi="Arial"/>
                <w:sz w:val="15"/>
                <w:szCs w:val="15"/>
                <w:color w:val="auto"/>
              </w:rPr>
              <w:t>Specified unrestricted cash balances (1)</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9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Specified advance facility reserves</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r>
      <w:tr>
        <w:trPr>
          <w:trHeight w:val="192"/>
        </w:trPr>
        <w:tc>
          <w:tcPr>
            <w:tcW w:w="9360" w:type="dxa"/>
            <w:vAlign w:val="bottom"/>
          </w:tcPr>
          <w:p>
            <w:pPr>
              <w:ind w:left="300"/>
              <w:spacing w:after="0"/>
              <w:rPr>
                <w:sz w:val="20"/>
                <w:szCs w:val="20"/>
                <w:color w:val="auto"/>
              </w:rPr>
            </w:pPr>
            <w:r>
              <w:rPr>
                <w:rFonts w:ascii="Arial" w:cs="Arial" w:eastAsia="Arial" w:hAnsi="Arial"/>
                <w:sz w:val="15"/>
                <w:szCs w:val="15"/>
                <w:color w:val="auto"/>
              </w:rPr>
              <w:t>Specified loan value</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128.3</w:t>
            </w:r>
          </w:p>
        </w:tc>
      </w:tr>
      <w:tr>
        <w:trPr>
          <w:trHeight w:val="194"/>
        </w:trPr>
        <w:tc>
          <w:tcPr>
            <w:tcW w:w="9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Specified residual value</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w:t>
            </w:r>
          </w:p>
        </w:tc>
      </w:tr>
      <w:tr>
        <w:trPr>
          <w:trHeight w:val="192"/>
        </w:trPr>
        <w:tc>
          <w:tcPr>
            <w:tcW w:w="93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Specified fair value of marketable securities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 Value - PMC (1)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1,003.5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69" w:hanging="269"/>
        <w:spacing w:after="0"/>
        <w:tabs>
          <w:tab w:leader="none" w:pos="269" w:val="left"/>
        </w:tabs>
        <w:numPr>
          <w:ilvl w:val="0"/>
          <w:numId w:val="62"/>
        </w:numPr>
        <w:rPr>
          <w:rFonts w:ascii="Arial" w:cs="Arial" w:eastAsia="Arial" w:hAnsi="Arial"/>
          <w:sz w:val="14"/>
          <w:szCs w:val="14"/>
          <w:color w:val="auto"/>
        </w:rPr>
      </w:pPr>
      <w:r>
        <w:rPr>
          <w:rFonts w:ascii="Arial" w:cs="Arial" w:eastAsia="Arial" w:hAnsi="Arial"/>
          <w:sz w:val="14"/>
          <w:szCs w:val="14"/>
          <w:color w:val="auto"/>
        </w:rPr>
        <w:t>Unrestricted cash was not subject to a priority lien as of June 30, 2021 under the PMC Senior Secured Note agreement.</w:t>
      </w:r>
    </w:p>
    <w:p>
      <w:pPr>
        <w:spacing w:after="0" w:line="82" w:lineRule="exact"/>
        <w:rPr>
          <w:rFonts w:ascii="Arial" w:cs="Arial" w:eastAsia="Arial" w:hAnsi="Arial"/>
          <w:sz w:val="14"/>
          <w:szCs w:val="14"/>
          <w:color w:val="auto"/>
        </w:rPr>
      </w:pPr>
    </w:p>
    <w:p>
      <w:pPr>
        <w:ind w:left="9"/>
        <w:spacing w:after="0"/>
        <w:rPr>
          <w:rFonts w:ascii="Arial" w:cs="Arial" w:eastAsia="Arial" w:hAnsi="Arial"/>
          <w:sz w:val="14"/>
          <w:szCs w:val="14"/>
          <w:color w:val="auto"/>
        </w:rPr>
      </w:pPr>
      <w:r>
        <w:rPr>
          <w:rFonts w:ascii="Arial" w:cs="Arial" w:eastAsia="Arial" w:hAnsi="Arial"/>
          <w:sz w:val="15"/>
          <w:szCs w:val="15"/>
          <w:b w:val="1"/>
          <w:bCs w:val="1"/>
          <w:color w:val="auto"/>
        </w:rPr>
        <w:t>Covenants</w:t>
      </w:r>
    </w:p>
    <w:p>
      <w:pPr>
        <w:spacing w:after="0" w:line="104" w:lineRule="exact"/>
        <w:rPr>
          <w:sz w:val="20"/>
          <w:szCs w:val="20"/>
          <w:color w:val="auto"/>
        </w:rPr>
      </w:pPr>
    </w:p>
    <w:p>
      <w:pPr>
        <w:jc w:val="both"/>
        <w:ind w:left="9" w:right="420" w:firstLine="272"/>
        <w:spacing w:after="0" w:line="265" w:lineRule="auto"/>
        <w:rPr>
          <w:sz w:val="20"/>
          <w:szCs w:val="20"/>
          <w:color w:val="auto"/>
        </w:rPr>
      </w:pPr>
      <w:r>
        <w:rPr>
          <w:rFonts w:ascii="Arial" w:cs="Arial" w:eastAsia="Arial" w:hAnsi="Arial"/>
          <w:sz w:val="15"/>
          <w:szCs w:val="15"/>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w:t>
      </w:r>
    </w:p>
    <w:p>
      <w:pPr>
        <w:spacing w:after="0" w:line="200" w:lineRule="exact"/>
        <w:rPr>
          <w:sz w:val="20"/>
          <w:szCs w:val="20"/>
          <w:color w:val="auto"/>
        </w:rPr>
      </w:pPr>
    </w:p>
    <w:p>
      <w:pPr>
        <w:spacing w:after="0" w:line="238"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349"/>
          </w:cols>
          <w:pgMar w:left="311" w:top="821" w:right="239" w:bottom="1440" w:gutter="0" w:footer="0" w:header="0"/>
        </w:sectPr>
      </w:pPr>
    </w:p>
    <w:bookmarkStart w:id="95" w:name="page96"/>
    <w:bookmarkEnd w:id="95"/>
    <w:p>
      <w:pPr>
        <w:ind w:right="80"/>
        <w:spacing w:after="0" w:line="276" w:lineRule="auto"/>
        <w:rPr>
          <w:sz w:val="20"/>
          <w:szCs w:val="20"/>
          <w:color w:val="auto"/>
        </w:rPr>
      </w:pPr>
      <w:r>
        <w:rPr>
          <w:rFonts w:ascii="Arial" w:cs="Arial" w:eastAsia="Arial" w:hAnsi="Arial"/>
          <w:sz w:val="14"/>
          <w:szCs w:val="14"/>
          <w:color w:val="auto"/>
        </w:rPr>
        <w:t>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12 – Borrowings for additional information regarding our covenants. The most restrictive liquidity requirement under our debt agreements is for a minimum of $125.0 million in consolidated liquidity, as defined, under certain of our advance match funded debt and MSR financing facilities agreements. At June 30, 2021, we held unrestricted cash in excess of this minimum amount.</w:t>
      </w:r>
    </w:p>
    <w:p>
      <w:pPr>
        <w:spacing w:after="0" w:line="58" w:lineRule="exact"/>
        <w:rPr>
          <w:sz w:val="20"/>
          <w:szCs w:val="20"/>
          <w:color w:val="auto"/>
        </w:rPr>
      </w:pPr>
    </w:p>
    <w:p>
      <w:pPr>
        <w:ind w:right="140" w:firstLine="272"/>
        <w:spacing w:after="0" w:line="258" w:lineRule="auto"/>
        <w:rPr>
          <w:sz w:val="20"/>
          <w:szCs w:val="20"/>
          <w:color w:val="auto"/>
        </w:rPr>
      </w:pPr>
      <w:r>
        <w:rPr>
          <w:rFonts w:ascii="Arial" w:cs="Arial" w:eastAsia="Arial" w:hAnsi="Arial"/>
          <w:sz w:val="15"/>
          <w:szCs w:val="15"/>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the date this Quarterly Report on Form 10-Q is filed with the SEC.</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Ratings</w:t>
      </w:r>
    </w:p>
    <w:p>
      <w:pPr>
        <w:spacing w:after="0" w:line="104" w:lineRule="exact"/>
        <w:rPr>
          <w:sz w:val="20"/>
          <w:szCs w:val="20"/>
          <w:color w:val="auto"/>
        </w:rPr>
      </w:pPr>
    </w:p>
    <w:p>
      <w:pPr>
        <w:jc w:val="both"/>
        <w:ind w:right="80" w:firstLine="272"/>
        <w:spacing w:after="0" w:line="265" w:lineRule="auto"/>
        <w:rPr>
          <w:sz w:val="20"/>
          <w:szCs w:val="20"/>
          <w:color w:val="auto"/>
        </w:rPr>
      </w:pPr>
      <w:r>
        <w:rPr>
          <w:rFonts w:ascii="Arial" w:cs="Arial" w:eastAsia="Arial" w:hAnsi="Arial"/>
          <w:sz w:val="15"/>
          <w:szCs w:val="15"/>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Borders>
              <w:bottom w:val="single" w:sz="8" w:color="auto"/>
            </w:tcBorders>
          </w:tcPr>
          <w:p>
            <w:pPr>
              <w:ind w:left="1520"/>
              <w:spacing w:after="0"/>
              <w:rPr>
                <w:sz w:val="20"/>
                <w:szCs w:val="20"/>
                <w:color w:val="auto"/>
              </w:rPr>
            </w:pPr>
            <w:r>
              <w:rPr>
                <w:rFonts w:ascii="Arial" w:cs="Arial" w:eastAsia="Arial" w:hAnsi="Arial"/>
                <w:sz w:val="15"/>
                <w:szCs w:val="15"/>
                <w:b w:val="1"/>
                <w:bCs w:val="1"/>
                <w:color w:val="auto"/>
              </w:rPr>
              <w:t>Rating Agency</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Long-term Corporate Rating</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Review Status / Outlook</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Date of last action</w:t>
            </w:r>
          </w:p>
        </w:tc>
      </w:tr>
      <w:tr>
        <w:trPr>
          <w:trHeight w:val="185"/>
        </w:trPr>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Moody’s</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Caa1</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Stable</w:t>
            </w:r>
          </w:p>
        </w:tc>
        <w:tc>
          <w:tcPr>
            <w:tcW w:w="2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February 24, 2021</w:t>
            </w:r>
          </w:p>
        </w:tc>
      </w:tr>
      <w:tr>
        <w:trPr>
          <w:trHeight w:val="191"/>
        </w:trPr>
        <w:tc>
          <w:tcPr>
            <w:tcW w:w="4080" w:type="dxa"/>
            <w:vAlign w:val="bottom"/>
            <w:gridSpan w:val="2"/>
          </w:tcPr>
          <w:p>
            <w:pPr>
              <w:spacing w:after="0"/>
              <w:rPr>
                <w:sz w:val="20"/>
                <w:szCs w:val="20"/>
                <w:color w:val="auto"/>
              </w:rPr>
            </w:pPr>
            <w:r>
              <w:rPr>
                <w:rFonts w:ascii="Arial" w:cs="Arial" w:eastAsia="Arial" w:hAnsi="Arial"/>
                <w:sz w:val="15"/>
                <w:szCs w:val="15"/>
                <w:color w:val="auto"/>
              </w:rPr>
              <w:t>S&amp;P</w:t>
            </w:r>
          </w:p>
        </w:tc>
        <w:tc>
          <w:tcPr>
            <w:tcW w:w="2380" w:type="dxa"/>
            <w:vAlign w:val="bottom"/>
            <w:gridSpan w:val="2"/>
          </w:tcPr>
          <w:p>
            <w:pPr>
              <w:jc w:val="center"/>
              <w:ind w:right="100"/>
              <w:spacing w:after="0"/>
              <w:rPr>
                <w:sz w:val="20"/>
                <w:szCs w:val="20"/>
                <w:color w:val="auto"/>
              </w:rPr>
            </w:pPr>
            <w:r>
              <w:rPr>
                <w:rFonts w:ascii="Arial" w:cs="Arial" w:eastAsia="Arial" w:hAnsi="Arial"/>
                <w:sz w:val="15"/>
                <w:szCs w:val="15"/>
                <w:color w:val="auto"/>
              </w:rPr>
              <w:t>B-</w:t>
            </w:r>
          </w:p>
        </w:tc>
        <w:tc>
          <w:tcPr>
            <w:tcW w:w="2380" w:type="dxa"/>
            <w:vAlign w:val="bottom"/>
            <w:gridSpan w:val="2"/>
          </w:tcPr>
          <w:p>
            <w:pPr>
              <w:jc w:val="center"/>
              <w:ind w:right="120"/>
              <w:spacing w:after="0"/>
              <w:rPr>
                <w:sz w:val="20"/>
                <w:szCs w:val="20"/>
                <w:color w:val="auto"/>
              </w:rPr>
            </w:pPr>
            <w:r>
              <w:rPr>
                <w:rFonts w:ascii="Arial" w:cs="Arial" w:eastAsia="Arial" w:hAnsi="Arial"/>
                <w:sz w:val="15"/>
                <w:szCs w:val="15"/>
                <w:color w:val="auto"/>
                <w:w w:val="89"/>
              </w:rPr>
              <w:t>Stable</w:t>
            </w:r>
          </w:p>
        </w:tc>
        <w:tc>
          <w:tcPr>
            <w:tcW w:w="2280" w:type="dxa"/>
            <w:vAlign w:val="bottom"/>
          </w:tcPr>
          <w:p>
            <w:pPr>
              <w:jc w:val="center"/>
              <w:spacing w:after="0"/>
              <w:rPr>
                <w:sz w:val="20"/>
                <w:szCs w:val="20"/>
                <w:color w:val="auto"/>
              </w:rPr>
            </w:pPr>
            <w:r>
              <w:rPr>
                <w:rFonts w:ascii="Arial" w:cs="Arial" w:eastAsia="Arial" w:hAnsi="Arial"/>
                <w:sz w:val="15"/>
                <w:szCs w:val="15"/>
                <w:color w:val="auto"/>
                <w:w w:val="91"/>
              </w:rPr>
              <w:t>February 24, 2021</w:t>
            </w:r>
          </w:p>
        </w:tc>
      </w:tr>
    </w:tbl>
    <w:p>
      <w:pPr>
        <w:spacing w:after="0" w:line="150" w:lineRule="exact"/>
        <w:rPr>
          <w:sz w:val="20"/>
          <w:szCs w:val="20"/>
          <w:color w:val="auto"/>
        </w:rPr>
      </w:pPr>
    </w:p>
    <w:p>
      <w:pPr>
        <w:ind w:right="220" w:firstLine="272"/>
        <w:spacing w:after="0" w:line="285" w:lineRule="auto"/>
        <w:rPr>
          <w:sz w:val="20"/>
          <w:szCs w:val="20"/>
          <w:color w:val="auto"/>
        </w:rPr>
      </w:pPr>
      <w:r>
        <w:rPr>
          <w:rFonts w:ascii="Arial" w:cs="Arial" w:eastAsia="Arial" w:hAnsi="Arial"/>
          <w:sz w:val="14"/>
          <w:szCs w:val="14"/>
          <w:color w:val="auto"/>
        </w:rPr>
        <w:t>On February 24, 2021, concurrent with the launch of the $400.0 million PMC Senior Secured Notes offering, both Moody’s and S&amp;P reaffirmed the corporate ratings at Caa1 and B-, respectively. In addition, both agencies revised the outlook of the corporate ratings to Stable from Negative. This change in outlook was driven by the elimination of the short debt maturity runway and refinancing risk, which was listed as an area of concern by both Moody’s and S&amp;P. It is possible that additional actions by credit rating agencies could have a material adverse impact on our liquidity and funding position, including materially changing the terms on which we may be able to borrow money.</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104" w:lineRule="exact"/>
        <w:rPr>
          <w:sz w:val="20"/>
          <w:szCs w:val="20"/>
          <w:color w:val="auto"/>
        </w:rPr>
      </w:pPr>
    </w:p>
    <w:p>
      <w:pPr>
        <w:ind w:right="40" w:firstLine="272"/>
        <w:spacing w:after="0" w:line="258" w:lineRule="auto"/>
        <w:rPr>
          <w:sz w:val="20"/>
          <w:szCs w:val="20"/>
          <w:color w:val="auto"/>
        </w:rPr>
      </w:pPr>
      <w:r>
        <w:rPr>
          <w:rFonts w:ascii="Arial" w:cs="Arial" w:eastAsia="Arial" w:hAnsi="Arial"/>
          <w:sz w:val="15"/>
          <w:szCs w:val="15"/>
          <w:color w:val="auto"/>
        </w:rPr>
        <w:t>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 of MSRs through flow purchase agreements, Agency Cash Window and bulk acquisitions as investing activity. MSR investments represent a key indicator of our ability to generate future income in our Servicing business, together with originated MSR. We classify changes in HECM loans held for investment as investing activity, changes in the related HMBS borrowings as financing activity.</w:t>
      </w:r>
    </w:p>
    <w:p>
      <w:pPr>
        <w:spacing w:after="0" w:line="71" w:lineRule="exact"/>
        <w:rPr>
          <w:sz w:val="20"/>
          <w:szCs w:val="20"/>
          <w:color w:val="auto"/>
        </w:rPr>
      </w:pPr>
    </w:p>
    <w:p>
      <w:pPr>
        <w:ind w:firstLine="272"/>
        <w:spacing w:after="0" w:line="257" w:lineRule="auto"/>
        <w:rPr>
          <w:sz w:val="20"/>
          <w:szCs w:val="20"/>
          <w:color w:val="auto"/>
        </w:rPr>
      </w:pPr>
      <w:r>
        <w:rPr>
          <w:rFonts w:ascii="Arial" w:cs="Arial" w:eastAsia="Arial" w:hAnsi="Arial"/>
          <w:sz w:val="15"/>
          <w:szCs w:val="15"/>
          <w:color w:val="auto"/>
        </w:rPr>
        <w:t>Our NRZ agreements have a significant impact on our liquidity and consolidated statements of cash flows. Because the lump-sum payments we received in connection with our 2017 Agreements and New RMSR Agreements were recorded as secured financings, additions to, and reductions in, the balance of those secured financings were recognized as financing activity in our consolidated statements of cash flows through April 2020.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three and six months ended June 30, 2020 includes $10.0 million and $35.1 million, respectively, of such cash flows and they were offset by corresponding amounts in net cash used in financing activities in the same periods.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1"/>
        </w:trPr>
        <w:tc>
          <w:tcPr>
            <w:tcW w:w="7940" w:type="dxa"/>
            <w:vAlign w:val="bottom"/>
          </w:tcPr>
          <w:p>
            <w:pPr>
              <w:ind w:left="260"/>
              <w:spacing w:after="0"/>
              <w:rPr>
                <w:sz w:val="20"/>
                <w:szCs w:val="20"/>
                <w:color w:val="auto"/>
              </w:rPr>
            </w:pPr>
            <w:r>
              <w:rPr>
                <w:rFonts w:ascii="Arial" w:cs="Arial" w:eastAsia="Arial" w:hAnsi="Arial"/>
                <w:sz w:val="15"/>
                <w:szCs w:val="15"/>
                <w:color w:val="auto"/>
              </w:rPr>
              <w:t>Our cash flows may be summarized as follows: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07"/>
        </w:trPr>
        <w:tc>
          <w:tcPr>
            <w:tcW w:w="7940" w:type="dxa"/>
            <w:vAlign w:val="bottom"/>
          </w:tcPr>
          <w:p>
            <w:pPr>
              <w:ind w:left="100"/>
              <w:spacing w:after="0"/>
              <w:rPr>
                <w:sz w:val="20"/>
                <w:szCs w:val="20"/>
                <w:color w:val="auto"/>
              </w:rPr>
            </w:pPr>
            <w:r>
              <w:rPr>
                <w:rFonts w:ascii="Arial" w:cs="Arial" w:eastAsia="Arial" w:hAnsi="Arial"/>
                <w:sz w:val="15"/>
                <w:szCs w:val="15"/>
                <w:b w:val="1"/>
                <w:bCs w:val="1"/>
                <w:i w:val="1"/>
                <w:iCs w:val="1"/>
                <w:color w:val="auto"/>
              </w:rPr>
              <w:t>$ in millions</w:t>
            </w: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5"/>
                <w:szCs w:val="15"/>
                <w:b w:val="1"/>
                <w:bCs w:val="1"/>
                <w:color w:val="auto"/>
                <w:w w:val="98"/>
              </w:rPr>
              <w:t>For the Six Months Ended June 30,</w:t>
            </w:r>
          </w:p>
        </w:tc>
      </w:tr>
      <w:tr>
        <w:trPr>
          <w:trHeight w:val="185"/>
        </w:trPr>
        <w:tc>
          <w:tcPr>
            <w:tcW w:w="7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r>
      <w:tr>
        <w:trPr>
          <w:trHeight w:val="184"/>
        </w:trPr>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provided by operating activities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(216)</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225</w:t>
            </w:r>
          </w:p>
        </w:tc>
      </w:tr>
      <w:tr>
        <w:trPr>
          <w:trHeight w:val="192"/>
        </w:trPr>
        <w:tc>
          <w:tcPr>
            <w:tcW w:w="794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(722)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(243)</w:t>
            </w:r>
          </w:p>
        </w:tc>
      </w:tr>
      <w:tr>
        <w:trPr>
          <w:trHeight w:val="194"/>
        </w:trPr>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financing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893</w:t>
            </w:r>
          </w:p>
        </w:tc>
        <w:tc>
          <w:tcPr>
            <w:tcW w:w="1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(96)</w:t>
            </w:r>
          </w:p>
        </w:tc>
      </w:tr>
      <w:tr>
        <w:trPr>
          <w:trHeight w:val="184"/>
        </w:trPr>
        <w:tc>
          <w:tcPr>
            <w:tcW w:w="7940" w:type="dxa"/>
            <w:vAlign w:val="bottom"/>
          </w:tcPr>
          <w:p>
            <w:pPr>
              <w:spacing w:after="0"/>
              <w:rPr>
                <w:sz w:val="20"/>
                <w:szCs w:val="20"/>
                <w:color w:val="auto"/>
              </w:rPr>
            </w:pPr>
            <w:r>
              <w:rPr>
                <w:rFonts w:ascii="Arial" w:cs="Arial" w:eastAsia="Arial" w:hAnsi="Arial"/>
                <w:sz w:val="15"/>
                <w:szCs w:val="15"/>
                <w:color w:val="auto"/>
              </w:rPr>
              <w:t>Net decrease in cash, cash equivalents and restricted cash</w:t>
            </w:r>
          </w:p>
        </w:tc>
        <w:tc>
          <w:tcPr>
            <w:tcW w:w="280" w:type="dxa"/>
            <w:vAlign w:val="bottom"/>
          </w:tcPr>
          <w:p>
            <w:pPr>
              <w:spacing w:after="0"/>
              <w:rPr>
                <w:sz w:val="15"/>
                <w:szCs w:val="15"/>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(46)</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(115)</w:t>
            </w:r>
          </w:p>
        </w:tc>
      </w:tr>
      <w:tr>
        <w:trPr>
          <w:trHeight w:val="219"/>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312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378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for the six months ended June 30, 2021</w:t>
      </w:r>
    </w:p>
    <w:p>
      <w:pPr>
        <w:spacing w:after="0" w:line="100" w:lineRule="exact"/>
        <w:rPr>
          <w:sz w:val="20"/>
          <w:szCs w:val="20"/>
          <w:color w:val="auto"/>
        </w:rPr>
      </w:pPr>
    </w:p>
    <w:p>
      <w:pPr>
        <w:jc w:val="both"/>
        <w:ind w:right="80" w:firstLine="272"/>
        <w:spacing w:after="0" w:line="278" w:lineRule="auto"/>
        <w:rPr>
          <w:sz w:val="20"/>
          <w:szCs w:val="20"/>
          <w:color w:val="auto"/>
        </w:rPr>
      </w:pPr>
      <w:r>
        <w:rPr>
          <w:rFonts w:ascii="Arial" w:cs="Arial" w:eastAsia="Arial" w:hAnsi="Arial"/>
          <w:sz w:val="15"/>
          <w:szCs w:val="15"/>
          <w:color w:val="auto"/>
        </w:rPr>
        <w:t>Our operating activities used $216.2 million of cash largely due to the growth of our new Originations production with net cash paid on loans held for sale of $333.5 million for the six months ended June 30, 2021, partially offset by $56.5 million of net collections of servicing advances, mostly P&amp;I advances.</w:t>
      </w:r>
    </w:p>
    <w:p>
      <w:pPr>
        <w:spacing w:after="0" w:line="54" w:lineRule="exact"/>
        <w:rPr>
          <w:sz w:val="20"/>
          <w:szCs w:val="20"/>
          <w:color w:val="auto"/>
        </w:rPr>
      </w:pPr>
    </w:p>
    <w:p>
      <w:pPr>
        <w:ind w:firstLine="272"/>
        <w:spacing w:after="0" w:line="265" w:lineRule="auto"/>
        <w:rPr>
          <w:sz w:val="20"/>
          <w:szCs w:val="20"/>
          <w:color w:val="auto"/>
        </w:rPr>
      </w:pPr>
      <w:r>
        <w:rPr>
          <w:rFonts w:ascii="Arial" w:cs="Arial" w:eastAsia="Arial" w:hAnsi="Arial"/>
          <w:sz w:val="15"/>
          <w:szCs w:val="15"/>
          <w:color w:val="auto"/>
        </w:rPr>
        <w:t>Our investing activities used $722.5 million of cash. The primary uses of cash in our investing activities include $712.6 million to purchase MSRs, mostly through bulk acquisitions, and $11.5 million of contributions to our equity method investee MAV Canopy. These cash outflows were partly offset by net cash inflows in connection with our HECM reverse mortgages of $1.7 million.</w:t>
      </w:r>
    </w:p>
    <w:p>
      <w:pPr>
        <w:spacing w:after="0" w:line="64" w:lineRule="exact"/>
        <w:rPr>
          <w:sz w:val="20"/>
          <w:szCs w:val="20"/>
          <w:color w:val="auto"/>
        </w:rPr>
      </w:pPr>
    </w:p>
    <w:p>
      <w:pPr>
        <w:ind w:right="160" w:firstLine="272"/>
        <w:spacing w:after="0" w:line="279" w:lineRule="auto"/>
        <w:rPr>
          <w:sz w:val="20"/>
          <w:szCs w:val="20"/>
          <w:color w:val="auto"/>
        </w:rPr>
      </w:pPr>
      <w:r>
        <w:rPr>
          <w:rFonts w:ascii="Arial" w:cs="Arial" w:eastAsia="Arial" w:hAnsi="Arial"/>
          <w:sz w:val="14"/>
          <w:szCs w:val="14"/>
          <w:color w:val="auto"/>
        </w:rPr>
        <w:t>Our financing activities provided $893.0 million of cash. Cash inflows include $647.9 million from the issuance of the PMC Senior Secured Notes and the OFC Senior Secured Notes, warrants and common stock to Oaktree and $667.5 million received in connection with our reverse mortgage securitizations, which are accounted for as secured financings, partially offset by repayments on the related financing liability of $715.3 million, and an $897.6 million net increase in borrowings under our mortgage warehouse and MSR financing facilities. Cash outflows include $319.2 million to repay our 6.375% senior unsecured notes and 8.375% senior secured notes, $188.7 million repayment of the SSTL, $51.1 million of net repayments on advance match funded liabilities and $38.5 million of net payments on the financing liabilities related to MSRs pledged. In addition, we paid debt issuance costs of $16.0 million in connection with the issuance of the PMC Senior Secured Notes and OFC Senior Secured Notes.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for the six months ended June 30, 2020</w:t>
      </w:r>
    </w:p>
    <w:p>
      <w:pPr>
        <w:spacing w:after="0" w:line="10" w:lineRule="exact"/>
        <w:rPr>
          <w:sz w:val="20"/>
          <w:szCs w:val="20"/>
          <w:color w:val="auto"/>
        </w:rPr>
      </w:pPr>
    </w:p>
    <w:p>
      <w:pPr>
        <w:ind w:right="240" w:firstLine="272"/>
        <w:spacing w:after="0" w:line="234" w:lineRule="auto"/>
        <w:rPr>
          <w:sz w:val="20"/>
          <w:szCs w:val="20"/>
          <w:color w:val="auto"/>
        </w:rPr>
      </w:pPr>
      <w:r>
        <w:rPr>
          <w:rFonts w:ascii="Arial" w:cs="Arial" w:eastAsia="Arial" w:hAnsi="Arial"/>
          <w:sz w:val="15"/>
          <w:szCs w:val="15"/>
          <w:color w:val="auto"/>
        </w:rPr>
        <w:t>Our operating activities provided $224.8 million of cash including $233.5 million net collections of servicing and ancillary income, $144.0 million of net collections of servicing advances, partially offset by net cash paid on loans held for sale of $12.8 million for the six months ended June 30, 2020.</w:t>
      </w:r>
    </w:p>
    <w:p>
      <w:pPr>
        <w:spacing w:after="0" w:line="71" w:lineRule="exact"/>
        <w:rPr>
          <w:sz w:val="20"/>
          <w:szCs w:val="20"/>
          <w:color w:val="auto"/>
        </w:rPr>
      </w:pPr>
    </w:p>
    <w:p>
      <w:pPr>
        <w:ind w:right="60" w:firstLine="272"/>
        <w:spacing w:after="0" w:line="278" w:lineRule="auto"/>
        <w:rPr>
          <w:sz w:val="20"/>
          <w:szCs w:val="20"/>
          <w:color w:val="auto"/>
        </w:rPr>
      </w:pPr>
      <w:r>
        <w:rPr>
          <w:rFonts w:ascii="Arial" w:cs="Arial" w:eastAsia="Arial" w:hAnsi="Arial"/>
          <w:sz w:val="15"/>
          <w:szCs w:val="15"/>
          <w:color w:val="auto"/>
        </w:rPr>
        <w:t>Our investing activities used $243.4 million of cash. The primary uses of cash in our investing activities include net cash outflows in connection with our HECM reverse mortgages of $198.0 million. Cash outflows also include $48.0 million to purchase MSRs.</w:t>
      </w:r>
    </w:p>
    <w:p>
      <w:pPr>
        <w:spacing w:after="0" w:line="54" w:lineRule="exact"/>
        <w:rPr>
          <w:sz w:val="20"/>
          <w:szCs w:val="20"/>
          <w:color w:val="auto"/>
        </w:rPr>
      </w:pPr>
    </w:p>
    <w:p>
      <w:pPr>
        <w:ind w:right="20" w:firstLine="272"/>
        <w:spacing w:after="0" w:line="258" w:lineRule="auto"/>
        <w:rPr>
          <w:sz w:val="20"/>
          <w:szCs w:val="20"/>
          <w:color w:val="auto"/>
        </w:rPr>
      </w:pPr>
      <w:r>
        <w:rPr>
          <w:rFonts w:ascii="Arial" w:cs="Arial" w:eastAsia="Arial" w:hAnsi="Arial"/>
          <w:sz w:val="15"/>
          <w:szCs w:val="15"/>
          <w:color w:val="auto"/>
        </w:rPr>
        <w:t>Our financing activities used $96.2 million of cash. Cash outflows include the partial prepayment of $131.1 million on the SSTL, $66.5 million of net repayments on advance match funded liabilities, a $43.8 million decrease in borrowings under our mortgage warehouse and MSR financing facilities, and $68.5 million of net payments on the financing liabilities related to MSRs pledged. In addition, we also paid $7.3 million of debt issuance costs related to our SSTL facility amendment and repurchased 5.7 million shares of our common stock for $4.6 million. Cash inflows include $590.6 million received in connection with our reverse mortgage securitizations less repayments on the related financing liability of $365.2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97" w:name="page98"/>
    <w:bookmarkEnd w:id="97"/>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54" w:lineRule="exact"/>
        <w:rPr>
          <w:sz w:val="20"/>
          <w:szCs w:val="20"/>
          <w:color w:val="auto"/>
        </w:rPr>
      </w:pPr>
    </w:p>
    <w:p>
      <w:pPr>
        <w:ind w:firstLine="272"/>
        <w:spacing w:after="0" w:line="276" w:lineRule="auto"/>
        <w:rPr>
          <w:sz w:val="20"/>
          <w:szCs w:val="20"/>
          <w:color w:val="auto"/>
        </w:rPr>
      </w:pPr>
      <w:r>
        <w:rPr>
          <w:rFonts w:ascii="Arial" w:cs="Arial" w:eastAsia="Arial" w:hAnsi="Arial"/>
          <w:sz w:val="14"/>
          <w:szCs w:val="14"/>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The following is a summary of certain accounting policies and estimates involving significant judgments. Our significant accounting policies and critical accounting estimates are disclosed in our Annual Report on Form 10-K for the year ended December 31, 2020 in Note 1 to the Consolidated Financial Statements and in Management’s Discussion and Analysis of Financial Condition and Results of Operations under “Critical Accounting Policies and Estimates.” There have not been any material changes to our critical accounting policies and estimates as disclosed in the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104" w:lineRule="exact"/>
        <w:rPr>
          <w:sz w:val="20"/>
          <w:szCs w:val="20"/>
          <w:color w:val="auto"/>
        </w:rPr>
      </w:pPr>
    </w:p>
    <w:p>
      <w:pPr>
        <w:ind w:right="20" w:firstLine="272"/>
        <w:spacing w:after="0" w:line="257" w:lineRule="auto"/>
        <w:rPr>
          <w:sz w:val="20"/>
          <w:szCs w:val="20"/>
          <w:color w:val="auto"/>
        </w:rPr>
      </w:pPr>
      <w:r>
        <w:rPr>
          <w:rFonts w:ascii="Arial" w:cs="Arial" w:eastAsia="Arial" w:hAnsi="Arial"/>
          <w:sz w:val="15"/>
          <w:szCs w:val="15"/>
          <w:color w:val="auto"/>
        </w:rPr>
        <w:t>We use fair value measurements to record fair value adjustments to certain instruments in our statement of operations and to determine fair value disclosures. As of June 30, 2021, 84% of our assets and 65% of our liabilities were reported at fair value, with fair value changes reported in our statement of operations. Substantially all our assets and liabilities at fair value were classified as Level 3 instruments. The determination of the fair value of these Level 3 financial assets and liabilities and MSRs requires significant management judgment and estimation. See Part I., Item 3. Quantitative and Qualitative Disclosures about Market Risk below for a sensitivity analysis reflecting the estimated change in the fair value of our MSRs, HECM loans held for investment and loans held for sale carried at fair value as well as any related derivatives at June 30, 2021, given hypothetical instantaneous parallel shifts in the yield curve.</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Reverse Mortgage Loans Held for Investment</w:t>
      </w:r>
    </w:p>
    <w:p>
      <w:pPr>
        <w:spacing w:after="0" w:line="100" w:lineRule="exact"/>
        <w:rPr>
          <w:sz w:val="20"/>
          <w:szCs w:val="20"/>
          <w:color w:val="auto"/>
        </w:rPr>
      </w:pPr>
    </w:p>
    <w:p>
      <w:pPr>
        <w:ind w:right="20" w:firstLine="272"/>
        <w:spacing w:after="0" w:line="266" w:lineRule="auto"/>
        <w:rPr>
          <w:sz w:val="20"/>
          <w:szCs w:val="20"/>
          <w:color w:val="auto"/>
        </w:rPr>
      </w:pPr>
      <w:r>
        <w:rPr>
          <w:rFonts w:ascii="Arial" w:cs="Arial" w:eastAsia="Arial" w:hAnsi="Arial"/>
          <w:sz w:val="15"/>
          <w:szCs w:val="15"/>
          <w:color w:val="auto"/>
        </w:rPr>
        <w:t>During the six months ended June 30, 2021, we recorded a net $12.5 million fair value gain in reverse mortgage revenue in our Servicing segment. The fair value of both reverse mortgage loans held for investment and corresponding HMBS-related borrowings is based primarily on discounted cash flow methodologies. Inputs to the discounted cash flows of these assets include future draws and tail spread gains, voluntary prepayments, defaults and discount rate. The determination of fair value requires management judgment due to the significant unobservable assumptions, including voluntary prepayment speeds, defaults and discount rate.</w:t>
      </w:r>
    </w:p>
    <w:p>
      <w:pPr>
        <w:spacing w:after="0" w:line="64" w:lineRule="exact"/>
        <w:rPr>
          <w:sz w:val="20"/>
          <w:szCs w:val="20"/>
          <w:color w:val="auto"/>
        </w:rPr>
      </w:pPr>
    </w:p>
    <w:p>
      <w:pPr>
        <w:ind w:right="180" w:firstLine="272"/>
        <w:spacing w:after="0" w:line="285" w:lineRule="auto"/>
        <w:rPr>
          <w:sz w:val="20"/>
          <w:szCs w:val="20"/>
          <w:color w:val="auto"/>
        </w:rPr>
      </w:pPr>
      <w:r>
        <w:rPr>
          <w:rFonts w:ascii="Arial" w:cs="Arial" w:eastAsia="Arial" w:hAnsi="Arial"/>
          <w:sz w:val="14"/>
          <w:szCs w:val="14"/>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 We believe that our back-testing and benchmarking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MSRs</w:t>
      </w:r>
    </w:p>
    <w:p>
      <w:pPr>
        <w:spacing w:after="0" w:line="100" w:lineRule="exact"/>
        <w:rPr>
          <w:sz w:val="20"/>
          <w:szCs w:val="20"/>
          <w:color w:val="auto"/>
        </w:rPr>
      </w:pPr>
    </w:p>
    <w:p>
      <w:pPr>
        <w:ind w:right="100" w:firstLine="272"/>
        <w:spacing w:after="0" w:line="257" w:lineRule="auto"/>
        <w:rPr>
          <w:sz w:val="20"/>
          <w:szCs w:val="20"/>
          <w:color w:val="auto"/>
        </w:rPr>
      </w:pPr>
      <w:r>
        <w:rPr>
          <w:rFonts w:ascii="Arial" w:cs="Arial" w:eastAsia="Arial" w:hAnsi="Arial"/>
          <w:sz w:val="15"/>
          <w:szCs w:val="15"/>
          <w:color w:val="auto"/>
        </w:rPr>
        <w:t>During the six months ended June 30, 2021, we recorded a $60.5 million fair value loss on the revaluation of our MSRs. We determine the fair value of MSRs primarily using discounted cash flow methodologies. The significant estimated future cash inflows for MSRs include servicing fees, late fees, float earnings and other ancillary fees, and cash outflows include the cost of servicing, the cost of financing servicing advances and compensating interest payments. The determination of the fair value of MSRs requires management judgment relating to the significant unobservable assumptions that underlie the valuation, including prepayment speed, delinquency rates, cost to service and discount rate. Our judgement is informed by the transactions we observe in the market, by our actual portfolio performance and by the advice and information we obtain from our valuation experts, amongst other factors.</w:t>
      </w:r>
    </w:p>
    <w:p>
      <w:pPr>
        <w:spacing w:after="0" w:line="72" w:lineRule="exact"/>
        <w:rPr>
          <w:sz w:val="20"/>
          <w:szCs w:val="20"/>
          <w:color w:val="auto"/>
        </w:rPr>
      </w:pPr>
    </w:p>
    <w:p>
      <w:pPr>
        <w:ind w:right="140" w:firstLine="272"/>
        <w:spacing w:after="0" w:line="302" w:lineRule="auto"/>
        <w:rPr>
          <w:sz w:val="20"/>
          <w:szCs w:val="20"/>
          <w:color w:val="auto"/>
        </w:rPr>
      </w:pPr>
      <w:r>
        <w:rPr>
          <w:rFonts w:ascii="Arial" w:cs="Arial" w:eastAsia="Arial" w:hAnsi="Arial"/>
          <w:sz w:val="13"/>
          <w:szCs w:val="13"/>
          <w:color w:val="auto"/>
        </w:rPr>
        <w:t>To assist in the determination of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and we perform additional verification and analytical procedures. We evaluate the reasonableness of our third-party experts’ assumptions using historical experience adjusted for prevailing market conditions and benchmarks with third-party expert valuation and market participant surveys. We believe that our procedures provide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98" w:name="page99"/>
    <w:bookmarkEnd w:id="98"/>
    <w:p>
      <w:pPr>
        <w:ind w:right="240"/>
        <w:spacing w:after="0" w:line="278" w:lineRule="auto"/>
        <w:rPr>
          <w:sz w:val="20"/>
          <w:szCs w:val="20"/>
          <w:color w:val="auto"/>
        </w:rPr>
      </w:pPr>
      <w:r>
        <w:rPr>
          <w:rFonts w:ascii="Arial" w:cs="Arial" w:eastAsia="Arial" w:hAnsi="Arial"/>
          <w:sz w:val="15"/>
          <w:szCs w:val="15"/>
          <w:color w:val="auto"/>
        </w:rPr>
        <w:t>reasonable assurance that the fair value used in our consolidated financial statements comply with the accounting guidance for fair value measurements and disclosures and reflect the assumptions that a market participant would use.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Allowance for Losses on Servicing Advances and Receivables</w:t>
      </w:r>
    </w:p>
    <w:p>
      <w:pPr>
        <w:spacing w:after="0" w:line="104" w:lineRule="exact"/>
        <w:rPr>
          <w:sz w:val="20"/>
          <w:szCs w:val="20"/>
          <w:color w:val="auto"/>
        </w:rPr>
      </w:pPr>
    </w:p>
    <w:p>
      <w:pPr>
        <w:ind w:right="100" w:firstLine="272"/>
        <w:spacing w:after="0" w:line="279" w:lineRule="auto"/>
        <w:rPr>
          <w:sz w:val="20"/>
          <w:szCs w:val="20"/>
          <w:color w:val="auto"/>
        </w:rPr>
      </w:pPr>
      <w:r>
        <w:rPr>
          <w:rFonts w:ascii="Arial" w:cs="Arial" w:eastAsia="Arial" w:hAnsi="Arial"/>
          <w:sz w:val="14"/>
          <w:szCs w:val="14"/>
          <w:color w:val="auto"/>
        </w:rPr>
        <w:t>During the six months ended June 30, 20211, we recorded a $3.9 million provision expense for losses on servicing advances. At June 30, 2021, the allowance was $6.9 million, which represented 0.9% of total servicing advances. We record an allowance for losses on servicing advances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w:t>
      </w:r>
    </w:p>
    <w:p>
      <w:pPr>
        <w:spacing w:after="0" w:line="57" w:lineRule="exact"/>
        <w:rPr>
          <w:sz w:val="20"/>
          <w:szCs w:val="20"/>
          <w:color w:val="auto"/>
        </w:rPr>
      </w:pPr>
    </w:p>
    <w:p>
      <w:pPr>
        <w:ind w:right="100" w:firstLine="272"/>
        <w:spacing w:after="0" w:line="261" w:lineRule="auto"/>
        <w:rPr>
          <w:sz w:val="20"/>
          <w:szCs w:val="20"/>
          <w:color w:val="auto"/>
        </w:rPr>
      </w:pPr>
      <w:r>
        <w:rPr>
          <w:rFonts w:ascii="Arial" w:cs="Arial" w:eastAsia="Arial" w:hAnsi="Arial"/>
          <w:sz w:val="15"/>
          <w:szCs w:val="15"/>
          <w:color w:val="auto"/>
        </w:rPr>
        <w:t>During the six months ended June 30, 2021, we recorded a $7.5 million provision expense on receivables related to government-insured claims. At June 30, 2021, the allowance for losses on receivables related to government-insured claims was $41.2 million, which represents 33% of total government-insured claims receivables. The allowance for losses relates to defaulted FHA or VA insured loans repurchased from Ginnie Mae guaranteed securitizations. This allowance is based upon continuing assessments of collectability, historical loss experience, current conditions and reasonable and supportable forecasts.</w:t>
      </w:r>
    </w:p>
    <w:p>
      <w:pPr>
        <w:spacing w:after="0" w:line="67" w:lineRule="exact"/>
        <w:rPr>
          <w:sz w:val="20"/>
          <w:szCs w:val="20"/>
          <w:color w:val="auto"/>
        </w:rPr>
      </w:pPr>
    </w:p>
    <w:p>
      <w:pPr>
        <w:ind w:right="320" w:firstLine="272"/>
        <w:spacing w:after="0" w:line="278" w:lineRule="auto"/>
        <w:rPr>
          <w:sz w:val="20"/>
          <w:szCs w:val="20"/>
          <w:color w:val="auto"/>
        </w:rPr>
      </w:pPr>
      <w:r>
        <w:rPr>
          <w:rFonts w:ascii="Arial" w:cs="Arial" w:eastAsia="Arial" w:hAnsi="Arial"/>
          <w:sz w:val="15"/>
          <w:szCs w:val="15"/>
          <w:color w:val="auto"/>
        </w:rPr>
        <w:t>Determining an allowance for losses involves management judgment and assumptions that, given similar information at any given point, may result in a different but reasonable estimate.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Obligations</w:t>
      </w:r>
    </w:p>
    <w:p>
      <w:pPr>
        <w:spacing w:after="0" w:line="104" w:lineRule="exact"/>
        <w:rPr>
          <w:sz w:val="20"/>
          <w:szCs w:val="20"/>
          <w:color w:val="auto"/>
        </w:rPr>
      </w:pPr>
    </w:p>
    <w:p>
      <w:pPr>
        <w:ind w:firstLine="272"/>
        <w:spacing w:after="0" w:line="276" w:lineRule="auto"/>
        <w:rPr>
          <w:sz w:val="20"/>
          <w:szCs w:val="20"/>
          <w:color w:val="auto"/>
        </w:rPr>
      </w:pPr>
      <w:r>
        <w:rPr>
          <w:rFonts w:ascii="Arial" w:cs="Arial" w:eastAsia="Arial" w:hAnsi="Arial"/>
          <w:sz w:val="14"/>
          <w:szCs w:val="14"/>
          <w:color w:val="auto"/>
        </w:rPr>
        <w:t>During the six months ended June 30, 2021, we recorded a $0.5 million provision expense for indemnification. As of June 30, 2021, we have recorded a liability for representation and warranty obligations, and similar indemnification obligations of $41.6 million. 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 See Note 22 – Contingencies to the Unaudited Consolidated Financial Statements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104" w:lineRule="exact"/>
        <w:rPr>
          <w:sz w:val="20"/>
          <w:szCs w:val="20"/>
          <w:color w:val="auto"/>
        </w:rPr>
      </w:pPr>
    </w:p>
    <w:p>
      <w:pPr>
        <w:ind w:right="60" w:firstLine="272"/>
        <w:spacing w:after="0" w:line="298" w:lineRule="auto"/>
        <w:rPr>
          <w:sz w:val="20"/>
          <w:szCs w:val="20"/>
          <w:color w:val="auto"/>
        </w:rPr>
      </w:pPr>
      <w:r>
        <w:rPr>
          <w:rFonts w:ascii="Arial" w:cs="Arial" w:eastAsia="Arial" w:hAnsi="Arial"/>
          <w:sz w:val="13"/>
          <w:szCs w:val="13"/>
          <w:color w:val="auto"/>
        </w:rPr>
        <w:t>During the six months ended June 30, 2021, we recorded an $8.0 million provision expense for loss contingencies. Our total accrual for probable and estimable legal and regulatory matters, including accrued legal fees, was $46.9 million as of June 30, 2021. It is possible that we will incur losses relating to threatened and pending litigation that materially exceed the amount accrued. We cannot currently estimate the amount, if any, of reasonably possible losses above amounts that have been recorded as of June 30, 2021. In the ordinary course of business, we are a defendant in, or a party or potential party to, many threatened and pending litigation matters. 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Management’s assessment involves the use of estimates, assumptions, and judgments, including progress of the matter, prior experience, available defenses, and the advice of legal counsel and other experts. Accruals are adjusted as more information becomes available or when an event occurs requiring a change.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04" w:lineRule="exact"/>
        <w:rPr>
          <w:sz w:val="20"/>
          <w:szCs w:val="20"/>
          <w:color w:val="auto"/>
        </w:rPr>
      </w:pPr>
    </w:p>
    <w:p>
      <w:pPr>
        <w:ind w:right="60" w:firstLine="272"/>
        <w:spacing w:after="0" w:line="261" w:lineRule="auto"/>
        <w:rPr>
          <w:sz w:val="20"/>
          <w:szCs w:val="20"/>
          <w:color w:val="auto"/>
        </w:rPr>
      </w:pPr>
      <w:r>
        <w:rPr>
          <w:rFonts w:ascii="Arial" w:cs="Arial" w:eastAsia="Arial" w:hAnsi="Arial"/>
          <w:sz w:val="15"/>
          <w:szCs w:val="15"/>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99" w:name="page100"/>
    <w:bookmarkEnd w:id="99"/>
    <w:p>
      <w:pPr>
        <w:spacing w:after="0"/>
        <w:rPr>
          <w:sz w:val="20"/>
          <w:szCs w:val="20"/>
          <w:color w:val="auto"/>
        </w:rPr>
      </w:pPr>
      <w:r>
        <w:rPr>
          <w:rFonts w:ascii="Arial" w:cs="Arial" w:eastAsia="Arial" w:hAnsi="Arial"/>
          <w:sz w:val="15"/>
          <w:szCs w:val="15"/>
          <w:color w:val="auto"/>
        </w:rPr>
        <w:t>expected to be realized or settled. We record a valuation allowance to reduce deferred tax assets to the amount that is believed more likely than not to be realized.</w:t>
      </w:r>
    </w:p>
    <w:p>
      <w:pPr>
        <w:spacing w:after="0" w:line="100" w:lineRule="exact"/>
        <w:rPr>
          <w:sz w:val="20"/>
          <w:szCs w:val="20"/>
          <w:color w:val="auto"/>
        </w:rPr>
      </w:pPr>
    </w:p>
    <w:p>
      <w:pPr>
        <w:jc w:val="both"/>
        <w:ind w:firstLine="272"/>
        <w:spacing w:after="0" w:line="265" w:lineRule="auto"/>
        <w:rPr>
          <w:sz w:val="20"/>
          <w:szCs w:val="20"/>
          <w:color w:val="auto"/>
        </w:rPr>
      </w:pPr>
      <w:r>
        <w:rPr>
          <w:rFonts w:ascii="Arial" w:cs="Arial" w:eastAsia="Arial" w:hAnsi="Arial"/>
          <w:sz w:val="15"/>
          <w:szCs w:val="15"/>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64" w:lineRule="exact"/>
        <w:rPr>
          <w:sz w:val="20"/>
          <w:szCs w:val="20"/>
          <w:color w:val="auto"/>
        </w:rPr>
      </w:pPr>
    </w:p>
    <w:p>
      <w:pPr>
        <w:ind w:right="20" w:firstLine="272"/>
        <w:spacing w:after="0" w:line="261" w:lineRule="auto"/>
        <w:rPr>
          <w:sz w:val="20"/>
          <w:szCs w:val="20"/>
          <w:color w:val="auto"/>
        </w:rPr>
      </w:pPr>
      <w:r>
        <w:rPr>
          <w:rFonts w:ascii="Arial" w:cs="Arial" w:eastAsia="Arial" w:hAnsi="Arial"/>
          <w:sz w:val="15"/>
          <w:szCs w:val="15"/>
          <w:color w:val="auto"/>
        </w:rPr>
        <w:t>For the three-year periods ended December 31, 2020 and 2019, the US and USVI filing jurisdictions were in material cumulative loss positions.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55" w:lineRule="exact"/>
        <w:rPr>
          <w:sz w:val="20"/>
          <w:szCs w:val="20"/>
          <w:color w:val="auto"/>
        </w:rPr>
      </w:pPr>
    </w:p>
    <w:p>
      <w:pPr>
        <w:ind w:right="120" w:firstLine="272"/>
        <w:spacing w:after="0" w:line="279" w:lineRule="auto"/>
        <w:rPr>
          <w:sz w:val="20"/>
          <w:szCs w:val="20"/>
          <w:color w:val="auto"/>
        </w:rPr>
      </w:pPr>
      <w:r>
        <w:rPr>
          <w:rFonts w:ascii="Arial" w:cs="Arial" w:eastAsia="Arial" w:hAnsi="Arial"/>
          <w:sz w:val="14"/>
          <w:szCs w:val="14"/>
          <w:color w:val="auto"/>
        </w:rPr>
        <w:t>As a result of these evaluations, we recognized a full valuation allowance of $182.7 million and $199.5 million on our U.S. deferred tax assets at December 31, 2020 and 2019, respectively, and a full valuation allowance of $0.4 million on our USVI deferred tax assets at both December 31, 2020 and 2019.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57" w:lineRule="exact"/>
        <w:rPr>
          <w:sz w:val="20"/>
          <w:szCs w:val="20"/>
          <w:color w:val="auto"/>
        </w:rPr>
      </w:pPr>
    </w:p>
    <w:p>
      <w:pPr>
        <w:ind w:right="140" w:firstLine="272"/>
        <w:spacing w:after="0" w:line="265" w:lineRule="auto"/>
        <w:rPr>
          <w:sz w:val="20"/>
          <w:szCs w:val="20"/>
          <w:color w:val="auto"/>
        </w:rPr>
      </w:pPr>
      <w:r>
        <w:rPr>
          <w:rFonts w:ascii="Arial" w:cs="Arial" w:eastAsia="Arial" w:hAnsi="Arial"/>
          <w:sz w:val="15"/>
          <w:szCs w:val="15"/>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64" w:lineRule="exact"/>
        <w:rPr>
          <w:sz w:val="20"/>
          <w:szCs w:val="20"/>
          <w:color w:val="auto"/>
        </w:rPr>
      </w:pPr>
    </w:p>
    <w:p>
      <w:pPr>
        <w:ind w:right="40" w:firstLine="272"/>
        <w:spacing w:after="0" w:line="258" w:lineRule="auto"/>
        <w:rPr>
          <w:sz w:val="20"/>
          <w:szCs w:val="20"/>
          <w:color w:val="auto"/>
        </w:rPr>
      </w:pPr>
      <w:r>
        <w:rPr>
          <w:rFonts w:ascii="Arial" w:cs="Arial" w:eastAsia="Arial" w:hAnsi="Arial"/>
          <w:sz w:val="15"/>
          <w:szCs w:val="15"/>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71" w:lineRule="exact"/>
        <w:rPr>
          <w:sz w:val="20"/>
          <w:szCs w:val="20"/>
          <w:color w:val="auto"/>
        </w:rPr>
      </w:pPr>
    </w:p>
    <w:p>
      <w:pPr>
        <w:ind w:right="100" w:firstLine="272"/>
        <w:spacing w:after="0" w:line="261" w:lineRule="auto"/>
        <w:rPr>
          <w:sz w:val="20"/>
          <w:szCs w:val="20"/>
          <w:color w:val="auto"/>
        </w:rPr>
      </w:pPr>
      <w:r>
        <w:rPr>
          <w:rFonts w:ascii="Arial" w:cs="Arial" w:eastAsia="Arial" w:hAnsi="Arial"/>
          <w:sz w:val="15"/>
          <w:szCs w:val="15"/>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994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940" cy="6985"/>
                    </a:xfrm>
                    <a:prstGeom prst="rect">
                      <a:avLst/>
                    </a:prstGeom>
                    <a:noFill/>
                  </pic:spPr>
                </pic:pic>
              </a:graphicData>
            </a:graphic>
          </wp:anchor>
        </w:drawing>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Note 1 - Organization and Basis of Presentation to the Unaudited Consolidated Financial Statements for information related to recent accounting standards updates.</w:t>
      </w:r>
    </w:p>
    <w:p>
      <w:pPr>
        <w:spacing w:after="0" w:line="153"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 (Dollars in millions unless otherwise indicated)</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Rates</w:t>
      </w:r>
    </w:p>
    <w:p>
      <w:pPr>
        <w:spacing w:after="0" w:line="104" w:lineRule="exact"/>
        <w:rPr>
          <w:sz w:val="20"/>
          <w:szCs w:val="20"/>
          <w:color w:val="auto"/>
        </w:rPr>
      </w:pPr>
    </w:p>
    <w:p>
      <w:pPr>
        <w:ind w:right="60" w:firstLine="272"/>
        <w:spacing w:after="0" w:line="265" w:lineRule="auto"/>
        <w:rPr>
          <w:sz w:val="20"/>
          <w:szCs w:val="20"/>
          <w:color w:val="auto"/>
        </w:rPr>
      </w:pPr>
      <w:r>
        <w:rPr>
          <w:rFonts w:ascii="Arial" w:cs="Arial" w:eastAsia="Arial" w:hAnsi="Arial"/>
          <w:sz w:val="15"/>
          <w:szCs w:val="15"/>
          <w:color w:val="auto"/>
        </w:rPr>
        <w:t>Our principal market risk exposure is the impact of interest rate changes on our mortgage-related assets and commitments, including MSRs, loans held for sale, loans held for investment and IRLCs. In addition, changes in interest rates could materially and adversely affect our volume of mortgage loan originations or result in MSR fair value changes. We also have exposure to the effects of changes in interest rates on our floating-rate borrowings, including advance financing facilities.</w:t>
      </w:r>
    </w:p>
    <w:p>
      <w:pPr>
        <w:spacing w:after="0" w:line="64" w:lineRule="exact"/>
        <w:rPr>
          <w:sz w:val="20"/>
          <w:szCs w:val="20"/>
          <w:color w:val="auto"/>
        </w:rPr>
      </w:pPr>
    </w:p>
    <w:p>
      <w:pPr>
        <w:ind w:right="60" w:firstLine="272"/>
        <w:spacing w:after="0" w:line="357" w:lineRule="auto"/>
        <w:rPr>
          <w:sz w:val="20"/>
          <w:szCs w:val="20"/>
          <w:color w:val="auto"/>
        </w:rPr>
      </w:pPr>
      <w:r>
        <w:rPr>
          <w:rFonts w:ascii="Arial" w:cs="Arial" w:eastAsia="Arial" w:hAnsi="Arial"/>
          <w:sz w:val="13"/>
          <w:szCs w:val="13"/>
          <w:color w:val="auto"/>
        </w:rPr>
        <w:t>Our management-level Market Risk Committee establishes and maintains policies that govern our hedging program, including such factors as market volatility, duration and interest rate sensitivity measures, targeted hedge ratios, the hedge instruments that we are permitted to use in our hedging activities and the counterparties with whom we are permitted to enter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100" w:name="page101"/>
    <w:bookmarkEnd w:id="100"/>
    <w:p>
      <w:pPr>
        <w:ind w:right="200"/>
        <w:spacing w:after="0" w:line="278" w:lineRule="auto"/>
        <w:rPr>
          <w:sz w:val="20"/>
          <w:szCs w:val="20"/>
          <w:color w:val="auto"/>
        </w:rPr>
      </w:pPr>
      <w:r>
        <w:rPr>
          <w:rFonts w:ascii="Arial" w:cs="Arial" w:eastAsia="Arial" w:hAnsi="Arial"/>
          <w:sz w:val="15"/>
          <w:szCs w:val="15"/>
          <w:color w:val="auto"/>
        </w:rPr>
        <w:t>into hedging transactions and our liquidity risk profile. See Note 15 – Derivative Financial Instruments and Hedging Activities to the Unaudited Consolidated Financial Statements for additional information regarding our use of derivatives.</w:t>
      </w:r>
    </w:p>
    <w:p>
      <w:pPr>
        <w:spacing w:after="0" w:line="54" w:lineRule="exact"/>
        <w:rPr>
          <w:sz w:val="20"/>
          <w:szCs w:val="20"/>
          <w:color w:val="auto"/>
        </w:rPr>
      </w:pPr>
    </w:p>
    <w:p>
      <w:pPr>
        <w:ind w:right="20" w:firstLine="272"/>
        <w:spacing w:after="0" w:line="261" w:lineRule="auto"/>
        <w:rPr>
          <w:sz w:val="20"/>
          <w:szCs w:val="20"/>
          <w:color w:val="auto"/>
        </w:rPr>
      </w:pPr>
      <w:r>
        <w:rPr>
          <w:rFonts w:ascii="Arial" w:cs="Arial" w:eastAsia="Arial" w:hAnsi="Arial"/>
          <w:sz w:val="15"/>
          <w:szCs w:val="15"/>
          <w:color w:val="auto"/>
        </w:rPr>
        <w:t>Our market risk exposure may also be affected by the replacement of LIBOR, which is expected to be phased out and completely replaced by June 30, 2023. The LIBOR administrator has advised that no new contracts using U.S. dollar LIBOR should be entered into after December 31, 2021. Many of our debt facilities incorporate LIBOR. These facilities either mature prior to the end of 2021 or have terms in place that provide for an alternative to LIBOR upon its phase-out. As we renew or replace these debt facilities, we are working with our counterparties to incorporate alternative benchmarks.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MSR Hedging Strategy</w:t>
      </w:r>
    </w:p>
    <w:p>
      <w:pPr>
        <w:spacing w:after="0" w:line="104" w:lineRule="exact"/>
        <w:rPr>
          <w:sz w:val="20"/>
          <w:szCs w:val="20"/>
          <w:color w:val="auto"/>
        </w:rPr>
      </w:pPr>
    </w:p>
    <w:p>
      <w:pPr>
        <w:ind w:right="60" w:firstLine="272"/>
        <w:spacing w:after="0" w:line="278" w:lineRule="auto"/>
        <w:rPr>
          <w:sz w:val="20"/>
          <w:szCs w:val="20"/>
          <w:color w:val="auto"/>
        </w:rPr>
      </w:pPr>
      <w:r>
        <w:rPr>
          <w:rFonts w:ascii="Arial" w:cs="Arial" w:eastAsia="Arial" w:hAnsi="Arial"/>
          <w:sz w:val="15"/>
          <w:szCs w:val="15"/>
          <w:color w:val="auto"/>
        </w:rPr>
        <w:t>MSRs are carried at fair value with changes in fair value being recorded in earnings in the period in which the changes occur. The fair value of MSRs is subject to changes in market interest rates and prepayment speeds.</w:t>
      </w:r>
    </w:p>
    <w:p>
      <w:pPr>
        <w:spacing w:after="0" w:line="54" w:lineRule="exact"/>
        <w:rPr>
          <w:sz w:val="20"/>
          <w:szCs w:val="20"/>
          <w:color w:val="auto"/>
        </w:rPr>
      </w:pPr>
    </w:p>
    <w:p>
      <w:pPr>
        <w:jc w:val="both"/>
        <w:ind w:right="140" w:firstLine="272"/>
        <w:spacing w:after="0" w:line="261" w:lineRule="auto"/>
        <w:rPr>
          <w:sz w:val="20"/>
          <w:szCs w:val="20"/>
          <w:color w:val="auto"/>
        </w:rPr>
      </w:pPr>
      <w:r>
        <w:rPr>
          <w:rFonts w:ascii="Arial" w:cs="Arial" w:eastAsia="Arial" w:hAnsi="Arial"/>
          <w:sz w:val="15"/>
          <w:szCs w:val="15"/>
          <w:color w:val="auto"/>
        </w:rPr>
        <w:t>Through May 2021, management implemented a macro-hedging strategy to reduce the volatility of the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 to as our net MSR portfolio exposure. We defined our net MSR portfolio exposure as follows:</w:t>
      </w:r>
    </w:p>
    <w:p>
      <w:pPr>
        <w:spacing w:after="0" w:line="67" w:lineRule="exact"/>
        <w:rPr>
          <w:sz w:val="20"/>
          <w:szCs w:val="20"/>
          <w:color w:val="auto"/>
        </w:rPr>
      </w:pPr>
    </w:p>
    <w:p>
      <w:pPr>
        <w:ind w:left="540" w:hanging="277"/>
        <w:spacing w:after="0"/>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more interest rate-sensitive Agency MSR portfolio,</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less the Agency MSRs subject to our agreements with NRZ (See Note 8 — Rights to MSRs),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less the unsecuritized reverse mortgage loans and tails classified as held for investment,</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liability, and</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less the net value of our held for sale loan portfolio and lock commitments (pipeline).</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the first and second quarters of 2021, we also included in our MSR portfolio the exposure related to expected future MSR bulk acquisitions subject to letters of intent.</w:t>
      </w:r>
    </w:p>
    <w:p>
      <w:pPr>
        <w:spacing w:after="0" w:line="111" w:lineRule="exact"/>
        <w:rPr>
          <w:sz w:val="20"/>
          <w:szCs w:val="20"/>
          <w:color w:val="auto"/>
        </w:rPr>
      </w:pPr>
    </w:p>
    <w:p>
      <w:pPr>
        <w:ind w:right="120" w:firstLine="272"/>
        <w:spacing w:after="0" w:line="278" w:lineRule="auto"/>
        <w:rPr>
          <w:sz w:val="20"/>
          <w:szCs w:val="20"/>
          <w:color w:val="auto"/>
        </w:rPr>
      </w:pPr>
      <w:r>
        <w:rPr>
          <w:rFonts w:ascii="Arial" w:cs="Arial" w:eastAsia="Arial" w:hAnsi="Arial"/>
          <w:sz w:val="15"/>
          <w:szCs w:val="15"/>
          <w:color w:val="auto"/>
        </w:rPr>
        <w:t>Effective May 2021, management started hedging its MSR portfolio and its pipeline separately (see below for further description of pipeline hedging), effectively ending the macro hedge strategy previously in place. Under the new MSR hedging strategy, the MSR portfolio exposure is now defined as follows:</w:t>
      </w:r>
    </w:p>
    <w:p>
      <w:pPr>
        <w:spacing w:after="0" w:line="54" w:lineRule="exact"/>
        <w:rPr>
          <w:sz w:val="20"/>
          <w:szCs w:val="20"/>
          <w:color w:val="auto"/>
        </w:rPr>
      </w:pPr>
    </w:p>
    <w:p>
      <w:pPr>
        <w:ind w:left="540" w:hanging="277"/>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Agency MSR portfolio,</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expected Agency MSR bulk transactions subject to letters of intent,</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less the Agency MSRs subject to our agreements with NRZ (See Note 8 — Rights to MSRs),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less the asset value for securitized HECM loans, net of the corresponding HMBS-related borrowings.</w:t>
      </w:r>
    </w:p>
    <w:p>
      <w:pPr>
        <w:spacing w:after="0" w:line="91" w:lineRule="exact"/>
        <w:rPr>
          <w:sz w:val="20"/>
          <w:szCs w:val="20"/>
          <w:color w:val="auto"/>
        </w:rPr>
      </w:pPr>
    </w:p>
    <w:p>
      <w:pPr>
        <w:ind w:firstLine="272"/>
        <w:spacing w:after="0" w:line="265" w:lineRule="auto"/>
        <w:rPr>
          <w:sz w:val="20"/>
          <w:szCs w:val="20"/>
          <w:color w:val="auto"/>
        </w:rPr>
      </w:pPr>
      <w:r>
        <w:rPr>
          <w:rFonts w:ascii="Arial" w:cs="Arial" w:eastAsia="Arial" w:hAnsi="Arial"/>
          <w:sz w:val="15"/>
          <w:szCs w:val="15"/>
          <w:color w:val="auto"/>
        </w:rPr>
        <w:t>We determine and monitor daily the hedge coverage based on the duration and other interest rate sensitivity measures of the MSR portfolio exposure, considering market and liquidity conditions. The MSR hedging strategy’s objective is to provide partial coverage of our MSR portfolio exposure between 40% and 60%. Accordingly, the changes in fair value of our hedging instruments may not fully offset the changes in fair value of our net MSR portfolio exposure attributable to interest rate changes.</w:t>
      </w:r>
    </w:p>
    <w:p>
      <w:pPr>
        <w:spacing w:after="0" w:line="64" w:lineRule="exact"/>
        <w:rPr>
          <w:sz w:val="20"/>
          <w:szCs w:val="20"/>
          <w:color w:val="auto"/>
        </w:rPr>
      </w:pPr>
    </w:p>
    <w:p>
      <w:pPr>
        <w:ind w:right="120" w:firstLine="272"/>
        <w:spacing w:after="0" w:line="261" w:lineRule="auto"/>
        <w:rPr>
          <w:sz w:val="20"/>
          <w:szCs w:val="20"/>
          <w:color w:val="auto"/>
        </w:rPr>
      </w:pPr>
      <w:r>
        <w:rPr>
          <w:rFonts w:ascii="Arial" w:cs="Arial" w:eastAsia="Arial" w:hAnsi="Arial"/>
          <w:sz w:val="15"/>
          <w:szCs w:val="15"/>
          <w:color w:val="auto"/>
        </w:rPr>
        <w:t>The following table illustrates the interest rate sensitivity of the MSR portfolio exposure and associated hedges at June 30, 2021.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6"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Hypothetical change in fair</w:t>
            </w:r>
          </w:p>
        </w:tc>
        <w:tc>
          <w:tcPr>
            <w:tcW w:w="100" w:type="dxa"/>
            <w:vAlign w:val="bottom"/>
          </w:tcPr>
          <w:p>
            <w:pPr>
              <w:spacing w:after="0"/>
              <w:rPr>
                <w:sz w:val="14"/>
                <w:szCs w:val="14"/>
                <w:color w:val="auto"/>
              </w:rPr>
            </w:pPr>
          </w:p>
        </w:tc>
        <w:tc>
          <w:tcPr>
            <w:tcW w:w="1900" w:type="dxa"/>
            <w:vAlign w:val="bottom"/>
          </w:tcPr>
          <w:p>
            <w:pPr>
              <w:jc w:val="center"/>
              <w:ind w:right="24"/>
              <w:spacing w:after="0"/>
              <w:rPr>
                <w:sz w:val="20"/>
                <w:szCs w:val="20"/>
                <w:color w:val="auto"/>
              </w:rPr>
            </w:pPr>
            <w:r>
              <w:rPr>
                <w:rFonts w:ascii="Arial" w:cs="Arial" w:eastAsia="Arial" w:hAnsi="Arial"/>
                <w:sz w:val="15"/>
                <w:szCs w:val="15"/>
                <w:b w:val="1"/>
                <w:bCs w:val="1"/>
                <w:color w:val="auto"/>
                <w:w w:val="91"/>
              </w:rPr>
              <w:t>Hypothetical change in fair</w:t>
            </w: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2360" w:type="dxa"/>
            <w:vAlign w:val="bottom"/>
            <w:gridSpan w:val="2"/>
            <w:vMerge w:val="restart"/>
          </w:tcPr>
          <w:p>
            <w:pPr>
              <w:jc w:val="right"/>
              <w:ind w:right="84"/>
              <w:spacing w:after="0"/>
              <w:rPr>
                <w:sz w:val="20"/>
                <w:szCs w:val="20"/>
                <w:color w:val="auto"/>
              </w:rPr>
            </w:pPr>
            <w:r>
              <w:rPr>
                <w:rFonts w:ascii="Arial" w:cs="Arial" w:eastAsia="Arial" w:hAnsi="Arial"/>
                <w:sz w:val="15"/>
                <w:szCs w:val="15"/>
                <w:b w:val="1"/>
                <w:bCs w:val="1"/>
                <w:color w:val="auto"/>
              </w:rPr>
              <w:t>Fair value at June 30, 2021</w:t>
            </w:r>
          </w:p>
        </w:tc>
        <w:tc>
          <w:tcPr>
            <w:tcW w:w="100" w:type="dxa"/>
            <w:vAlign w:val="bottom"/>
          </w:tcPr>
          <w:p>
            <w:pPr>
              <w:spacing w:after="0"/>
              <w:rPr>
                <w:sz w:val="12"/>
                <w:szCs w:val="12"/>
                <w:color w:val="auto"/>
              </w:rPr>
            </w:pPr>
          </w:p>
        </w:tc>
        <w:tc>
          <w:tcPr>
            <w:tcW w:w="1960" w:type="dxa"/>
            <w:vAlign w:val="bottom"/>
            <w:gridSpan w:val="2"/>
          </w:tcPr>
          <w:p>
            <w:pPr>
              <w:jc w:val="center"/>
              <w:ind w:right="180"/>
              <w:spacing w:after="0" w:line="148" w:lineRule="exact"/>
              <w:rPr>
                <w:sz w:val="20"/>
                <w:szCs w:val="20"/>
                <w:color w:val="auto"/>
              </w:rPr>
            </w:pPr>
            <w:r>
              <w:rPr>
                <w:rFonts w:ascii="Arial" w:cs="Arial" w:eastAsia="Arial" w:hAnsi="Arial"/>
                <w:sz w:val="15"/>
                <w:szCs w:val="15"/>
                <w:b w:val="1"/>
                <w:bCs w:val="1"/>
                <w:color w:val="auto"/>
                <w:w w:val="90"/>
              </w:rPr>
              <w:t>value due to 25 bps rate</w:t>
            </w:r>
          </w:p>
        </w:tc>
        <w:tc>
          <w:tcPr>
            <w:tcW w:w="100" w:type="dxa"/>
            <w:vAlign w:val="bottom"/>
          </w:tcPr>
          <w:p>
            <w:pPr>
              <w:spacing w:after="0"/>
              <w:rPr>
                <w:sz w:val="12"/>
                <w:szCs w:val="12"/>
                <w:color w:val="auto"/>
              </w:rPr>
            </w:pPr>
          </w:p>
        </w:tc>
        <w:tc>
          <w:tcPr>
            <w:tcW w:w="1900" w:type="dxa"/>
            <w:vAlign w:val="bottom"/>
          </w:tcPr>
          <w:p>
            <w:pPr>
              <w:jc w:val="center"/>
              <w:ind w:right="24"/>
              <w:spacing w:after="0" w:line="148" w:lineRule="exact"/>
              <w:rPr>
                <w:sz w:val="20"/>
                <w:szCs w:val="20"/>
                <w:color w:val="auto"/>
              </w:rPr>
            </w:pPr>
            <w:r>
              <w:rPr>
                <w:rFonts w:ascii="Arial" w:cs="Arial" w:eastAsia="Arial" w:hAnsi="Arial"/>
                <w:sz w:val="15"/>
                <w:szCs w:val="15"/>
                <w:b w:val="1"/>
                <w:bCs w:val="1"/>
                <w:color w:val="auto"/>
                <w:w w:val="88"/>
              </w:rPr>
              <w:t>value due to 25 bps rate</w:t>
            </w: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2"/>
              </w:rPr>
              <w:t>decrease</w:t>
            </w:r>
          </w:p>
        </w:tc>
        <w:tc>
          <w:tcPr>
            <w:tcW w:w="100" w:type="dxa"/>
            <w:vAlign w:val="bottom"/>
          </w:tcPr>
          <w:p>
            <w:pPr>
              <w:spacing w:after="0"/>
              <w:rPr>
                <w:sz w:val="16"/>
                <w:szCs w:val="16"/>
                <w:color w:val="auto"/>
              </w:rPr>
            </w:pPr>
          </w:p>
        </w:tc>
        <w:tc>
          <w:tcPr>
            <w:tcW w:w="1900" w:type="dxa"/>
            <w:vAlign w:val="bottom"/>
          </w:tcPr>
          <w:p>
            <w:pPr>
              <w:jc w:val="center"/>
              <w:ind w:right="24"/>
              <w:spacing w:after="0"/>
              <w:rPr>
                <w:sz w:val="20"/>
                <w:szCs w:val="20"/>
                <w:color w:val="auto"/>
              </w:rPr>
            </w:pPr>
            <w:r>
              <w:rPr>
                <w:rFonts w:ascii="Arial" w:cs="Arial" w:eastAsia="Arial" w:hAnsi="Arial"/>
                <w:sz w:val="15"/>
                <w:szCs w:val="15"/>
                <w:b w:val="1"/>
                <w:bCs w:val="1"/>
                <w:color w:val="auto"/>
                <w:w w:val="85"/>
              </w:rPr>
              <w:t>increase</w:t>
            </w:r>
          </w:p>
        </w:tc>
        <w:tc>
          <w:tcPr>
            <w:tcW w:w="0" w:type="dxa"/>
            <w:vAlign w:val="bottom"/>
          </w:tcPr>
          <w:p>
            <w:pPr>
              <w:spacing w:after="0"/>
              <w:rPr>
                <w:sz w:val="1"/>
                <w:szCs w:val="1"/>
                <w:color w:val="auto"/>
              </w:rPr>
            </w:pPr>
          </w:p>
        </w:tc>
      </w:tr>
      <w:tr>
        <w:trPr>
          <w:trHeight w:val="192"/>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Agency MSRs - interest rate sensitive (excl. NRZ)</w:t>
            </w:r>
          </w:p>
        </w:tc>
        <w:tc>
          <w:tcPr>
            <w:tcW w:w="10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1,408.4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(71.8)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71.8</w:t>
            </w: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Asset value of securitized HECM loans, net of HMBS-related borrowing</w:t>
            </w:r>
          </w:p>
        </w:tc>
        <w:tc>
          <w:tcPr>
            <w:tcW w:w="10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104.5</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MSR hedging derivative instruments</w:t>
            </w:r>
          </w:p>
        </w:tc>
        <w:tc>
          <w:tcPr>
            <w:tcW w:w="1040" w:type="dxa"/>
            <w:vAlign w:val="bottom"/>
            <w:tcBorders>
              <w:bottom w:val="single" w:sz="8" w:color="CCEEFF"/>
            </w:tcBorders>
          </w:tcPr>
          <w:p>
            <w:pPr>
              <w:jc w:val="right"/>
              <w:ind w:right="484"/>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tcPr>
          <w:p>
            <w:pPr>
              <w:jc w:val="right"/>
              <w:ind w:right="224"/>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31.1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Total hedge position</w:t>
            </w:r>
          </w:p>
        </w:tc>
        <w:tc>
          <w:tcPr>
            <w:tcW w:w="10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20"/>
                <w:szCs w:val="20"/>
                <w:color w:val="auto"/>
              </w:rPr>
            </w:pPr>
            <w:r>
              <w:rPr>
                <w:rFonts w:ascii="Arial" w:cs="Arial" w:eastAsia="Arial" w:hAnsi="Arial"/>
                <w:sz w:val="15"/>
                <w:szCs w:val="15"/>
                <w:color w:val="auto"/>
              </w:rPr>
              <w:t>Hypothetical hedge coverage ratio (1)</w:t>
            </w:r>
          </w:p>
        </w:tc>
        <w:tc>
          <w:tcPr>
            <w:tcW w:w="1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48 %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49 %</w:t>
            </w:r>
          </w:p>
        </w:tc>
        <w:tc>
          <w:tcPr>
            <w:tcW w:w="0" w:type="dxa"/>
            <w:vAlign w:val="bottom"/>
          </w:tcPr>
          <w:p>
            <w:pPr>
              <w:spacing w:after="0"/>
              <w:rPr>
                <w:sz w:val="1"/>
                <w:szCs w:val="1"/>
                <w:color w:val="auto"/>
              </w:rPr>
            </w:pPr>
          </w:p>
        </w:tc>
      </w:tr>
      <w:tr>
        <w:trPr>
          <w:trHeight w:val="137"/>
        </w:trPr>
        <w:tc>
          <w:tcPr>
            <w:tcW w:w="4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8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20"/>
                <w:szCs w:val="20"/>
                <w:color w:val="auto"/>
              </w:rPr>
            </w:pPr>
            <w:r>
              <w:rPr>
                <w:rFonts w:ascii="Arial" w:cs="Arial" w:eastAsia="Arial" w:hAnsi="Arial"/>
                <w:sz w:val="15"/>
                <w:szCs w:val="15"/>
                <w:color w:val="auto"/>
              </w:rPr>
              <w:t>Hypothetical residual exposure to changes in interest rates</w:t>
            </w:r>
          </w:p>
        </w:tc>
        <w:tc>
          <w:tcPr>
            <w:tcW w:w="1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(37.0)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hypothetical hedge coverage ratio above is calculated as the change in fair value of the total hedge position divided by the change in value of the Agency MSR position.</w:t>
      </w:r>
    </w:p>
    <w:p>
      <w:pPr>
        <w:spacing w:after="0" w:line="87" w:lineRule="exact"/>
        <w:rPr>
          <w:sz w:val="20"/>
          <w:szCs w:val="20"/>
          <w:color w:val="auto"/>
        </w:rPr>
      </w:pPr>
    </w:p>
    <w:p>
      <w:pPr>
        <w:ind w:right="80" w:firstLine="272"/>
        <w:spacing w:after="0" w:line="258" w:lineRule="auto"/>
        <w:rPr>
          <w:sz w:val="20"/>
          <w:szCs w:val="20"/>
          <w:color w:val="auto"/>
        </w:rPr>
      </w:pPr>
      <w:r>
        <w:rPr>
          <w:rFonts w:ascii="Arial" w:cs="Arial" w:eastAsia="Arial" w:hAnsi="Arial"/>
          <w:sz w:val="15"/>
          <w:szCs w:val="15"/>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71" w:lineRule="exact"/>
        <w:rPr>
          <w:sz w:val="20"/>
          <w:szCs w:val="20"/>
          <w:color w:val="auto"/>
        </w:rPr>
      </w:pPr>
    </w:p>
    <w:p>
      <w:pPr>
        <w:ind w:right="360" w:firstLine="272"/>
        <w:spacing w:after="0" w:line="265" w:lineRule="auto"/>
        <w:rPr>
          <w:sz w:val="20"/>
          <w:szCs w:val="20"/>
          <w:color w:val="auto"/>
        </w:rPr>
      </w:pPr>
      <w:r>
        <w:rPr>
          <w:rFonts w:ascii="Arial" w:cs="Arial" w:eastAsia="Arial" w:hAnsi="Arial"/>
          <w:sz w:val="15"/>
          <w:szCs w:val="15"/>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Loans Held for Investment and HMBS-related Borrowings</w:t>
      </w:r>
    </w:p>
    <w:p>
      <w:pPr>
        <w:spacing w:after="0" w:line="104" w:lineRule="exact"/>
        <w:rPr>
          <w:sz w:val="20"/>
          <w:szCs w:val="20"/>
          <w:color w:val="auto"/>
        </w:rPr>
      </w:pPr>
    </w:p>
    <w:p>
      <w:pPr>
        <w:ind w:right="180" w:firstLine="272"/>
        <w:spacing w:after="0" w:line="268" w:lineRule="auto"/>
        <w:rPr>
          <w:sz w:val="20"/>
          <w:szCs w:val="20"/>
          <w:color w:val="auto"/>
        </w:rPr>
      </w:pPr>
      <w:r>
        <w:rPr>
          <w:rFonts w:ascii="Arial" w:cs="Arial" w:eastAsia="Arial" w:hAnsi="Arial"/>
          <w:sz w:val="15"/>
          <w:szCs w:val="15"/>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6"/>
          <w:szCs w:val="16"/>
          <w:color w:val="auto"/>
        </w:rPr>
        <w:t>.</w:t>
      </w:r>
    </w:p>
    <w:p>
      <w:pPr>
        <w:spacing w:after="0" w:line="56" w:lineRule="exact"/>
        <w:rPr>
          <w:sz w:val="20"/>
          <w:szCs w:val="20"/>
          <w:color w:val="auto"/>
        </w:rPr>
      </w:pPr>
    </w:p>
    <w:p>
      <w:pPr>
        <w:ind w:right="80" w:firstLine="272"/>
        <w:spacing w:after="0" w:line="258" w:lineRule="auto"/>
        <w:rPr>
          <w:sz w:val="20"/>
          <w:szCs w:val="20"/>
          <w:color w:val="auto"/>
        </w:rPr>
      </w:pPr>
      <w:r>
        <w:rPr>
          <w:rFonts w:ascii="Arial" w:cs="Arial" w:eastAsia="Arial" w:hAnsi="Arial"/>
          <w:sz w:val="15"/>
          <w:szCs w:val="15"/>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an offset to our forward MSR exposure and managed as part of our MSR hedging strategy described above. Reverse pipeline is hedged under the same principles as described below, for unsecuritized loans held for investment.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Pipeline Hedging Strategy - Loans Held for Sale and IRLCs</w:t>
      </w:r>
    </w:p>
    <w:p>
      <w:pPr>
        <w:spacing w:after="0" w:line="58" w:lineRule="exact"/>
        <w:rPr>
          <w:sz w:val="20"/>
          <w:szCs w:val="20"/>
          <w:color w:val="auto"/>
        </w:rPr>
      </w:pPr>
    </w:p>
    <w:p>
      <w:pPr>
        <w:ind w:right="20" w:firstLine="272"/>
        <w:spacing w:after="0" w:line="258" w:lineRule="auto"/>
        <w:rPr>
          <w:sz w:val="20"/>
          <w:szCs w:val="20"/>
          <w:color w:val="auto"/>
        </w:rPr>
      </w:pPr>
      <w:r>
        <w:rPr>
          <w:rFonts w:ascii="Arial" w:cs="Arial" w:eastAsia="Arial" w:hAnsi="Arial"/>
          <w:sz w:val="14"/>
          <w:szCs w:val="14"/>
          <w:color w:val="auto"/>
        </w:rPr>
        <w:t>In our Originations business, we are exposed to interest rate risk and related price risk during the period from the date of the interest rate lock commitment through (i) the commitment cancellation or expiration date or (ii) through the date of sale of the resulting loan into the secondary mortgage market. Loan commitments for forward loans generally range from 5 to 90 days, with the majority of our commitments to borrowers for 60 days and our commitments to correspondent sellers for 7 days. Loans held for sale are generally funded and sold within 5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held for sale and IRLCs is economically hedged with derivative instruments, including forward sales of Agency TBAs. The pipeline hedging strategy’s objective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+/- 15% or +/- $15 million. We report changes in fair value of these derivative instruments in gain on loans held for sale in our consolidated statements of operations, within the Originations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54" w:right="319" w:bottom="1440" w:gutter="0" w:footer="0" w:header="0"/>
        </w:sectPr>
      </w:pPr>
    </w:p>
    <w:bookmarkStart w:id="102" w:name="page103"/>
    <w:bookmarkEnd w:id="102"/>
    <w:p>
      <w:pPr>
        <w:ind w:left="9"/>
        <w:spacing w:after="0"/>
        <w:rPr>
          <w:sz w:val="20"/>
          <w:szCs w:val="20"/>
          <w:color w:val="auto"/>
        </w:rPr>
      </w:pPr>
      <w:r>
        <w:rPr>
          <w:rFonts w:ascii="Arial" w:cs="Arial" w:eastAsia="Arial" w:hAnsi="Arial"/>
          <w:sz w:val="15"/>
          <w:szCs w:val="15"/>
          <w:b w:val="1"/>
          <w:bCs w:val="1"/>
          <w:color w:val="auto"/>
        </w:rPr>
        <w:t>Advance Match Funded Liabilities</w:t>
      </w:r>
    </w:p>
    <w:p>
      <w:pPr>
        <w:spacing w:after="0" w:line="104" w:lineRule="exact"/>
        <w:rPr>
          <w:sz w:val="20"/>
          <w:szCs w:val="20"/>
          <w:color w:val="auto"/>
        </w:rPr>
      </w:pPr>
    </w:p>
    <w:p>
      <w:pPr>
        <w:ind w:left="9" w:right="60" w:firstLine="272"/>
        <w:spacing w:after="0" w:line="265" w:lineRule="auto"/>
        <w:rPr>
          <w:sz w:val="20"/>
          <w:szCs w:val="20"/>
          <w:color w:val="auto"/>
        </w:rPr>
      </w:pPr>
      <w:r>
        <w:rPr>
          <w:rFonts w:ascii="Arial" w:cs="Arial" w:eastAsia="Arial" w:hAnsi="Arial"/>
          <w:sz w:val="15"/>
          <w:szCs w:val="15"/>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Interest Rate-Sensitive Financial Instruments</w:t>
      </w:r>
    </w:p>
    <w:p>
      <w:pPr>
        <w:spacing w:after="0" w:line="58" w:lineRule="exact"/>
        <w:rPr>
          <w:sz w:val="20"/>
          <w:szCs w:val="20"/>
          <w:color w:val="auto"/>
        </w:rPr>
      </w:pPr>
    </w:p>
    <w:p>
      <w:pPr>
        <w:ind w:left="9" w:right="240" w:firstLine="272"/>
        <w:spacing w:after="0" w:line="265" w:lineRule="auto"/>
        <w:rPr>
          <w:sz w:val="20"/>
          <w:szCs w:val="20"/>
          <w:color w:val="auto"/>
        </w:rPr>
      </w:pPr>
      <w:r>
        <w:rPr>
          <w:rFonts w:ascii="Arial" w:cs="Arial" w:eastAsia="Arial" w:hAnsi="Arial"/>
          <w:sz w:val="15"/>
          <w:szCs w:val="15"/>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83" w:lineRule="exact"/>
        <w:rPr>
          <w:sz w:val="20"/>
          <w:szCs w:val="20"/>
          <w:color w:val="auto"/>
        </w:rPr>
      </w:pPr>
    </w:p>
    <w:tbl>
      <w:tblPr>
        <w:tblLayout w:type="fixed"/>
        <w:tblInd w:w="29"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June 30, 2021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6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Balance</w:t>
            </w:r>
          </w:p>
        </w:tc>
        <w:tc>
          <w:tcPr>
            <w:tcW w:w="15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Fair Value (1)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0"/>
              </w:rPr>
              <w:t>Balance</w:t>
            </w:r>
          </w:p>
        </w:tc>
        <w:tc>
          <w:tcPr>
            <w:tcW w:w="200" w:type="dxa"/>
            <w:vAlign w:val="bottom"/>
          </w:tcPr>
          <w:p>
            <w:pPr>
              <w:spacing w:after="0"/>
              <w:rPr>
                <w:sz w:val="16"/>
                <w:szCs w:val="16"/>
                <w:color w:val="auto"/>
              </w:rPr>
            </w:pPr>
          </w:p>
        </w:tc>
        <w:tc>
          <w:tcPr>
            <w:tcW w:w="1300" w:type="dxa"/>
            <w:vAlign w:val="bottom"/>
          </w:tcPr>
          <w:p>
            <w:pPr>
              <w:jc w:val="center"/>
              <w:ind w:right="124"/>
              <w:spacing w:after="0"/>
              <w:rPr>
                <w:sz w:val="20"/>
                <w:szCs w:val="20"/>
                <w:color w:val="auto"/>
              </w:rPr>
            </w:pPr>
            <w:r>
              <w:rPr>
                <w:rFonts w:ascii="Arial" w:cs="Arial" w:eastAsia="Arial" w:hAnsi="Arial"/>
                <w:sz w:val="15"/>
                <w:szCs w:val="15"/>
                <w:b w:val="1"/>
                <w:bCs w:val="1"/>
                <w:color w:val="auto"/>
                <w:w w:val="95"/>
              </w:rPr>
              <w:t>Fair Value (1)</w:t>
            </w:r>
          </w:p>
        </w:tc>
        <w:tc>
          <w:tcPr>
            <w:tcW w:w="0" w:type="dxa"/>
            <w:vAlign w:val="bottom"/>
          </w:tcPr>
          <w:p>
            <w:pPr>
              <w:spacing w:after="0"/>
              <w:rPr>
                <w:sz w:val="1"/>
                <w:szCs w:val="1"/>
                <w:color w:val="auto"/>
              </w:rPr>
            </w:pPr>
          </w:p>
        </w:tc>
      </w:tr>
      <w:tr>
        <w:trPr>
          <w:trHeight w:val="173"/>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Rate-Sensitive Assets:</w:t>
            </w:r>
          </w:p>
        </w:tc>
        <w:tc>
          <w:tcPr>
            <w:tcW w:w="2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80" w:type="dxa"/>
            <w:vAlign w:val="bottom"/>
          </w:tcPr>
          <w:p>
            <w:pPr>
              <w:ind w:left="100"/>
              <w:spacing w:after="0"/>
              <w:rPr>
                <w:sz w:val="20"/>
                <w:szCs w:val="20"/>
                <w:color w:val="auto"/>
              </w:rPr>
            </w:pPr>
            <w:r>
              <w:rPr>
                <w:rFonts w:ascii="Arial" w:cs="Arial" w:eastAsia="Arial" w:hAnsi="Arial"/>
                <w:sz w:val="15"/>
                <w:szCs w:val="15"/>
                <w:color w:val="auto"/>
              </w:rPr>
              <w:t>Interest-earning cash</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207.1</w:t>
            </w:r>
          </w:p>
        </w:tc>
        <w:tc>
          <w:tcPr>
            <w:tcW w:w="100" w:type="dxa"/>
            <w:vAlign w:val="bottom"/>
          </w:tcPr>
          <w:p>
            <w:pPr>
              <w:spacing w:after="0"/>
              <w:rPr>
                <w:sz w:val="16"/>
                <w:szCs w:val="16"/>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207.1</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261.5</w:t>
            </w:r>
          </w:p>
        </w:tc>
        <w:tc>
          <w:tcPr>
            <w:tcW w:w="1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261.5</w:t>
            </w: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Loans held for sale, at fair value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680.9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680.9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366.4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366.4</w:t>
            </w:r>
          </w:p>
        </w:tc>
        <w:tc>
          <w:tcPr>
            <w:tcW w:w="0" w:type="dxa"/>
            <w:vAlign w:val="bottom"/>
          </w:tcPr>
          <w:p>
            <w:pPr>
              <w:spacing w:after="0"/>
              <w:rPr>
                <w:sz w:val="1"/>
                <w:szCs w:val="1"/>
                <w:color w:val="auto"/>
              </w:rPr>
            </w:pPr>
          </w:p>
        </w:tc>
      </w:tr>
      <w:tr>
        <w:trPr>
          <w:trHeight w:val="192"/>
        </w:trPr>
        <w:tc>
          <w:tcPr>
            <w:tcW w:w="4880" w:type="dxa"/>
            <w:vAlign w:val="bottom"/>
          </w:tcPr>
          <w:p>
            <w:pPr>
              <w:ind w:left="100"/>
              <w:spacing w:after="0"/>
              <w:rPr>
                <w:sz w:val="20"/>
                <w:szCs w:val="20"/>
                <w:color w:val="auto"/>
              </w:rPr>
            </w:pPr>
            <w:r>
              <w:rPr>
                <w:rFonts w:ascii="Arial" w:cs="Arial" w:eastAsia="Arial" w:hAnsi="Arial"/>
                <w:sz w:val="15"/>
                <w:szCs w:val="15"/>
                <w:color w:val="auto"/>
              </w:rPr>
              <w:t>Loans held for sale, at lower of cost or fair value (2)</w:t>
            </w:r>
          </w:p>
        </w:tc>
        <w:tc>
          <w:tcPr>
            <w:tcW w:w="28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Loans held for investment, at fair value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7,112.3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7,112.3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6,997.1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6,997.1</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Debt service accounts and time deposits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16.2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16.2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rate-sensitive assets</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8,031.7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8,031.7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7,667.2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7,667.2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Rate-Sensitive Liabilities (3):</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80" w:type="dxa"/>
            <w:vAlign w:val="bottom"/>
          </w:tcPr>
          <w:p>
            <w:pPr>
              <w:ind w:left="100"/>
              <w:spacing w:after="0"/>
              <w:rPr>
                <w:sz w:val="20"/>
                <w:szCs w:val="20"/>
                <w:color w:val="auto"/>
              </w:rPr>
            </w:pPr>
            <w:r>
              <w:rPr>
                <w:rFonts w:ascii="Arial" w:cs="Arial" w:eastAsia="Arial" w:hAnsi="Arial"/>
                <w:sz w:val="15"/>
                <w:szCs w:val="15"/>
                <w:color w:val="auto"/>
              </w:rPr>
              <w:t>Advance match funded liabilities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530.2</w:t>
            </w:r>
          </w:p>
        </w:tc>
        <w:tc>
          <w:tcPr>
            <w:tcW w:w="100" w:type="dxa"/>
            <w:vAlign w:val="bottom"/>
          </w:tcPr>
          <w:p>
            <w:pPr>
              <w:spacing w:after="0"/>
              <w:rPr>
                <w:sz w:val="16"/>
                <w:szCs w:val="16"/>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530.8</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581.3</w:t>
            </w:r>
          </w:p>
        </w:tc>
        <w:tc>
          <w:tcPr>
            <w:tcW w:w="1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582.0</w:t>
            </w: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HMBS-related borrowings, at fair value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6,823.9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6,823.9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6,772.7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6,772.7</w:t>
            </w:r>
          </w:p>
        </w:tc>
        <w:tc>
          <w:tcPr>
            <w:tcW w:w="0" w:type="dxa"/>
            <w:vAlign w:val="bottom"/>
          </w:tcPr>
          <w:p>
            <w:pPr>
              <w:spacing w:after="0"/>
              <w:rPr>
                <w:sz w:val="1"/>
                <w:szCs w:val="1"/>
                <w:color w:val="auto"/>
              </w:rPr>
            </w:pPr>
          </w:p>
        </w:tc>
      </w:tr>
      <w:tr>
        <w:trPr>
          <w:trHeight w:val="192"/>
        </w:trPr>
        <w:tc>
          <w:tcPr>
            <w:tcW w:w="4880" w:type="dxa"/>
            <w:vAlign w:val="bottom"/>
          </w:tcPr>
          <w:p>
            <w:pPr>
              <w:ind w:left="100"/>
              <w:spacing w:after="0"/>
              <w:rPr>
                <w:sz w:val="20"/>
                <w:szCs w:val="20"/>
                <w:color w:val="auto"/>
              </w:rPr>
            </w:pPr>
            <w:r>
              <w:rPr>
                <w:rFonts w:ascii="Arial" w:cs="Arial" w:eastAsia="Arial" w:hAnsi="Arial"/>
                <w:sz w:val="15"/>
                <w:szCs w:val="15"/>
                <w:color w:val="auto"/>
              </w:rPr>
              <w:t>Mortgage loan warehouse facilities</w:t>
            </w:r>
          </w:p>
        </w:tc>
        <w:tc>
          <w:tcPr>
            <w:tcW w:w="28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773.4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773.4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451.7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451.7</w:t>
            </w: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MSR financing facilities, net (4)</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1,013.9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982.8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438.6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406.9</w:t>
            </w:r>
          </w:p>
        </w:tc>
        <w:tc>
          <w:tcPr>
            <w:tcW w:w="0" w:type="dxa"/>
            <w:vAlign w:val="bottom"/>
          </w:tcPr>
          <w:p>
            <w:pPr>
              <w:spacing w:after="0"/>
              <w:rPr>
                <w:sz w:val="1"/>
                <w:szCs w:val="1"/>
                <w:color w:val="auto"/>
              </w:rPr>
            </w:pPr>
          </w:p>
        </w:tc>
      </w:tr>
      <w:tr>
        <w:trPr>
          <w:trHeight w:val="192"/>
        </w:trPr>
        <w:tc>
          <w:tcPr>
            <w:tcW w:w="4880" w:type="dxa"/>
            <w:vAlign w:val="bottom"/>
          </w:tcPr>
          <w:p>
            <w:pPr>
              <w:ind w:left="100"/>
              <w:spacing w:after="0"/>
              <w:rPr>
                <w:sz w:val="20"/>
                <w:szCs w:val="20"/>
                <w:color w:val="auto"/>
              </w:rPr>
            </w:pPr>
            <w:r>
              <w:rPr>
                <w:rFonts w:ascii="Arial" w:cs="Arial" w:eastAsia="Arial" w:hAnsi="Arial"/>
                <w:sz w:val="15"/>
                <w:szCs w:val="15"/>
                <w:color w:val="auto"/>
              </w:rPr>
              <w:t>Senior secured term loan, net (4)</w:t>
            </w:r>
          </w:p>
        </w:tc>
        <w:tc>
          <w:tcPr>
            <w:tcW w:w="28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185.0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184.6</w:t>
            </w: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Senior notes (4)</w:t>
            </w: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685.0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666.0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313.1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320.9</w:t>
            </w:r>
          </w:p>
        </w:tc>
        <w:tc>
          <w:tcPr>
            <w:tcW w:w="0" w:type="dxa"/>
            <w:vAlign w:val="bottom"/>
          </w:tcPr>
          <w:p>
            <w:pPr>
              <w:spacing w:after="0"/>
              <w:rPr>
                <w:sz w:val="1"/>
                <w:szCs w:val="1"/>
                <w:color w:val="auto"/>
              </w:rPr>
            </w:pPr>
          </w:p>
        </w:tc>
      </w:tr>
      <w:tr>
        <w:trPr>
          <w:trHeight w:val="171"/>
        </w:trPr>
        <w:tc>
          <w:tcPr>
            <w:tcW w:w="4880" w:type="dxa"/>
            <w:vAlign w:val="bottom"/>
          </w:tcPr>
          <w:p>
            <w:pPr>
              <w:ind w:left="180"/>
              <w:spacing w:after="0"/>
              <w:rPr>
                <w:sz w:val="20"/>
                <w:szCs w:val="20"/>
                <w:color w:val="auto"/>
              </w:rPr>
            </w:pPr>
            <w:r>
              <w:rPr>
                <w:rFonts w:ascii="Arial" w:cs="Arial" w:eastAsia="Arial" w:hAnsi="Arial"/>
                <w:sz w:val="15"/>
                <w:szCs w:val="15"/>
                <w:color w:val="auto"/>
              </w:rPr>
              <w:t>Total rate-sensitive liabilities</w:t>
            </w:r>
          </w:p>
        </w:tc>
        <w:tc>
          <w:tcPr>
            <w:tcW w:w="280" w:type="dxa"/>
            <w:vAlign w:val="bottom"/>
            <w:vMerge w:val="restart"/>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vMerge w:val="restart"/>
          </w:tcPr>
          <w:p>
            <w:pPr>
              <w:jc w:val="right"/>
              <w:ind w:right="124"/>
              <w:spacing w:after="0"/>
              <w:rPr>
                <w:sz w:val="20"/>
                <w:szCs w:val="20"/>
                <w:color w:val="auto"/>
              </w:rPr>
            </w:pPr>
            <w:r>
              <w:rPr>
                <w:rFonts w:ascii="Arial" w:cs="Arial" w:eastAsia="Arial" w:hAnsi="Arial"/>
                <w:sz w:val="15"/>
                <w:szCs w:val="15"/>
                <w:color w:val="auto"/>
              </w:rPr>
              <w:t>9,826.3</w:t>
            </w:r>
          </w:p>
        </w:tc>
        <w:tc>
          <w:tcPr>
            <w:tcW w:w="100" w:type="dxa"/>
            <w:vAlign w:val="bottom"/>
          </w:tcPr>
          <w:p>
            <w:pPr>
              <w:spacing w:after="0"/>
              <w:rPr>
                <w:sz w:val="14"/>
                <w:szCs w:val="14"/>
                <w:color w:val="auto"/>
              </w:rPr>
            </w:pPr>
          </w:p>
        </w:tc>
        <w:tc>
          <w:tcPr>
            <w:tcW w:w="460" w:type="dxa"/>
            <w:vAlign w:val="bottom"/>
            <w:vMerge w:val="restart"/>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ind w:right="124"/>
              <w:spacing w:after="0"/>
              <w:rPr>
                <w:sz w:val="20"/>
                <w:szCs w:val="20"/>
                <w:color w:val="auto"/>
              </w:rPr>
            </w:pPr>
            <w:r>
              <w:rPr>
                <w:rFonts w:ascii="Arial" w:cs="Arial" w:eastAsia="Arial" w:hAnsi="Arial"/>
                <w:sz w:val="15"/>
                <w:szCs w:val="15"/>
                <w:color w:val="auto"/>
              </w:rPr>
              <w:t>9,776.8</w:t>
            </w:r>
          </w:p>
        </w:tc>
        <w:tc>
          <w:tcPr>
            <w:tcW w:w="100" w:type="dxa"/>
            <w:vAlign w:val="bottom"/>
          </w:tcPr>
          <w:p>
            <w:pPr>
              <w:spacing w:after="0"/>
              <w:rPr>
                <w:sz w:val="14"/>
                <w:szCs w:val="14"/>
                <w:color w:val="auto"/>
              </w:rPr>
            </w:pPr>
          </w:p>
        </w:tc>
        <w:tc>
          <w:tcPr>
            <w:tcW w:w="280" w:type="dxa"/>
            <w:vAlign w:val="bottom"/>
            <w:vMerge w:val="restart"/>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vMerge w:val="restart"/>
          </w:tcPr>
          <w:p>
            <w:pPr>
              <w:jc w:val="right"/>
              <w:ind w:right="124"/>
              <w:spacing w:after="0"/>
              <w:rPr>
                <w:sz w:val="20"/>
                <w:szCs w:val="20"/>
                <w:color w:val="auto"/>
              </w:rPr>
            </w:pPr>
            <w:r>
              <w:rPr>
                <w:rFonts w:ascii="Arial" w:cs="Arial" w:eastAsia="Arial" w:hAnsi="Arial"/>
                <w:sz w:val="15"/>
                <w:szCs w:val="15"/>
                <w:color w:val="auto"/>
              </w:rPr>
              <w:t>8,742.3</w:t>
            </w:r>
          </w:p>
        </w:tc>
        <w:tc>
          <w:tcPr>
            <w:tcW w:w="10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vMerge w:val="restart"/>
          </w:tcPr>
          <w:p>
            <w:pPr>
              <w:jc w:val="right"/>
              <w:ind w:right="124"/>
              <w:spacing w:after="0"/>
              <w:rPr>
                <w:sz w:val="20"/>
                <w:szCs w:val="20"/>
                <w:color w:val="auto"/>
              </w:rPr>
            </w:pPr>
            <w:r>
              <w:rPr>
                <w:rFonts w:ascii="Arial" w:cs="Arial" w:eastAsia="Arial" w:hAnsi="Arial"/>
                <w:sz w:val="15"/>
                <w:szCs w:val="15"/>
                <w:color w:val="auto"/>
              </w:rPr>
              <w:t>8,718.8</w:t>
            </w:r>
          </w:p>
        </w:tc>
        <w:tc>
          <w:tcPr>
            <w:tcW w:w="0" w:type="dxa"/>
            <w:vAlign w:val="bottom"/>
          </w:tcPr>
          <w:p>
            <w:pPr>
              <w:spacing w:after="0"/>
              <w:rPr>
                <w:sz w:val="1"/>
                <w:szCs w:val="1"/>
                <w:color w:val="auto"/>
              </w:rPr>
            </w:pPr>
          </w:p>
        </w:tc>
      </w:tr>
      <w:tr>
        <w:trPr>
          <w:trHeight w:val="74"/>
        </w:trPr>
        <w:tc>
          <w:tcPr>
            <w:tcW w:w="488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8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June 30, 2021</w:t>
            </w: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4"/>
          </w:tcPr>
          <w:p>
            <w:pPr>
              <w:jc w:val="right"/>
              <w:ind w:right="86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40"/>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0" w:lineRule="exact"/>
              <w:rPr>
                <w:sz w:val="20"/>
                <w:szCs w:val="20"/>
                <w:color w:val="auto"/>
              </w:rPr>
            </w:pPr>
            <w:r>
              <w:rPr>
                <w:rFonts w:ascii="Arial" w:cs="Arial" w:eastAsia="Arial" w:hAnsi="Arial"/>
                <w:sz w:val="15"/>
                <w:szCs w:val="15"/>
                <w:b w:val="1"/>
                <w:bCs w:val="1"/>
                <w:color w:val="auto"/>
                <w:w w:val="89"/>
              </w:rPr>
              <w:t>Notional</w:t>
            </w:r>
          </w:p>
        </w:tc>
        <w:tc>
          <w:tcPr>
            <w:tcW w:w="460" w:type="dxa"/>
            <w:vAlign w:val="bottom"/>
          </w:tcPr>
          <w:p>
            <w:pPr>
              <w:spacing w:after="0"/>
              <w:rPr>
                <w:sz w:val="12"/>
                <w:szCs w:val="12"/>
                <w:color w:val="auto"/>
              </w:rPr>
            </w:pPr>
          </w:p>
        </w:tc>
        <w:tc>
          <w:tcPr>
            <w:tcW w:w="1040" w:type="dxa"/>
            <w:vAlign w:val="bottom"/>
          </w:tcPr>
          <w:p>
            <w:pPr>
              <w:jc w:val="center"/>
              <w:ind w:right="404"/>
              <w:spacing w:after="0" w:line="140" w:lineRule="exact"/>
              <w:rPr>
                <w:sz w:val="20"/>
                <w:szCs w:val="20"/>
                <w:color w:val="auto"/>
              </w:rPr>
            </w:pPr>
            <w:r>
              <w:rPr>
                <w:rFonts w:ascii="Arial" w:cs="Arial" w:eastAsia="Arial" w:hAnsi="Arial"/>
                <w:sz w:val="15"/>
                <w:szCs w:val="15"/>
                <w:b w:val="1"/>
                <w:bCs w:val="1"/>
                <w:color w:val="auto"/>
              </w:rPr>
              <w:t>Fair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0" w:lineRule="exact"/>
              <w:rPr>
                <w:sz w:val="20"/>
                <w:szCs w:val="20"/>
                <w:color w:val="auto"/>
              </w:rPr>
            </w:pPr>
            <w:r>
              <w:rPr>
                <w:rFonts w:ascii="Arial" w:cs="Arial" w:eastAsia="Arial" w:hAnsi="Arial"/>
                <w:sz w:val="15"/>
                <w:szCs w:val="15"/>
                <w:b w:val="1"/>
                <w:bCs w:val="1"/>
                <w:color w:val="auto"/>
                <w:w w:val="93"/>
              </w:rPr>
              <w:t>Notional</w:t>
            </w:r>
          </w:p>
        </w:tc>
        <w:tc>
          <w:tcPr>
            <w:tcW w:w="200" w:type="dxa"/>
            <w:vAlign w:val="bottom"/>
          </w:tcPr>
          <w:p>
            <w:pPr>
              <w:spacing w:after="0"/>
              <w:rPr>
                <w:sz w:val="12"/>
                <w:szCs w:val="12"/>
                <w:color w:val="auto"/>
              </w:rPr>
            </w:pPr>
          </w:p>
        </w:tc>
        <w:tc>
          <w:tcPr>
            <w:tcW w:w="1300" w:type="dxa"/>
            <w:vAlign w:val="bottom"/>
          </w:tcPr>
          <w:p>
            <w:pPr>
              <w:jc w:val="center"/>
              <w:ind w:right="144"/>
              <w:spacing w:after="0" w:line="140"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Balance</w:t>
            </w:r>
          </w:p>
        </w:tc>
        <w:tc>
          <w:tcPr>
            <w:tcW w:w="460" w:type="dxa"/>
            <w:vAlign w:val="bottom"/>
          </w:tcPr>
          <w:p>
            <w:pPr>
              <w:spacing w:after="0"/>
              <w:rPr>
                <w:sz w:val="16"/>
                <w:szCs w:val="16"/>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w w:val="89"/>
              </w:rPr>
              <w:t>Value</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0"/>
              </w:rPr>
              <w:t>Balance</w:t>
            </w:r>
          </w:p>
        </w:tc>
        <w:tc>
          <w:tcPr>
            <w:tcW w:w="200" w:type="dxa"/>
            <w:vAlign w:val="bottom"/>
          </w:tcPr>
          <w:p>
            <w:pPr>
              <w:spacing w:after="0"/>
              <w:rPr>
                <w:sz w:val="16"/>
                <w:szCs w:val="16"/>
                <w:color w:val="auto"/>
              </w:rPr>
            </w:pPr>
          </w:p>
        </w:tc>
        <w:tc>
          <w:tcPr>
            <w:tcW w:w="1300" w:type="dxa"/>
            <w:vAlign w:val="bottom"/>
          </w:tcPr>
          <w:p>
            <w:pPr>
              <w:jc w:val="center"/>
              <w:ind w:right="144"/>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73"/>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Rate-Sensitive Derivative Financial Instruments:</w:t>
            </w:r>
          </w:p>
        </w:tc>
        <w:tc>
          <w:tcPr>
            <w:tcW w:w="2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80" w:type="dxa"/>
            <w:vAlign w:val="bottom"/>
          </w:tcPr>
          <w:p>
            <w:pPr>
              <w:ind w:left="100"/>
              <w:spacing w:after="0"/>
              <w:rPr>
                <w:sz w:val="20"/>
                <w:szCs w:val="20"/>
                <w:color w:val="auto"/>
              </w:rPr>
            </w:pPr>
            <w:r>
              <w:rPr>
                <w:rFonts w:ascii="Arial" w:cs="Arial" w:eastAsia="Arial" w:hAnsi="Arial"/>
                <w:sz w:val="15"/>
                <w:szCs w:val="15"/>
                <w:color w:val="auto"/>
              </w:rPr>
              <w:t>Derivative assets (liabilities):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IRLCs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1,063.4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631.4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92"/>
        </w:trPr>
        <w:tc>
          <w:tcPr>
            <w:tcW w:w="4880" w:type="dxa"/>
            <w:vAlign w:val="bottom"/>
          </w:tcPr>
          <w:p>
            <w:pPr>
              <w:ind w:left="180"/>
              <w:spacing w:after="0"/>
              <w:rPr>
                <w:sz w:val="20"/>
                <w:szCs w:val="20"/>
                <w:color w:val="auto"/>
              </w:rPr>
            </w:pPr>
            <w:r>
              <w:rPr>
                <w:rFonts w:ascii="Arial" w:cs="Arial" w:eastAsia="Arial" w:hAnsi="Arial"/>
                <w:sz w:val="15"/>
                <w:szCs w:val="15"/>
                <w:color w:val="auto"/>
              </w:rPr>
              <w:t>Forward trades</w:t>
            </w:r>
          </w:p>
        </w:tc>
        <w:tc>
          <w:tcPr>
            <w:tcW w:w="28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rate swap futures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1,050.0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593.5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TBA / Forward MBS trades</w:t>
            </w: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124"/>
              <w:spacing w:after="0"/>
              <w:rPr>
                <w:sz w:val="20"/>
                <w:szCs w:val="20"/>
                <w:color w:val="auto"/>
              </w:rPr>
            </w:pPr>
            <w:r>
              <w:rPr>
                <w:rFonts w:ascii="Arial" w:cs="Arial" w:eastAsia="Arial" w:hAnsi="Arial"/>
                <w:sz w:val="15"/>
                <w:szCs w:val="15"/>
                <w:color w:val="auto"/>
              </w:rPr>
              <w:t>3,183.0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0.7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124"/>
              <w:spacing w:after="0"/>
              <w:rPr>
                <w:sz w:val="20"/>
                <w:szCs w:val="20"/>
                <w:color w:val="auto"/>
              </w:rPr>
            </w:pPr>
            <w:r>
              <w:rPr>
                <w:rFonts w:ascii="Arial" w:cs="Arial" w:eastAsia="Arial" w:hAnsi="Arial"/>
                <w:sz w:val="15"/>
                <w:szCs w:val="15"/>
                <w:color w:val="auto"/>
              </w:rPr>
              <w:t>400.0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Derivatives, net</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20.6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9" w:hanging="269"/>
        <w:spacing w:after="0"/>
        <w:tabs>
          <w:tab w:leader="none" w:pos="269"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See Note 3 – Fair Value to the Unaudited Consolidated Financial Statements for additional fair value information on financial instruments.</w:t>
      </w:r>
    </w:p>
    <w:p>
      <w:pPr>
        <w:spacing w:after="0" w:line="9" w:lineRule="exact"/>
        <w:rPr>
          <w:rFonts w:ascii="Arial" w:cs="Arial" w:eastAsia="Arial" w:hAnsi="Arial"/>
          <w:sz w:val="14"/>
          <w:szCs w:val="14"/>
          <w:color w:val="auto"/>
        </w:rPr>
      </w:pPr>
    </w:p>
    <w:p>
      <w:pPr>
        <w:ind w:left="269" w:hanging="269"/>
        <w:spacing w:after="0" w:line="236" w:lineRule="auto"/>
        <w:tabs>
          <w:tab w:leader="none" w:pos="269" w:val="left"/>
        </w:tabs>
        <w:numPr>
          <w:ilvl w:val="0"/>
          <w:numId w:val="65"/>
        </w:numPr>
        <w:rPr>
          <w:rFonts w:ascii="Arial" w:cs="Arial" w:eastAsia="Arial" w:hAnsi="Arial"/>
          <w:sz w:val="14"/>
          <w:szCs w:val="14"/>
          <w:color w:val="auto"/>
        </w:rPr>
      </w:pPr>
      <w:r>
        <w:rPr>
          <w:rFonts w:ascii="Arial" w:cs="Arial" w:eastAsia="Arial" w:hAnsi="Arial"/>
          <w:sz w:val="14"/>
          <w:szCs w:val="14"/>
          <w:color w:val="auto"/>
        </w:rPr>
        <w:t>Net of valuation allowances and including non-performing loans.</w:t>
      </w:r>
    </w:p>
    <w:p>
      <w:pPr>
        <w:ind w:left="269" w:right="380" w:hanging="269"/>
        <w:spacing w:after="0" w:line="236" w:lineRule="auto"/>
        <w:tabs>
          <w:tab w:leader="none" w:pos="269"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spacing w:after="0" w:line="1" w:lineRule="exact"/>
        <w:rPr>
          <w:rFonts w:ascii="Arial" w:cs="Arial" w:eastAsia="Arial" w:hAnsi="Arial"/>
          <w:sz w:val="14"/>
          <w:szCs w:val="14"/>
          <w:color w:val="auto"/>
        </w:rPr>
      </w:pPr>
    </w:p>
    <w:p>
      <w:pPr>
        <w:ind w:left="269" w:hanging="269"/>
        <w:spacing w:after="0"/>
        <w:tabs>
          <w:tab w:leader="none" w:pos="269"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Balances are exclusive of any related discount or unamortized debt issuance costs.</w:t>
      </w:r>
    </w:p>
    <w:p>
      <w:pPr>
        <w:spacing w:after="0" w:line="7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Sensitivity Analysis</w:t>
      </w:r>
    </w:p>
    <w:p>
      <w:pPr>
        <w:spacing w:after="0" w:line="104"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Fair Value MSRs, Loans Held for Sale, Loans Held for Investment and Related Derivatives</w:t>
      </w:r>
    </w:p>
    <w:p>
      <w:pPr>
        <w:spacing w:after="0" w:line="100" w:lineRule="exact"/>
        <w:rPr>
          <w:sz w:val="20"/>
          <w:szCs w:val="20"/>
          <w:color w:val="auto"/>
        </w:rPr>
      </w:pPr>
    </w:p>
    <w:p>
      <w:pPr>
        <w:ind w:left="9" w:right="40" w:firstLine="272"/>
        <w:spacing w:after="0" w:line="265" w:lineRule="auto"/>
        <w:rPr>
          <w:sz w:val="20"/>
          <w:szCs w:val="20"/>
          <w:color w:val="auto"/>
        </w:rPr>
      </w:pPr>
      <w:r>
        <w:rPr>
          <w:rFonts w:ascii="Arial" w:cs="Arial" w:eastAsia="Arial" w:hAnsi="Arial"/>
          <w:sz w:val="15"/>
          <w:szCs w:val="15"/>
          <w:color w:val="auto"/>
        </w:rPr>
        <w:t>The following table summarizes the estimated change in the fair value of our MSRs, HECM loans held for investment and loans held for sale that we have elected to carry at fair value as well as any related derivatives at June 30, 2021, given hypothetical instantaneous parallel shifts in the yield curve. We used June 30, 2021 market rates to perform the sensitivity analysis. The estimates are based on the interest rate risk sensitive portfolios described in the preceding paragraphs and assume</w:t>
      </w:r>
    </w:p>
    <w:p>
      <w:pPr>
        <w:spacing w:after="0" w:line="200" w:lineRule="exact"/>
        <w:rPr>
          <w:sz w:val="20"/>
          <w:szCs w:val="20"/>
          <w:color w:val="auto"/>
        </w:rPr>
      </w:pPr>
    </w:p>
    <w:p>
      <w:pPr>
        <w:spacing w:after="0" w:line="23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9"/>
          </w:cols>
          <w:pgMar w:left="311" w:top="862" w:right="339" w:bottom="1440" w:gutter="0" w:footer="0" w:header="0"/>
        </w:sectPr>
      </w:pPr>
    </w:p>
    <w:bookmarkStart w:id="103" w:name="page104"/>
    <w:bookmarkEnd w:id="103"/>
    <w:p>
      <w:pPr>
        <w:ind w:left="9" w:right="300"/>
        <w:spacing w:after="0" w:line="273" w:lineRule="auto"/>
        <w:rPr>
          <w:sz w:val="20"/>
          <w:szCs w:val="20"/>
          <w:color w:val="auto"/>
        </w:rPr>
      </w:pPr>
      <w:r>
        <w:rPr>
          <w:rFonts w:ascii="Arial" w:cs="Arial" w:eastAsia="Arial" w:hAnsi="Arial"/>
          <w:sz w:val="15"/>
          <w:szCs w:val="15"/>
          <w:color w:val="auto"/>
        </w:rPr>
        <w:t>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5"/>
                <w:szCs w:val="15"/>
                <w:b w:val="1"/>
                <w:bCs w:val="1"/>
                <w:color w:val="auto"/>
              </w:rPr>
              <w:t>Change in Fair Value</w:t>
            </w:r>
          </w:p>
        </w:tc>
      </w:tr>
      <w:tr>
        <w:trPr>
          <w:trHeight w:val="185"/>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Down 25 bps</w:t>
            </w:r>
          </w:p>
        </w:tc>
        <w:tc>
          <w:tcPr>
            <w:tcW w:w="260" w:type="dxa"/>
            <w:vAlign w:val="bottom"/>
          </w:tcPr>
          <w:p>
            <w:pPr>
              <w:spacing w:after="0"/>
              <w:rPr>
                <w:sz w:val="16"/>
                <w:szCs w:val="16"/>
                <w:color w:val="auto"/>
              </w:rPr>
            </w:pPr>
          </w:p>
        </w:tc>
        <w:tc>
          <w:tcPr>
            <w:tcW w:w="1260" w:type="dxa"/>
            <w:vAlign w:val="bottom"/>
          </w:tcPr>
          <w:p>
            <w:pPr>
              <w:jc w:val="right"/>
              <w:ind w:right="364"/>
              <w:spacing w:after="0"/>
              <w:rPr>
                <w:sz w:val="20"/>
                <w:szCs w:val="20"/>
                <w:color w:val="auto"/>
              </w:rPr>
            </w:pPr>
            <w:r>
              <w:rPr>
                <w:rFonts w:ascii="Arial" w:cs="Arial" w:eastAsia="Arial" w:hAnsi="Arial"/>
                <w:sz w:val="15"/>
                <w:szCs w:val="15"/>
                <w:b w:val="1"/>
                <w:bCs w:val="1"/>
                <w:color w:val="auto"/>
              </w:rPr>
              <w:t>Up 25 bps</w:t>
            </w:r>
          </w:p>
        </w:tc>
      </w:tr>
      <w:tr>
        <w:trPr>
          <w:trHeight w:val="184"/>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 value of securitized HECM loans, net of HMBS-related borrowing</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Loans held for investment - Unsecuritized HECM loans and tails</w:t>
            </w:r>
          </w:p>
        </w:tc>
        <w:tc>
          <w:tcPr>
            <w:tcW w:w="2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Loans held for sale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r>
      <w:tr>
        <w:trPr>
          <w:trHeight w:val="192"/>
        </w:trPr>
        <w:tc>
          <w:tcPr>
            <w:tcW w:w="8060" w:type="dxa"/>
            <w:vAlign w:val="bottom"/>
          </w:tcPr>
          <w:p>
            <w:pPr>
              <w:spacing w:after="0"/>
              <w:rPr>
                <w:sz w:val="20"/>
                <w:szCs w:val="20"/>
                <w:color w:val="auto"/>
              </w:rPr>
            </w:pPr>
            <w:r>
              <w:rPr>
                <w:rFonts w:ascii="Arial" w:cs="Arial" w:eastAsia="Arial" w:hAnsi="Arial"/>
                <w:sz w:val="15"/>
                <w:szCs w:val="15"/>
                <w:color w:val="auto"/>
              </w:rPr>
              <w:t>Derivative instruments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(15.3)</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Total MSRs - Agency and non-Agency (1)</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w:t>
            </w:r>
          </w:p>
        </w:tc>
      </w:tr>
      <w:tr>
        <w:trPr>
          <w:trHeight w:val="192"/>
        </w:trPr>
        <w:tc>
          <w:tcPr>
            <w:tcW w:w="8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Interest rate lock commitments (2)</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21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net</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69" w:right="300" w:hanging="269"/>
        <w:spacing w:after="0" w:line="286" w:lineRule="auto"/>
        <w:tabs>
          <w:tab w:leader="none" w:pos="269"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Primarily reflects the impact of market interest rate changes on projected prepayments on the Agency MSR portfolio and on advance funding costs on the non-Agency MSR portfolio carried at fair value. Fair value adjustments to our MSRs are offset, in part, by fair value adjustments related to the NRZ financing liabilities, which are recorded in Pledged MSR liability expense.</w:t>
      </w:r>
    </w:p>
    <w:p>
      <w:pPr>
        <w:ind w:left="269" w:hanging="269"/>
        <w:spacing w:after="0"/>
        <w:tabs>
          <w:tab w:leader="none" w:pos="269"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Forward mortgage loans only.</w:t>
      </w:r>
    </w:p>
    <w:p>
      <w:pPr>
        <w:spacing w:after="0" w:line="75" w:lineRule="exact"/>
        <w:rPr>
          <w:sz w:val="20"/>
          <w:szCs w:val="20"/>
          <w:color w:val="auto"/>
        </w:rPr>
      </w:pPr>
    </w:p>
    <w:p>
      <w:pPr>
        <w:jc w:val="both"/>
        <w:ind w:left="9" w:right="40" w:firstLine="272"/>
        <w:spacing w:after="0" w:line="265" w:lineRule="auto"/>
        <w:rPr>
          <w:sz w:val="20"/>
          <w:szCs w:val="20"/>
          <w:color w:val="auto"/>
        </w:rPr>
      </w:pPr>
      <w:r>
        <w:rPr>
          <w:rFonts w:ascii="Arial" w:cs="Arial" w:eastAsia="Arial" w:hAnsi="Arial"/>
          <w:sz w:val="15"/>
          <w:szCs w:val="15"/>
          <w:color w:val="auto"/>
        </w:rPr>
        <w:t>The increase in our net sensitivity as of June 30, 2021 as compared to December 31, 2020 (from approximately $15 million to $37-38 million for a 25 basis point parallel shift in the yield curve) is primarily due to the growth of our Servicing and Originations businesses, with the significant increase in the size of our Agency MSR portfolio through bulk acquisitions and the increase in our pipeline, as our hedging strategy objectives and coverage ratio remained broadly similar.</w:t>
      </w:r>
    </w:p>
    <w:p>
      <w:pPr>
        <w:spacing w:after="0" w:line="64" w:lineRule="exact"/>
        <w:rPr>
          <w:sz w:val="20"/>
          <w:szCs w:val="20"/>
          <w:color w:val="auto"/>
        </w:rPr>
      </w:pPr>
    </w:p>
    <w:p>
      <w:pPr>
        <w:ind w:left="269"/>
        <w:spacing w:after="0"/>
        <w:rPr>
          <w:sz w:val="20"/>
          <w:szCs w:val="20"/>
          <w:color w:val="auto"/>
        </w:rPr>
      </w:pPr>
      <w:r>
        <w:rPr>
          <w:rFonts w:ascii="Arial" w:cs="Arial" w:eastAsia="Arial" w:hAnsi="Arial"/>
          <w:sz w:val="15"/>
          <w:szCs w:val="15"/>
          <w:i w:val="1"/>
          <w:iCs w:val="1"/>
          <w:color w:val="auto"/>
        </w:rPr>
        <w:t>Borrowings</w:t>
      </w:r>
    </w:p>
    <w:p>
      <w:pPr>
        <w:spacing w:after="0" w:line="100" w:lineRule="exact"/>
        <w:rPr>
          <w:sz w:val="20"/>
          <w:szCs w:val="20"/>
          <w:color w:val="auto"/>
        </w:rPr>
      </w:pPr>
    </w:p>
    <w:p>
      <w:pPr>
        <w:ind w:left="9" w:firstLine="272"/>
        <w:spacing w:after="0" w:line="278" w:lineRule="auto"/>
        <w:rPr>
          <w:sz w:val="20"/>
          <w:szCs w:val="20"/>
          <w:color w:val="auto"/>
        </w:rPr>
      </w:pPr>
      <w:r>
        <w:rPr>
          <w:rFonts w:ascii="Arial" w:cs="Arial" w:eastAsia="Arial" w:hAnsi="Arial"/>
          <w:sz w:val="15"/>
          <w:szCs w:val="15"/>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54" w:lineRule="exact"/>
        <w:rPr>
          <w:sz w:val="20"/>
          <w:szCs w:val="20"/>
          <w:color w:val="auto"/>
        </w:rPr>
      </w:pPr>
    </w:p>
    <w:p>
      <w:pPr>
        <w:ind w:left="9" w:right="100" w:firstLine="272"/>
        <w:spacing w:after="0" w:line="314" w:lineRule="auto"/>
        <w:rPr>
          <w:sz w:val="20"/>
          <w:szCs w:val="20"/>
          <w:color w:val="auto"/>
        </w:rPr>
      </w:pPr>
      <w:r>
        <w:rPr>
          <w:rFonts w:ascii="Arial" w:cs="Arial" w:eastAsia="Arial" w:hAnsi="Arial"/>
          <w:sz w:val="14"/>
          <w:szCs w:val="14"/>
          <w:color w:val="auto"/>
        </w:rPr>
        <w:t>Based on June 30, 2021 balances, if interest rates were to increase by 1% on our variable-rate debt and interest earning cash and float balances, we estimate a net positive impact of approximately $13.0 million resulting from an increase of $26.1 million in annual interest income and an increase of $13.1 million in annual interest expense.</w:t>
      </w:r>
    </w:p>
    <w:p>
      <w:pPr>
        <w:spacing w:after="0" w:line="2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Foreign Currency Exchange Rate Risk</w:t>
      </w:r>
    </w:p>
    <w:p>
      <w:pPr>
        <w:spacing w:after="0" w:line="104" w:lineRule="exact"/>
        <w:rPr>
          <w:sz w:val="20"/>
          <w:szCs w:val="20"/>
          <w:color w:val="auto"/>
        </w:rPr>
      </w:pPr>
    </w:p>
    <w:p>
      <w:pPr>
        <w:ind w:left="9" w:right="220" w:firstLine="272"/>
        <w:spacing w:after="0" w:line="339" w:lineRule="auto"/>
        <w:rPr>
          <w:sz w:val="20"/>
          <w:szCs w:val="20"/>
          <w:color w:val="auto"/>
        </w:rPr>
      </w:pPr>
      <w:r>
        <w:rPr>
          <w:rFonts w:ascii="Arial" w:cs="Arial" w:eastAsia="Arial" w:hAnsi="Arial"/>
          <w:sz w:val="13"/>
          <w:szCs w:val="13"/>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w:t>
      </w:r>
    </w:p>
    <w:p>
      <w:pPr>
        <w:spacing w:after="0" w:line="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Home Prices</w:t>
      </w:r>
    </w:p>
    <w:p>
      <w:pPr>
        <w:spacing w:after="0" w:line="104" w:lineRule="exact"/>
        <w:rPr>
          <w:sz w:val="20"/>
          <w:szCs w:val="20"/>
          <w:color w:val="auto"/>
        </w:rPr>
      </w:pPr>
    </w:p>
    <w:p>
      <w:pPr>
        <w:ind w:left="9" w:right="40" w:firstLine="272"/>
        <w:spacing w:after="0" w:line="281" w:lineRule="auto"/>
        <w:rPr>
          <w:sz w:val="20"/>
          <w:szCs w:val="20"/>
          <w:color w:val="auto"/>
        </w:rPr>
      </w:pPr>
      <w:r>
        <w:rPr>
          <w:rFonts w:ascii="Arial" w:cs="Arial" w:eastAsia="Arial" w:hAnsi="Arial"/>
          <w:sz w:val="14"/>
          <w:szCs w:val="14"/>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9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4. CONTROLS AND PROCEDURES</w:t>
      </w:r>
    </w:p>
    <w:p>
      <w:pPr>
        <w:spacing w:after="0" w:line="104" w:lineRule="exact"/>
        <w:rPr>
          <w:sz w:val="20"/>
          <w:szCs w:val="20"/>
          <w:color w:val="auto"/>
        </w:rPr>
      </w:pPr>
    </w:p>
    <w:p>
      <w:pPr>
        <w:ind w:left="9" w:right="320" w:firstLine="272"/>
        <w:spacing w:after="0" w:line="265" w:lineRule="auto"/>
        <w:rPr>
          <w:sz w:val="20"/>
          <w:szCs w:val="20"/>
          <w:color w:val="auto"/>
        </w:rPr>
      </w:pPr>
      <w:r>
        <w:rPr>
          <w:rFonts w:ascii="Arial" w:cs="Arial" w:eastAsia="Arial" w:hAnsi="Arial"/>
          <w:sz w:val="15"/>
          <w:szCs w:val="15"/>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June 30, 2021.</w:t>
      </w:r>
    </w:p>
    <w:p>
      <w:pPr>
        <w:spacing w:after="0" w:line="64" w:lineRule="exact"/>
        <w:rPr>
          <w:sz w:val="20"/>
          <w:szCs w:val="20"/>
          <w:color w:val="auto"/>
        </w:rPr>
      </w:pPr>
    </w:p>
    <w:p>
      <w:pPr>
        <w:ind w:left="9" w:right="20" w:firstLine="272"/>
        <w:spacing w:after="0" w:line="257" w:lineRule="auto"/>
        <w:rPr>
          <w:sz w:val="20"/>
          <w:szCs w:val="20"/>
          <w:color w:val="auto"/>
        </w:rPr>
      </w:pPr>
      <w:r>
        <w:rPr>
          <w:rFonts w:ascii="Arial" w:cs="Arial" w:eastAsia="Arial" w:hAnsi="Arial"/>
          <w:sz w:val="15"/>
          <w:szCs w:val="15"/>
          <w:color w:val="auto"/>
        </w:rPr>
        <w:t>Based on such evaluation, management concluded that our disclosure controls and procedures as of June 30, 2021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200" w:lineRule="exact"/>
        <w:rPr>
          <w:sz w:val="20"/>
          <w:szCs w:val="20"/>
          <w:color w:val="auto"/>
        </w:rPr>
      </w:pPr>
    </w:p>
    <w:p>
      <w:pPr>
        <w:spacing w:after="0" w:line="246"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9"/>
          </w:cols>
          <w:pgMar w:left="311" w:top="866" w:right="339" w:bottom="1440" w:gutter="0" w:footer="0" w:header="0"/>
        </w:sectPr>
      </w:pPr>
    </w:p>
    <w:bookmarkStart w:id="104" w:name="page105"/>
    <w:bookmarkEnd w:id="104"/>
    <w:p>
      <w:pPr>
        <w:ind w:right="360" w:firstLine="272"/>
        <w:spacing w:after="0" w:line="278" w:lineRule="auto"/>
        <w:rPr>
          <w:sz w:val="20"/>
          <w:szCs w:val="20"/>
          <w:color w:val="auto"/>
        </w:rPr>
      </w:pPr>
      <w:r>
        <w:rPr>
          <w:rFonts w:ascii="Arial" w:cs="Arial" w:eastAsia="Arial" w:hAnsi="Arial"/>
          <w:sz w:val="15"/>
          <w:szCs w:val="15"/>
          <w:color w:val="auto"/>
        </w:rPr>
        <w:t>There have not been any changes in our internal control over financial reporting that occurred during the fiscal quarter ended June 30, 2021 that have materially affected, or are reasonably likely to materially affect, our internal control over financial reporting.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 – OTHER INFORMATION</w:t>
      </w:r>
    </w:p>
    <w:p>
      <w:pPr>
        <w:spacing w:after="0" w:line="14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w:t>
        <w:tab/>
        <w:t>LEGAL PROCEEDINGS</w:t>
      </w:r>
    </w:p>
    <w:p>
      <w:pPr>
        <w:spacing w:after="0" w:line="104" w:lineRule="exact"/>
        <w:rPr>
          <w:sz w:val="20"/>
          <w:szCs w:val="20"/>
          <w:color w:val="auto"/>
        </w:rPr>
      </w:pPr>
    </w:p>
    <w:p>
      <w:pPr>
        <w:ind w:right="500" w:firstLine="272"/>
        <w:spacing w:after="0" w:line="278" w:lineRule="auto"/>
        <w:rPr>
          <w:rFonts w:ascii="Arial" w:cs="Arial" w:eastAsia="Arial" w:hAnsi="Arial"/>
          <w:sz w:val="15"/>
          <w:szCs w:val="15"/>
          <w:color w:val="auto"/>
        </w:rPr>
      </w:pPr>
      <w:r>
        <w:rPr>
          <w:rFonts w:ascii="Arial" w:cs="Arial" w:eastAsia="Arial" w:hAnsi="Arial"/>
          <w:sz w:val="15"/>
          <w:szCs w:val="15"/>
          <w:color w:val="auto"/>
        </w:rPr>
        <w:t xml:space="preserve">See </w:t>
      </w:r>
      <w:hyperlink w:anchor="page50">
        <w:r>
          <w:rPr>
            <w:rFonts w:ascii="Arial" w:cs="Arial" w:eastAsia="Arial" w:hAnsi="Arial"/>
            <w:sz w:val="15"/>
            <w:szCs w:val="15"/>
            <w:color w:val="auto"/>
          </w:rPr>
          <w:t xml:space="preserve">Note 19 – Regulatory Requirements </w:t>
        </w:r>
      </w:hyperlink>
      <w:r>
        <w:rPr>
          <w:rFonts w:ascii="Arial" w:cs="Arial" w:eastAsia="Arial" w:hAnsi="Arial"/>
          <w:sz w:val="15"/>
          <w:szCs w:val="15"/>
          <w:color w:val="auto"/>
        </w:rPr>
        <w:t xml:space="preserve">and </w:t>
      </w:r>
      <w:hyperlink w:anchor="page52">
        <w:r>
          <w:rPr>
            <w:rFonts w:ascii="Arial" w:cs="Arial" w:eastAsia="Arial" w:hAnsi="Arial"/>
            <w:sz w:val="15"/>
            <w:szCs w:val="15"/>
            <w:color w:val="auto"/>
          </w:rPr>
          <w:t xml:space="preserve">Note 21 – Contingencies </w:t>
        </w:r>
      </w:hyperlink>
      <w:r>
        <w:rPr>
          <w:rFonts w:ascii="Arial" w:cs="Arial" w:eastAsia="Arial" w:hAnsi="Arial"/>
          <w:sz w:val="15"/>
          <w:szCs w:val="15"/>
          <w:color w:val="auto"/>
        </w:rPr>
        <w:t>to the Unaudited Consolidated Financial Statements. That information is incorporated into this item by reference.</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04" w:lineRule="exact"/>
        <w:rPr>
          <w:sz w:val="20"/>
          <w:szCs w:val="20"/>
          <w:color w:val="auto"/>
        </w:rPr>
      </w:pPr>
    </w:p>
    <w:p>
      <w:pPr>
        <w:ind w:firstLine="272"/>
        <w:spacing w:after="0" w:line="278" w:lineRule="auto"/>
        <w:rPr>
          <w:sz w:val="20"/>
          <w:szCs w:val="20"/>
          <w:color w:val="auto"/>
        </w:rPr>
      </w:pPr>
      <w:r>
        <w:rPr>
          <w:rFonts w:ascii="Arial" w:cs="Arial" w:eastAsia="Arial" w:hAnsi="Arial"/>
          <w:sz w:val="14"/>
          <w:szCs w:val="14"/>
          <w:color w:val="auto"/>
        </w:rPr>
        <w:t>An investment in our common stock involves significant risk. We describe the most significant risks that management believes affect or could affect us under Part I of our Annual Report on Form 10-K for the year ended December 31, 2020 and in Item 1A. Risk Factors under Part II of our Quarterly Report on Form 10-Q for the period ended June 30, 2021.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392" w:lineRule="exact"/>
        <w:rPr>
          <w:sz w:val="20"/>
          <w:szCs w:val="20"/>
          <w:color w:val="auto"/>
        </w:rPr>
      </w:pPr>
    </w:p>
    <w:p>
      <w:pPr>
        <w:jc w:val="center"/>
        <w:ind w:right="5180"/>
        <w:spacing w:after="0"/>
        <w:tabs>
          <w:tab w:leader="none" w:pos="14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04" w:lineRule="exact"/>
        <w:rPr>
          <w:sz w:val="20"/>
          <w:szCs w:val="20"/>
          <w:color w:val="auto"/>
        </w:rPr>
      </w:pPr>
    </w:p>
    <w:p>
      <w:pPr>
        <w:jc w:val="center"/>
        <w:ind w:right="5160"/>
        <w:spacing w:after="0"/>
        <w:rPr>
          <w:sz w:val="20"/>
          <w:szCs w:val="20"/>
          <w:color w:val="auto"/>
        </w:rPr>
      </w:pPr>
      <w:r>
        <w:rPr>
          <w:rFonts w:ascii="Arial" w:cs="Arial" w:eastAsia="Arial" w:hAnsi="Arial"/>
          <w:sz w:val="15"/>
          <w:szCs w:val="15"/>
          <w:color w:val="auto"/>
        </w:rPr>
        <w:t>All unregistered sales of equity securities during the period have been previously disclosed.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Arial" w:cs="Arial" w:eastAsia="Arial" w:hAnsi="Arial"/>
                <w:sz w:val="15"/>
                <w:szCs w:val="15"/>
                <w:b w:val="1"/>
                <w:bCs w:val="1"/>
                <w:color w:val="auto"/>
              </w:rPr>
              <w:t>ITEM 6.   EXHIBITS</w:t>
            </w:r>
          </w:p>
        </w:tc>
        <w:tc>
          <w:tcPr>
            <w:tcW w:w="9380" w:type="dxa"/>
            <w:vAlign w:val="bottom"/>
          </w:tcPr>
          <w:p>
            <w:pPr>
              <w:spacing w:after="0"/>
              <w:rPr>
                <w:sz w:val="16"/>
                <w:szCs w:val="16"/>
                <w:color w:val="auto"/>
              </w:rPr>
            </w:pPr>
          </w:p>
        </w:tc>
      </w:tr>
      <w:tr>
        <w:trPr>
          <w:trHeight w:val="306"/>
        </w:trPr>
        <w:tc>
          <w:tcPr>
            <w:tcW w:w="1720" w:type="dxa"/>
            <w:vAlign w:val="bottom"/>
          </w:tcPr>
          <w:p>
            <w:pPr>
              <w:ind w:left="1040"/>
              <w:spacing w:after="0"/>
              <w:rPr>
                <w:rFonts w:ascii="Arial" w:cs="Arial" w:eastAsia="Arial" w:hAnsi="Arial"/>
                <w:sz w:val="15"/>
                <w:szCs w:val="15"/>
                <w:color w:val="auto"/>
              </w:rPr>
            </w:pPr>
            <w:hyperlink r:id="rId161">
              <w:r>
                <w:rPr>
                  <w:rFonts w:ascii="Arial" w:cs="Arial" w:eastAsia="Arial" w:hAnsi="Arial"/>
                  <w:sz w:val="15"/>
                  <w:szCs w:val="15"/>
                  <w:color w:val="auto"/>
                </w:rPr>
                <w:t>3.1</w:t>
              </w:r>
            </w:hyperlink>
          </w:p>
        </w:tc>
        <w:tc>
          <w:tcPr>
            <w:tcW w:w="9380" w:type="dxa"/>
            <w:vAlign w:val="bottom"/>
          </w:tcPr>
          <w:p>
            <w:pPr>
              <w:ind w:left="240"/>
              <w:spacing w:after="0"/>
              <w:rPr>
                <w:rFonts w:ascii="Arial" w:cs="Arial" w:eastAsia="Arial" w:hAnsi="Arial"/>
                <w:sz w:val="15"/>
                <w:szCs w:val="15"/>
                <w:color w:val="auto"/>
              </w:rPr>
            </w:pPr>
            <w:hyperlink r:id="rId161">
              <w:r>
                <w:rPr>
                  <w:rFonts w:ascii="Arial" w:cs="Arial" w:eastAsia="Arial" w:hAnsi="Arial"/>
                  <w:sz w:val="15"/>
                  <w:szCs w:val="15"/>
                  <w:color w:val="auto"/>
                </w:rPr>
                <w:t>Amended and Restated Articles of Incorporation, as amended (1)</w:t>
              </w:r>
            </w:hyperlink>
          </w:p>
        </w:tc>
      </w:tr>
      <w:tr>
        <w:trPr>
          <w:trHeight w:val="193"/>
        </w:trPr>
        <w:tc>
          <w:tcPr>
            <w:tcW w:w="1720" w:type="dxa"/>
            <w:vAlign w:val="bottom"/>
          </w:tcPr>
          <w:p>
            <w:pPr>
              <w:ind w:left="1040"/>
              <w:spacing w:after="0"/>
              <w:rPr>
                <w:rFonts w:ascii="Arial" w:cs="Arial" w:eastAsia="Arial" w:hAnsi="Arial"/>
                <w:sz w:val="15"/>
                <w:szCs w:val="15"/>
                <w:color w:val="auto"/>
              </w:rPr>
            </w:pPr>
            <w:hyperlink r:id="rId162">
              <w:r>
                <w:rPr>
                  <w:rFonts w:ascii="Arial" w:cs="Arial" w:eastAsia="Arial" w:hAnsi="Arial"/>
                  <w:sz w:val="15"/>
                  <w:szCs w:val="15"/>
                  <w:color w:val="auto"/>
                </w:rPr>
                <w:t>3.2</w:t>
              </w:r>
            </w:hyperlink>
          </w:p>
        </w:tc>
        <w:tc>
          <w:tcPr>
            <w:tcW w:w="9380" w:type="dxa"/>
            <w:vAlign w:val="bottom"/>
          </w:tcPr>
          <w:p>
            <w:pPr>
              <w:ind w:left="240"/>
              <w:spacing w:after="0"/>
              <w:rPr>
                <w:rFonts w:ascii="Arial" w:cs="Arial" w:eastAsia="Arial" w:hAnsi="Arial"/>
                <w:sz w:val="15"/>
                <w:szCs w:val="15"/>
                <w:color w:val="auto"/>
              </w:rPr>
            </w:pPr>
            <w:hyperlink r:id="rId162">
              <w:r>
                <w:rPr>
                  <w:rFonts w:ascii="Arial" w:cs="Arial" w:eastAsia="Arial" w:hAnsi="Arial"/>
                  <w:sz w:val="15"/>
                  <w:szCs w:val="15"/>
                  <w:color w:val="auto"/>
                </w:rPr>
                <w:t>Amended and Restated Bylaws of Ocwen Financial Corporation (2)</w:t>
              </w:r>
            </w:hyperlink>
          </w:p>
        </w:tc>
      </w:tr>
      <w:tr>
        <w:trPr>
          <w:trHeight w:val="150"/>
        </w:trPr>
        <w:tc>
          <w:tcPr>
            <w:tcW w:w="1720" w:type="dxa"/>
            <w:vAlign w:val="bottom"/>
          </w:tcPr>
          <w:p>
            <w:pPr>
              <w:ind w:left="1040"/>
              <w:spacing w:after="0" w:line="150" w:lineRule="exact"/>
              <w:rPr>
                <w:sz w:val="20"/>
                <w:szCs w:val="20"/>
                <w:color w:val="auto"/>
              </w:rPr>
            </w:pPr>
            <w:r>
              <w:rPr>
                <w:rFonts w:ascii="Arial" w:cs="Arial" w:eastAsia="Arial" w:hAnsi="Arial"/>
                <w:sz w:val="15"/>
                <w:szCs w:val="15"/>
                <w:color w:val="auto"/>
              </w:rPr>
              <w:t>4.1</w:t>
            </w:r>
          </w:p>
        </w:tc>
        <w:tc>
          <w:tcPr>
            <w:tcW w:w="9380" w:type="dxa"/>
            <w:vAlign w:val="bottom"/>
          </w:tcPr>
          <w:p>
            <w:pPr>
              <w:ind w:left="240"/>
              <w:spacing w:after="0" w:line="150" w:lineRule="exact"/>
              <w:rPr>
                <w:sz w:val="20"/>
                <w:szCs w:val="20"/>
                <w:color w:val="auto"/>
              </w:rPr>
            </w:pPr>
            <w:r>
              <w:rPr>
                <w:rFonts w:ascii="Arial" w:cs="Arial" w:eastAsia="Arial" w:hAnsi="Arial"/>
                <w:sz w:val="15"/>
                <w:szCs w:val="15"/>
                <w:color w:val="auto"/>
                <w:w w:val="92"/>
              </w:rPr>
              <w:t>The Company agrees to furnish to the Securities and Exchange Commission upon request a copy of each instrument with respect to the issuance of</w:t>
            </w:r>
          </w:p>
        </w:tc>
      </w:tr>
      <w:tr>
        <w:trPr>
          <w:trHeight w:val="147"/>
        </w:trPr>
        <w:tc>
          <w:tcPr>
            <w:tcW w:w="1720" w:type="dxa"/>
            <w:vAlign w:val="bottom"/>
          </w:tcPr>
          <w:p>
            <w:pPr>
              <w:spacing w:after="0"/>
              <w:rPr>
                <w:sz w:val="12"/>
                <w:szCs w:val="12"/>
                <w:color w:val="auto"/>
              </w:rPr>
            </w:pPr>
          </w:p>
        </w:tc>
        <w:tc>
          <w:tcPr>
            <w:tcW w:w="9380" w:type="dxa"/>
            <w:vAlign w:val="bottom"/>
          </w:tcPr>
          <w:p>
            <w:pPr>
              <w:ind w:left="240"/>
              <w:spacing w:after="0" w:line="148" w:lineRule="exact"/>
              <w:rPr>
                <w:sz w:val="20"/>
                <w:szCs w:val="20"/>
                <w:color w:val="auto"/>
              </w:rPr>
            </w:pPr>
            <w:r>
              <w:rPr>
                <w:rFonts w:ascii="Arial" w:cs="Arial" w:eastAsia="Arial" w:hAnsi="Arial"/>
                <w:sz w:val="15"/>
                <w:szCs w:val="15"/>
                <w:color w:val="auto"/>
                <w:w w:val="92"/>
              </w:rPr>
              <w:t>long-term debt of the Company and its subsidiaries, the authorized principal amount of which does not exceed 10% of the consolidated assets of the</w:t>
            </w:r>
          </w:p>
        </w:tc>
      </w:tr>
      <w:tr>
        <w:trPr>
          <w:trHeight w:val="191"/>
        </w:trPr>
        <w:tc>
          <w:tcPr>
            <w:tcW w:w="1720" w:type="dxa"/>
            <w:vAlign w:val="bottom"/>
          </w:tcPr>
          <w:p>
            <w:pPr>
              <w:spacing w:after="0"/>
              <w:rPr>
                <w:sz w:val="16"/>
                <w:szCs w:val="16"/>
                <w:color w:val="auto"/>
              </w:rPr>
            </w:pPr>
          </w:p>
        </w:tc>
        <w:tc>
          <w:tcPr>
            <w:tcW w:w="9380" w:type="dxa"/>
            <w:vAlign w:val="bottom"/>
          </w:tcPr>
          <w:p>
            <w:pPr>
              <w:ind w:left="240"/>
              <w:spacing w:after="0"/>
              <w:rPr>
                <w:sz w:val="20"/>
                <w:szCs w:val="20"/>
                <w:color w:val="auto"/>
              </w:rPr>
            </w:pPr>
            <w:r>
              <w:rPr>
                <w:rFonts w:ascii="Arial" w:cs="Arial" w:eastAsia="Arial" w:hAnsi="Arial"/>
                <w:sz w:val="15"/>
                <w:szCs w:val="15"/>
                <w:color w:val="auto"/>
              </w:rPr>
              <w:t>Company and its subsidiaries.</w:t>
            </w:r>
          </w:p>
        </w:tc>
      </w:tr>
      <w:tr>
        <w:trPr>
          <w:trHeight w:val="193"/>
        </w:trPr>
        <w:tc>
          <w:tcPr>
            <w:tcW w:w="1720" w:type="dxa"/>
            <w:vAlign w:val="bottom"/>
          </w:tcPr>
          <w:p>
            <w:pPr>
              <w:ind w:left="1040"/>
              <w:spacing w:after="0"/>
              <w:rPr>
                <w:rFonts w:ascii="Arial" w:cs="Arial" w:eastAsia="Arial" w:hAnsi="Arial"/>
                <w:sz w:val="15"/>
                <w:szCs w:val="15"/>
                <w:color w:val="auto"/>
              </w:rPr>
            </w:pPr>
            <w:hyperlink r:id="rId163">
              <w:r>
                <w:rPr>
                  <w:rFonts w:ascii="Arial" w:cs="Arial" w:eastAsia="Arial" w:hAnsi="Arial"/>
                  <w:sz w:val="15"/>
                  <w:szCs w:val="15"/>
                  <w:color w:val="auto"/>
                </w:rPr>
                <w:t>10.1*</w:t>
              </w:r>
            </w:hyperlink>
          </w:p>
        </w:tc>
        <w:tc>
          <w:tcPr>
            <w:tcW w:w="9380" w:type="dxa"/>
            <w:vAlign w:val="bottom"/>
          </w:tcPr>
          <w:p>
            <w:pPr>
              <w:ind w:left="240"/>
              <w:spacing w:after="0"/>
              <w:rPr>
                <w:rFonts w:ascii="Arial" w:cs="Arial" w:eastAsia="Arial" w:hAnsi="Arial"/>
                <w:sz w:val="15"/>
                <w:szCs w:val="15"/>
                <w:color w:val="auto"/>
              </w:rPr>
            </w:pPr>
            <w:hyperlink r:id="rId163">
              <w:r>
                <w:rPr>
                  <w:rFonts w:ascii="Arial" w:cs="Arial" w:eastAsia="Arial" w:hAnsi="Arial"/>
                  <w:sz w:val="15"/>
                  <w:szCs w:val="15"/>
                  <w:color w:val="auto"/>
                </w:rPr>
                <w:t>Ocwen Financial Corporation 2021 Equity Incentive Plan (3)</w:t>
              </w:r>
            </w:hyperlink>
          </w:p>
        </w:tc>
      </w:tr>
      <w:tr>
        <w:trPr>
          <w:trHeight w:val="193"/>
        </w:trPr>
        <w:tc>
          <w:tcPr>
            <w:tcW w:w="1720" w:type="dxa"/>
            <w:vAlign w:val="bottom"/>
          </w:tcPr>
          <w:p>
            <w:pPr>
              <w:ind w:left="1040"/>
              <w:spacing w:after="0"/>
              <w:rPr>
                <w:rFonts w:ascii="Arial" w:cs="Arial" w:eastAsia="Arial" w:hAnsi="Arial"/>
                <w:sz w:val="15"/>
                <w:szCs w:val="15"/>
                <w:color w:val="auto"/>
              </w:rPr>
            </w:pPr>
            <w:hyperlink w:anchor="page108">
              <w:r>
                <w:rPr>
                  <w:rFonts w:ascii="Arial" w:cs="Arial" w:eastAsia="Arial" w:hAnsi="Arial"/>
                  <w:sz w:val="15"/>
                  <w:szCs w:val="15"/>
                  <w:color w:val="auto"/>
                </w:rPr>
                <w:t>10.2†</w:t>
              </w:r>
            </w:hyperlink>
          </w:p>
        </w:tc>
        <w:tc>
          <w:tcPr>
            <w:tcW w:w="9380" w:type="dxa"/>
            <w:vAlign w:val="bottom"/>
          </w:tcPr>
          <w:p>
            <w:pPr>
              <w:ind w:left="240"/>
              <w:spacing w:after="0"/>
              <w:rPr>
                <w:rFonts w:ascii="Arial" w:cs="Arial" w:eastAsia="Arial" w:hAnsi="Arial"/>
                <w:sz w:val="15"/>
                <w:szCs w:val="15"/>
                <w:color w:val="auto"/>
                <w:w w:val="92"/>
              </w:rPr>
            </w:pPr>
            <w:hyperlink w:anchor="page108">
              <w:r>
                <w:rPr>
                  <w:rFonts w:ascii="Arial" w:cs="Arial" w:eastAsia="Arial" w:hAnsi="Arial"/>
                  <w:sz w:val="15"/>
                  <w:szCs w:val="15"/>
                  <w:color w:val="auto"/>
                  <w:w w:val="92"/>
                </w:rPr>
                <w:t>Binding Term Sheet among Ocwen Financial Corporation, Ocwen USVI Services, LLC and Altisource S.à r.l. dated as of May 5, 2021 (filed herewith)</w:t>
              </w:r>
            </w:hyperlink>
          </w:p>
        </w:tc>
      </w:tr>
      <w:tr>
        <w:trPr>
          <w:trHeight w:val="161"/>
        </w:trPr>
        <w:tc>
          <w:tcPr>
            <w:tcW w:w="1720" w:type="dxa"/>
            <w:vAlign w:val="bottom"/>
          </w:tcPr>
          <w:p>
            <w:pPr>
              <w:ind w:left="1040"/>
              <w:spacing w:after="0" w:line="161" w:lineRule="exact"/>
              <w:rPr>
                <w:rFonts w:ascii="Arial" w:cs="Arial" w:eastAsia="Arial" w:hAnsi="Arial"/>
                <w:sz w:val="15"/>
                <w:szCs w:val="15"/>
                <w:color w:val="auto"/>
              </w:rPr>
            </w:pPr>
            <w:hyperlink w:anchor="page117">
              <w:r>
                <w:rPr>
                  <w:rFonts w:ascii="Arial" w:cs="Arial" w:eastAsia="Arial" w:hAnsi="Arial"/>
                  <w:sz w:val="15"/>
                  <w:szCs w:val="15"/>
                  <w:color w:val="auto"/>
                </w:rPr>
                <w:t>10.3†</w:t>
              </w:r>
            </w:hyperlink>
          </w:p>
        </w:tc>
        <w:tc>
          <w:tcPr>
            <w:tcW w:w="9380" w:type="dxa"/>
            <w:vAlign w:val="bottom"/>
          </w:tcPr>
          <w:p>
            <w:pPr>
              <w:ind w:left="240"/>
              <w:spacing w:after="0" w:line="161" w:lineRule="exact"/>
              <w:rPr>
                <w:rFonts w:ascii="Arial" w:cs="Arial" w:eastAsia="Arial" w:hAnsi="Arial"/>
                <w:sz w:val="15"/>
                <w:szCs w:val="15"/>
                <w:color w:val="auto"/>
                <w:w w:val="91"/>
              </w:rPr>
            </w:pPr>
            <w:hyperlink w:anchor="page117">
              <w:r>
                <w:rPr>
                  <w:rFonts w:ascii="Arial" w:cs="Arial" w:eastAsia="Arial" w:hAnsi="Arial"/>
                  <w:sz w:val="15"/>
                  <w:szCs w:val="15"/>
                  <w:color w:val="auto"/>
                  <w:w w:val="91"/>
                </w:rPr>
                <w:t>Bulk Servicing Rights Purchase and Sale Agreement between PHH Mortgage Corporation and AmeriHome Mortgage Company, LLC dated as of May</w:t>
              </w:r>
            </w:hyperlink>
          </w:p>
        </w:tc>
      </w:tr>
      <w:tr>
        <w:trPr>
          <w:trHeight w:val="191"/>
        </w:trPr>
        <w:tc>
          <w:tcPr>
            <w:tcW w:w="1720" w:type="dxa"/>
            <w:vAlign w:val="bottom"/>
          </w:tcPr>
          <w:p>
            <w:pPr>
              <w:spacing w:after="0"/>
              <w:rPr>
                <w:sz w:val="16"/>
                <w:szCs w:val="16"/>
                <w:color w:val="auto"/>
              </w:rPr>
            </w:pPr>
          </w:p>
        </w:tc>
        <w:tc>
          <w:tcPr>
            <w:tcW w:w="9380" w:type="dxa"/>
            <w:vAlign w:val="bottom"/>
          </w:tcPr>
          <w:p>
            <w:pPr>
              <w:ind w:left="240"/>
              <w:spacing w:after="0"/>
              <w:rPr>
                <w:rFonts w:ascii="Arial" w:cs="Arial" w:eastAsia="Arial" w:hAnsi="Arial"/>
                <w:sz w:val="15"/>
                <w:szCs w:val="15"/>
                <w:color w:val="auto"/>
              </w:rPr>
            </w:pPr>
            <w:hyperlink w:anchor="page117">
              <w:r>
                <w:rPr>
                  <w:rFonts w:ascii="Arial" w:cs="Arial" w:eastAsia="Arial" w:hAnsi="Arial"/>
                  <w:sz w:val="15"/>
                  <w:szCs w:val="15"/>
                  <w:color w:val="auto"/>
                </w:rPr>
                <w:t>21, 2021 (filed herewith)</w:t>
              </w:r>
            </w:hyperlink>
          </w:p>
        </w:tc>
      </w:tr>
      <w:tr>
        <w:trPr>
          <w:trHeight w:val="601"/>
        </w:trPr>
        <w:tc>
          <w:tcPr>
            <w:tcW w:w="1720" w:type="dxa"/>
            <w:vAlign w:val="bottom"/>
          </w:tcPr>
          <w:p>
            <w:pPr>
              <w:ind w:left="1040"/>
              <w:spacing w:after="0"/>
              <w:rPr>
                <w:rFonts w:ascii="Arial" w:cs="Arial" w:eastAsia="Arial" w:hAnsi="Arial"/>
                <w:sz w:val="15"/>
                <w:szCs w:val="15"/>
                <w:color w:val="auto"/>
              </w:rPr>
            </w:pPr>
            <w:hyperlink w:anchor="page177">
              <w:r>
                <w:rPr>
                  <w:rFonts w:ascii="Arial" w:cs="Arial" w:eastAsia="Arial" w:hAnsi="Arial"/>
                  <w:sz w:val="15"/>
                  <w:szCs w:val="15"/>
                  <w:color w:val="auto"/>
                </w:rPr>
                <w:t>31.1</w:t>
              </w:r>
            </w:hyperlink>
          </w:p>
        </w:tc>
        <w:tc>
          <w:tcPr>
            <w:tcW w:w="9380" w:type="dxa"/>
            <w:vAlign w:val="bottom"/>
          </w:tcPr>
          <w:p>
            <w:pPr>
              <w:ind w:left="240"/>
              <w:spacing w:after="0"/>
              <w:rPr>
                <w:rFonts w:ascii="Arial" w:cs="Arial" w:eastAsia="Arial" w:hAnsi="Arial"/>
                <w:sz w:val="15"/>
                <w:szCs w:val="15"/>
                <w:color w:val="auto"/>
              </w:rPr>
            </w:pPr>
            <w:hyperlink w:anchor="page177">
              <w:r>
                <w:rPr>
                  <w:rFonts w:ascii="Arial" w:cs="Arial" w:eastAsia="Arial" w:hAnsi="Arial"/>
                  <w:sz w:val="15"/>
                  <w:szCs w:val="15"/>
                  <w:color w:val="auto"/>
                </w:rPr>
                <w:t>Certification of the principal executive officer pursuant to Section 302 of the Sarbanes-Oxley Act of 2002 (filed herewith)</w:t>
              </w:r>
            </w:hyperlink>
          </w:p>
        </w:tc>
      </w:tr>
      <w:tr>
        <w:trPr>
          <w:trHeight w:val="193"/>
        </w:trPr>
        <w:tc>
          <w:tcPr>
            <w:tcW w:w="1720" w:type="dxa"/>
            <w:vAlign w:val="bottom"/>
          </w:tcPr>
          <w:p>
            <w:pPr>
              <w:ind w:left="1040"/>
              <w:spacing w:after="0"/>
              <w:rPr>
                <w:rFonts w:ascii="Arial" w:cs="Arial" w:eastAsia="Arial" w:hAnsi="Arial"/>
                <w:sz w:val="15"/>
                <w:szCs w:val="15"/>
                <w:color w:val="auto"/>
              </w:rPr>
            </w:pPr>
            <w:hyperlink w:anchor="page178">
              <w:r>
                <w:rPr>
                  <w:rFonts w:ascii="Arial" w:cs="Arial" w:eastAsia="Arial" w:hAnsi="Arial"/>
                  <w:sz w:val="15"/>
                  <w:szCs w:val="15"/>
                  <w:color w:val="auto"/>
                </w:rPr>
                <w:t>31.2</w:t>
              </w:r>
            </w:hyperlink>
          </w:p>
        </w:tc>
        <w:tc>
          <w:tcPr>
            <w:tcW w:w="9380" w:type="dxa"/>
            <w:vAlign w:val="bottom"/>
          </w:tcPr>
          <w:p>
            <w:pPr>
              <w:ind w:left="240"/>
              <w:spacing w:after="0"/>
              <w:rPr>
                <w:rFonts w:ascii="Arial" w:cs="Arial" w:eastAsia="Arial" w:hAnsi="Arial"/>
                <w:sz w:val="15"/>
                <w:szCs w:val="15"/>
                <w:color w:val="auto"/>
              </w:rPr>
            </w:pPr>
            <w:hyperlink w:anchor="page178">
              <w:r>
                <w:rPr>
                  <w:rFonts w:ascii="Arial" w:cs="Arial" w:eastAsia="Arial" w:hAnsi="Arial"/>
                  <w:sz w:val="15"/>
                  <w:szCs w:val="15"/>
                  <w:color w:val="auto"/>
                </w:rPr>
                <w:t>Certification of the principal financial officer pursuant to Section 302 of the Sarbanes-Oxley Act of 2002 (filed herewith)</w:t>
              </w:r>
            </w:hyperlink>
          </w:p>
        </w:tc>
      </w:tr>
      <w:tr>
        <w:trPr>
          <w:trHeight w:val="150"/>
        </w:trPr>
        <w:tc>
          <w:tcPr>
            <w:tcW w:w="1720" w:type="dxa"/>
            <w:vAlign w:val="bottom"/>
          </w:tcPr>
          <w:p>
            <w:pPr>
              <w:ind w:left="1040"/>
              <w:spacing w:after="0" w:line="150" w:lineRule="exact"/>
              <w:rPr>
                <w:rFonts w:ascii="Arial" w:cs="Arial" w:eastAsia="Arial" w:hAnsi="Arial"/>
                <w:sz w:val="15"/>
                <w:szCs w:val="15"/>
                <w:color w:val="auto"/>
              </w:rPr>
            </w:pPr>
            <w:hyperlink w:anchor="page179">
              <w:r>
                <w:rPr>
                  <w:rFonts w:ascii="Arial" w:cs="Arial" w:eastAsia="Arial" w:hAnsi="Arial"/>
                  <w:sz w:val="15"/>
                  <w:szCs w:val="15"/>
                  <w:color w:val="auto"/>
                </w:rPr>
                <w:t>32.1</w:t>
              </w:r>
            </w:hyperlink>
          </w:p>
        </w:tc>
        <w:tc>
          <w:tcPr>
            <w:tcW w:w="9380" w:type="dxa"/>
            <w:vAlign w:val="bottom"/>
          </w:tcPr>
          <w:p>
            <w:pPr>
              <w:ind w:left="240"/>
              <w:spacing w:after="0" w:line="150" w:lineRule="exact"/>
              <w:rPr>
                <w:rFonts w:ascii="Arial" w:cs="Arial" w:eastAsia="Arial" w:hAnsi="Arial"/>
                <w:sz w:val="15"/>
                <w:szCs w:val="15"/>
                <w:color w:val="auto"/>
                <w:w w:val="93"/>
              </w:rPr>
            </w:pPr>
            <w:hyperlink w:anchor="page179">
              <w:r>
                <w:rPr>
                  <w:rFonts w:ascii="Arial" w:cs="Arial" w:eastAsia="Arial" w:hAnsi="Arial"/>
                  <w:sz w:val="15"/>
                  <w:szCs w:val="15"/>
                  <w:color w:val="auto"/>
                  <w:w w:val="93"/>
                </w:rPr>
                <w:t>Certification of the principal executive officer pursuant to 18 U.S.C. Section 1350, as adopted pursuant to Section 906 of the Sarbanes-Oxley Act of</w:t>
              </w:r>
            </w:hyperlink>
          </w:p>
        </w:tc>
      </w:tr>
      <w:tr>
        <w:trPr>
          <w:trHeight w:val="191"/>
        </w:trPr>
        <w:tc>
          <w:tcPr>
            <w:tcW w:w="1720" w:type="dxa"/>
            <w:vAlign w:val="bottom"/>
          </w:tcPr>
          <w:p>
            <w:pPr>
              <w:spacing w:after="0"/>
              <w:rPr>
                <w:sz w:val="16"/>
                <w:szCs w:val="16"/>
                <w:color w:val="auto"/>
              </w:rPr>
            </w:pPr>
          </w:p>
        </w:tc>
        <w:tc>
          <w:tcPr>
            <w:tcW w:w="9380" w:type="dxa"/>
            <w:vAlign w:val="bottom"/>
          </w:tcPr>
          <w:p>
            <w:pPr>
              <w:ind w:left="240"/>
              <w:spacing w:after="0"/>
              <w:rPr>
                <w:rFonts w:ascii="Arial" w:cs="Arial" w:eastAsia="Arial" w:hAnsi="Arial"/>
                <w:sz w:val="15"/>
                <w:szCs w:val="15"/>
                <w:color w:val="auto"/>
              </w:rPr>
            </w:pPr>
            <w:hyperlink w:anchor="page179">
              <w:r>
                <w:rPr>
                  <w:rFonts w:ascii="Arial" w:cs="Arial" w:eastAsia="Arial" w:hAnsi="Arial"/>
                  <w:sz w:val="15"/>
                  <w:szCs w:val="15"/>
                  <w:color w:val="auto"/>
                </w:rPr>
                <w:t>2002 (furnished herewith)</w:t>
              </w:r>
            </w:hyperlink>
          </w:p>
        </w:tc>
      </w:tr>
      <w:tr>
        <w:trPr>
          <w:trHeight w:val="150"/>
        </w:trPr>
        <w:tc>
          <w:tcPr>
            <w:tcW w:w="1720" w:type="dxa"/>
            <w:vAlign w:val="bottom"/>
          </w:tcPr>
          <w:p>
            <w:pPr>
              <w:ind w:left="1040"/>
              <w:spacing w:after="0" w:line="150" w:lineRule="exact"/>
              <w:rPr>
                <w:rFonts w:ascii="Arial" w:cs="Arial" w:eastAsia="Arial" w:hAnsi="Arial"/>
                <w:sz w:val="15"/>
                <w:szCs w:val="15"/>
                <w:color w:val="auto"/>
              </w:rPr>
            </w:pPr>
            <w:hyperlink w:anchor="page180">
              <w:r>
                <w:rPr>
                  <w:rFonts w:ascii="Arial" w:cs="Arial" w:eastAsia="Arial" w:hAnsi="Arial"/>
                  <w:sz w:val="15"/>
                  <w:szCs w:val="15"/>
                  <w:color w:val="auto"/>
                </w:rPr>
                <w:t>32.2</w:t>
              </w:r>
            </w:hyperlink>
          </w:p>
        </w:tc>
        <w:tc>
          <w:tcPr>
            <w:tcW w:w="9380" w:type="dxa"/>
            <w:vAlign w:val="bottom"/>
          </w:tcPr>
          <w:p>
            <w:pPr>
              <w:ind w:left="240"/>
              <w:spacing w:after="0" w:line="150" w:lineRule="exact"/>
              <w:rPr>
                <w:rFonts w:ascii="Arial" w:cs="Arial" w:eastAsia="Arial" w:hAnsi="Arial"/>
                <w:sz w:val="15"/>
                <w:szCs w:val="15"/>
                <w:color w:val="auto"/>
                <w:w w:val="94"/>
              </w:rPr>
            </w:pPr>
            <w:hyperlink w:anchor="page180">
              <w:r>
                <w:rPr>
                  <w:rFonts w:ascii="Arial" w:cs="Arial" w:eastAsia="Arial" w:hAnsi="Arial"/>
                  <w:sz w:val="15"/>
                  <w:szCs w:val="15"/>
                  <w:color w:val="auto"/>
                  <w:w w:val="94"/>
                </w:rPr>
                <w:t>Certification of the principal financial officer pursuant to 18 U.S.C. Section 1350, as adopted pursuant to Section 906 of the Sarbanes-Oxley Act of</w:t>
              </w:r>
            </w:hyperlink>
          </w:p>
        </w:tc>
      </w:tr>
      <w:tr>
        <w:trPr>
          <w:trHeight w:val="191"/>
        </w:trPr>
        <w:tc>
          <w:tcPr>
            <w:tcW w:w="1720" w:type="dxa"/>
            <w:vAlign w:val="bottom"/>
          </w:tcPr>
          <w:p>
            <w:pPr>
              <w:spacing w:after="0"/>
              <w:rPr>
                <w:sz w:val="16"/>
                <w:szCs w:val="16"/>
                <w:color w:val="auto"/>
              </w:rPr>
            </w:pPr>
          </w:p>
        </w:tc>
        <w:tc>
          <w:tcPr>
            <w:tcW w:w="9380" w:type="dxa"/>
            <w:vAlign w:val="bottom"/>
          </w:tcPr>
          <w:p>
            <w:pPr>
              <w:ind w:left="240"/>
              <w:spacing w:after="0"/>
              <w:rPr>
                <w:rFonts w:ascii="Arial" w:cs="Arial" w:eastAsia="Arial" w:hAnsi="Arial"/>
                <w:sz w:val="15"/>
                <w:szCs w:val="15"/>
                <w:color w:val="auto"/>
              </w:rPr>
            </w:pPr>
            <w:hyperlink w:anchor="page180">
              <w:r>
                <w:rPr>
                  <w:rFonts w:ascii="Arial" w:cs="Arial" w:eastAsia="Arial" w:hAnsi="Arial"/>
                  <w:sz w:val="15"/>
                  <w:szCs w:val="15"/>
                  <w:color w:val="auto"/>
                </w:rPr>
                <w:t>2002 (furnished herewith)</w:t>
              </w:r>
            </w:hyperlink>
          </w:p>
        </w:tc>
      </w:tr>
    </w:tbl>
    <w:p>
      <w:pPr>
        <w:spacing w:after="0" w:line="2" w:lineRule="exact"/>
        <w:rPr>
          <w:sz w:val="20"/>
          <w:szCs w:val="20"/>
          <w:color w:val="auto"/>
        </w:rPr>
      </w:pPr>
    </w:p>
    <w:p>
      <w:pPr>
        <w:ind w:left="1960" w:right="120" w:hanging="876"/>
        <w:spacing w:after="0" w:line="220" w:lineRule="auto"/>
        <w:tabs>
          <w:tab w:leader="none" w:pos="19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following financial statements from the Company’s Quarterly Report on Form 10-Q for the quarter ended June 30, 2021 were formatted in Inline XBRL: (i) Consolidated Balance Sheets, (ii) Consolidated Statements of Operations, (iii) Consolidated Statements of Comprehensive Income (Loss), (iv) Consolidated Statements of Changes in Equity, (v) Consolidated Statements of Cash Flows, and (v) the Notes to Unaudited Consolidated Financial Statements, tagged as blocks of text and including detailed tags.</w:t>
      </w:r>
    </w:p>
    <w:p>
      <w:pPr>
        <w:spacing w:after="0" w:line="207" w:lineRule="exact"/>
        <w:rPr>
          <w:sz w:val="20"/>
          <w:szCs w:val="20"/>
          <w:color w:val="auto"/>
        </w:rPr>
      </w:pPr>
    </w:p>
    <w:p>
      <w:pPr>
        <w:ind w:left="1960" w:right="480" w:hanging="876"/>
        <w:spacing w:after="0" w:line="235" w:lineRule="auto"/>
        <w:tabs>
          <w:tab w:leader="none" w:pos="19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cover page from the Company’s Quarterly Report on Form 10-Q for the quarter ended June 30, 2021,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7931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05" w:name="page106"/>
    <w:bookmarkEnd w:id="105"/>
    <w:p>
      <w:pPr>
        <w:ind w:left="9"/>
        <w:spacing w:after="0"/>
        <w:tabs>
          <w:tab w:leader="none" w:pos="209"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Management contract or compensatory plan or agreement.</w:t>
      </w:r>
    </w:p>
    <w:p>
      <w:pPr>
        <w:spacing w:after="0" w:line="77" w:lineRule="exact"/>
        <w:rPr>
          <w:sz w:val="20"/>
          <w:szCs w:val="20"/>
          <w:color w:val="auto"/>
        </w:rPr>
      </w:pPr>
    </w:p>
    <w:p>
      <w:pPr>
        <w:ind w:left="269" w:hanging="269"/>
        <w:spacing w:after="0" w:line="246" w:lineRule="auto"/>
        <w:tabs>
          <w:tab w:leader="none" w:pos="118" w:val="left"/>
        </w:tabs>
        <w:numPr>
          <w:ilvl w:val="0"/>
          <w:numId w:val="69"/>
        </w:numPr>
        <w:rPr>
          <w:rFonts w:ascii="Arial" w:cs="Arial" w:eastAsia="Arial" w:hAnsi="Arial"/>
          <w:sz w:val="15"/>
          <w:szCs w:val="15"/>
          <w:color w:val="auto"/>
        </w:rPr>
      </w:pPr>
      <w:r>
        <w:rPr>
          <w:rFonts w:ascii="Arial" w:cs="Arial" w:eastAsia="Arial" w:hAnsi="Arial"/>
          <w:sz w:val="15"/>
          <w:szCs w:val="15"/>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21" w:lineRule="exact"/>
        <w:rPr>
          <w:sz w:val="20"/>
          <w:szCs w:val="20"/>
          <w:color w:val="auto"/>
        </w:rPr>
      </w:pPr>
    </w:p>
    <w:p>
      <w:pPr>
        <w:ind w:left="269" w:hanging="269"/>
        <w:spacing w:after="0"/>
        <w:tabs>
          <w:tab w:leader="none" w:pos="269"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Incorporated by reference to the similarly described exhibit to the Registrant’s Form 10-Q for the period ended September 30, 2020.</w:t>
      </w:r>
    </w:p>
    <w:p>
      <w:pPr>
        <w:spacing w:after="0" w:line="43" w:lineRule="exact"/>
        <w:rPr>
          <w:rFonts w:ascii="Arial" w:cs="Arial" w:eastAsia="Arial" w:hAnsi="Arial"/>
          <w:sz w:val="15"/>
          <w:szCs w:val="15"/>
          <w:color w:val="auto"/>
        </w:rPr>
      </w:pPr>
    </w:p>
    <w:p>
      <w:pPr>
        <w:ind w:left="269" w:hanging="269"/>
        <w:spacing w:after="0"/>
        <w:tabs>
          <w:tab w:leader="none" w:pos="269"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Incorporated by reference to the similarly described exhibit to the Registrant’s Form 8-K filed on February 25, 2019.</w:t>
      </w:r>
    </w:p>
    <w:p>
      <w:pPr>
        <w:spacing w:after="0" w:line="31" w:lineRule="exact"/>
        <w:rPr>
          <w:rFonts w:ascii="Arial" w:cs="Arial" w:eastAsia="Arial" w:hAnsi="Arial"/>
          <w:sz w:val="15"/>
          <w:szCs w:val="15"/>
          <w:color w:val="auto"/>
        </w:rPr>
      </w:pPr>
    </w:p>
    <w:p>
      <w:pPr>
        <w:ind w:left="269" w:hanging="269"/>
        <w:spacing w:after="0"/>
        <w:tabs>
          <w:tab w:leader="none" w:pos="269"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Incorporated by reference to the similarly described exhibit to the Registrant’s Form 8-K filed on May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48"/>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931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009"/>
          </w:cols>
          <w:pgMar w:left="311" w:top="821" w:right="579" w:bottom="1440" w:gutter="0" w:footer="0" w:header="0"/>
        </w:sectPr>
      </w:pPr>
    </w:p>
    <w:bookmarkStart w:id="106" w:name="page107"/>
    <w:bookmarkEnd w:id="106"/>
    <w:p>
      <w:pPr>
        <w:jc w:val="center"/>
        <w:ind w:right="-139"/>
        <w:spacing w:after="0"/>
        <w:rPr>
          <w:sz w:val="20"/>
          <w:szCs w:val="20"/>
          <w:color w:val="auto"/>
        </w:rPr>
      </w:pPr>
      <w:r>
        <w:rPr>
          <w:rFonts w:ascii="Arial" w:cs="Arial" w:eastAsia="Arial" w:hAnsi="Arial"/>
          <w:sz w:val="15"/>
          <w:szCs w:val="15"/>
          <w:b w:val="1"/>
          <w:bCs w:val="1"/>
          <w:color w:val="auto"/>
        </w:rPr>
        <w:t>Signatures</w:t>
      </w:r>
    </w:p>
    <w:p>
      <w:pPr>
        <w:spacing w:after="0" w:line="104" w:lineRule="exact"/>
        <w:rPr>
          <w:sz w:val="20"/>
          <w:szCs w:val="20"/>
          <w:color w:val="auto"/>
        </w:rPr>
      </w:pPr>
    </w:p>
    <w:p>
      <w:pPr>
        <w:ind w:firstLine="272"/>
        <w:spacing w:after="0" w:line="278"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report to be signed on its behalf by the undersigned, thereunto duly authorized.</w:t>
      </w:r>
    </w:p>
    <w:p>
      <w:pPr>
        <w:spacing w:after="0" w:line="7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Ocwen Financial Corporation</w:t>
      </w:r>
    </w:p>
    <w:p>
      <w:pPr>
        <w:spacing w:after="0" w:line="213"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12700</wp:posOffset>
            </wp:positionV>
            <wp:extent cx="31845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3184525" cy="6985"/>
                    </a:xfrm>
                    <a:prstGeom prst="rect">
                      <a:avLst/>
                    </a:prstGeom>
                    <a:noFill/>
                  </pic:spPr>
                </pic:pic>
              </a:graphicData>
            </a:graphic>
          </wp:anchor>
        </w:drawing>
      </w:r>
    </w:p>
    <w:p>
      <w:pPr>
        <w:spacing w:after="0" w:line="180"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Executive Vice President and Chief Financial Officer</w:t>
      </w:r>
    </w:p>
    <w:p>
      <w:pPr>
        <w:ind w:left="6240"/>
        <w:spacing w:after="0"/>
        <w:rPr>
          <w:sz w:val="20"/>
          <w:szCs w:val="20"/>
          <w:color w:val="auto"/>
        </w:rPr>
      </w:pPr>
      <w:r>
        <w:rPr>
          <w:rFonts w:ascii="Arial" w:cs="Arial" w:eastAsia="Arial" w:hAnsi="Arial"/>
          <w:sz w:val="15"/>
          <w:szCs w:val="15"/>
          <w:color w:val="auto"/>
        </w:rPr>
        <w:t>(On behalf of the Registrant and as its principal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Date: August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100"/>
          </w:cols>
          <w:pgMar w:left="320" w:top="908" w:right="479" w:bottom="1440" w:gutter="0" w:footer="0" w:header="0"/>
        </w:sectPr>
      </w:pPr>
    </w:p>
    <w:bookmarkStart w:id="107" w:name="page108"/>
    <w:bookmarkEnd w:id="107"/>
    <w:p>
      <w:pPr>
        <w:ind w:left="10400"/>
        <w:spacing w:after="0"/>
        <w:rPr>
          <w:sz w:val="20"/>
          <w:szCs w:val="20"/>
          <w:color w:val="auto"/>
        </w:rPr>
      </w:pPr>
      <w:r>
        <w:rPr>
          <w:rFonts w:ascii="Arial" w:cs="Arial" w:eastAsia="Arial" w:hAnsi="Arial"/>
          <w:sz w:val="15"/>
          <w:szCs w:val="15"/>
          <w:b w:val="1"/>
          <w:bCs w:val="1"/>
          <w:color w:val="auto"/>
        </w:rPr>
        <w:t>Exhibit 10.2</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Binding Term Sheet</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items set forth in this term sheet and the attached exhibit (collectively, this “Term Sheet”) are binding and hereby agreed to by Ocwen Financial Corporation and Ocwen USVI Services, LLC (individually and together, with affiliates, “Ocwen”) and Altisource S.à r.l. (“Altisource”). The parties may also execute detailed agreements to further memorialize some or all of the below. This Term Sheet shall be read in conjunction with the February 22, 2019 Binding Term Sheet among the parties (as subsequently modified, supplemented and/or amended, including by this Term Sheet, the “2019 Term Sheet”) and existing agreements between the parties, and does not supersede the same except as may be expressly set forth herein. The effective date of this Term Sheet is May 5, 2021.</w:t>
      </w:r>
    </w:p>
    <w:p>
      <w:pPr>
        <w:spacing w:after="0" w:line="1" w:lineRule="exact"/>
        <w:rPr>
          <w:sz w:val="20"/>
          <w:szCs w:val="20"/>
          <w:color w:val="auto"/>
        </w:rPr>
      </w:pPr>
    </w:p>
    <w:p>
      <w:pPr>
        <w:jc w:val="both"/>
        <w:ind w:left="540" w:hanging="277"/>
        <w:spacing w:after="0" w:line="256" w:lineRule="auto"/>
        <w:tabs>
          <w:tab w:leader="none" w:pos="531"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Term of Existing Agreement</w:t>
      </w:r>
      <w:r>
        <w:rPr>
          <w:rFonts w:ascii="Arial" w:cs="Arial" w:eastAsia="Arial" w:hAnsi="Arial"/>
          <w:sz w:val="16"/>
          <w:szCs w:val="16"/>
          <w:color w:val="auto"/>
        </w:rPr>
        <w:t>. Extend the term of the Services Agreement (between Altisource and Ocwen Financial Corporation) dated August 10, 2009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the Services Agreement (between Altisource and Ocwen Mortgage Servicing, Inc., as succeeded in interest by Ocwen USVI Services, LLC) dated October 1, 2012 (as amended), all Services Letters (and amendments thereto) made pursuant to the foregoing Services Agreements and the 2019 Term Sheet (collectively, the “Agreement”), all pursuant to which Altisource currently provides services, along with the additional services set forth below, to August 31, 2030 (the applicable terms, as so extended being the “Extended Term”).</w:t>
      </w:r>
    </w:p>
    <w:p>
      <w:pPr>
        <w:spacing w:after="0" w:line="173" w:lineRule="exact"/>
        <w:rPr>
          <w:rFonts w:ascii="Arial" w:cs="Arial" w:eastAsia="Arial" w:hAnsi="Arial"/>
          <w:sz w:val="16"/>
          <w:szCs w:val="16"/>
          <w:color w:val="auto"/>
        </w:rPr>
      </w:pPr>
    </w:p>
    <w:p>
      <w:pPr>
        <w:jc w:val="both"/>
        <w:ind w:left="540"/>
        <w:spacing w:after="0" w:line="258" w:lineRule="auto"/>
        <w:rPr>
          <w:rFonts w:ascii="Arial" w:cs="Arial" w:eastAsia="Arial" w:hAnsi="Arial"/>
          <w:sz w:val="16"/>
          <w:szCs w:val="16"/>
          <w:color w:val="auto"/>
        </w:rPr>
      </w:pPr>
      <w:r>
        <w:rPr>
          <w:rFonts w:ascii="Arial" w:cs="Arial" w:eastAsia="Arial" w:hAnsi="Arial"/>
          <w:sz w:val="16"/>
          <w:szCs w:val="16"/>
          <w:color w:val="auto"/>
        </w:rPr>
        <w:t>Notwithstanding anything in the Agreement to the contrary, in the event that an Altisource Change of Control (as defined below) to a Competitor (as defined below) is to occur on or after September 1, 2028, Altisource shall notify Ocwen of such potential Change of Control following public disclosure thereof (or earlier, if Altisource elects). Following such notice, if Ocwen reasonably believes that such a Change of Control may negatively impact Ocwen, the parties will promptly meet to discuss remedial actions to prevent such negative impacts. If the parties are not able to agree on appropriate remedial actions to prevent such negative impacts to Ocwen’s reasonable satisfaction prior to the consummation of the Change in Control (“Closing”), Ocwen may terminate the Agreement upon no less than sixty (60) days’ prior written notice delivered to Altisource:</w:t>
      </w:r>
    </w:p>
    <w:p>
      <w:pPr>
        <w:spacing w:after="0" w:line="174" w:lineRule="exact"/>
        <w:rPr>
          <w:rFonts w:ascii="Arial" w:cs="Arial" w:eastAsia="Arial" w:hAnsi="Arial"/>
          <w:sz w:val="16"/>
          <w:szCs w:val="16"/>
          <w:color w:val="auto"/>
        </w:rPr>
      </w:pPr>
    </w:p>
    <w:p>
      <w:pPr>
        <w:ind w:left="1340" w:hanging="260"/>
        <w:spacing w:after="0"/>
        <w:tabs>
          <w:tab w:leader="none" w:pos="13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prior to the Closing, in which case the termination will be effective only in the event of the Closing; or</w:t>
      </w:r>
    </w:p>
    <w:p>
      <w:pPr>
        <w:spacing w:after="0" w:line="11" w:lineRule="exact"/>
        <w:rPr>
          <w:rFonts w:ascii="Arial" w:cs="Arial" w:eastAsia="Arial" w:hAnsi="Arial"/>
          <w:sz w:val="17"/>
          <w:szCs w:val="17"/>
          <w:color w:val="auto"/>
        </w:rPr>
      </w:pPr>
    </w:p>
    <w:p>
      <w:pPr>
        <w:ind w:left="1340" w:hanging="260"/>
        <w:spacing w:after="0"/>
        <w:tabs>
          <w:tab w:leader="none" w:pos="13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within sixty (60) days immediately following the Closing.</w:t>
      </w:r>
    </w:p>
    <w:p>
      <w:pPr>
        <w:spacing w:after="0" w:line="188" w:lineRule="exact"/>
        <w:rPr>
          <w:sz w:val="20"/>
          <w:szCs w:val="20"/>
          <w:color w:val="auto"/>
        </w:rPr>
      </w:pPr>
    </w:p>
    <w:p>
      <w:pPr>
        <w:jc w:val="both"/>
        <w:ind w:left="540"/>
        <w:spacing w:after="0" w:line="260" w:lineRule="auto"/>
        <w:rPr>
          <w:sz w:val="20"/>
          <w:szCs w:val="20"/>
          <w:color w:val="auto"/>
        </w:rPr>
      </w:pPr>
      <w:r>
        <w:rPr>
          <w:rFonts w:ascii="Arial" w:cs="Arial" w:eastAsia="Arial" w:hAnsi="Arial"/>
          <w:sz w:val="16"/>
          <w:szCs w:val="16"/>
          <w:color w:val="auto"/>
        </w:rPr>
        <w:t>As used herein, “Change of Control” means a change in ownership of (a) greater than fifty percent (50%) of the voting securities of Altisource in a single transaction or related series of transactions (unless securities representing more than fifty percent (50%) of the total voting power are beneficially owned, directly or indirectly, by the persons who beneficially owned the outstanding voting securities immediately prior to such transaction) or (b) all or substantially all of the consolidated assets of Altisource. As used herein, “Competitor” means an entity (or an affiliate with greater than fifty percent (50%) of the voting securities owned by or under common control with such entity) whose business includes the servicing of residential mortgages with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995" w:right="319" w:bottom="1440" w:gutter="0" w:footer="0" w:header="0"/>
        </w:sectPr>
      </w:pPr>
    </w:p>
    <w:bookmarkStart w:id="108" w:name="page109"/>
    <w:bookmarkEnd w:id="108"/>
    <w:p>
      <w:pPr>
        <w:ind w:left="277"/>
        <w:spacing w:after="0"/>
        <w:rPr>
          <w:sz w:val="20"/>
          <w:szCs w:val="20"/>
          <w:color w:val="auto"/>
        </w:rPr>
      </w:pPr>
      <w:r>
        <w:rPr>
          <w:rFonts w:ascii="Arial" w:cs="Arial" w:eastAsia="Arial" w:hAnsi="Arial"/>
          <w:sz w:val="17"/>
          <w:szCs w:val="17"/>
          <w:color w:val="auto"/>
        </w:rPr>
        <w:t>scale substantially similar to or greater than the scale of Ocwen (as of the time of the Change of Control).</w:t>
      </w:r>
    </w:p>
    <w:p>
      <w:pPr>
        <w:spacing w:after="0" w:line="202" w:lineRule="exact"/>
        <w:rPr>
          <w:sz w:val="20"/>
          <w:szCs w:val="20"/>
          <w:color w:val="auto"/>
        </w:rPr>
      </w:pPr>
    </w:p>
    <w:p>
      <w:pPr>
        <w:jc w:val="both"/>
        <w:ind w:left="277"/>
        <w:spacing w:after="0" w:line="256" w:lineRule="auto"/>
        <w:rPr>
          <w:sz w:val="20"/>
          <w:szCs w:val="20"/>
          <w:color w:val="auto"/>
        </w:rPr>
      </w:pPr>
      <w:r>
        <w:rPr>
          <w:rFonts w:ascii="Arial" w:cs="Arial" w:eastAsia="Arial" w:hAnsi="Arial"/>
          <w:sz w:val="16"/>
          <w:szCs w:val="16"/>
          <w:color w:val="auto"/>
        </w:rPr>
        <w:t>Notwithstanding anything in the Agreement to the contrary, on and after September 1, 2028, Section D.1 of the 2019 Term Sheet shall not apply in connection with Altisource’s sale or assignment of all or a portion of Altisource’s business or any line of business to a Competitor which does not constitute a Change of Control (such transaction, an “Altisource Business Sale”), and Ocwen shall not be required to consent to an assignment of all or a portion of the Agreement, any statement of work (“SOW”) or any Services (the “Applicable Services”) pursuant to such an Altisource Business Sale, provided, Altisource shall notify Ocwen of such potential Altisource Business Sale following public disclosure thereof (or earlier, if Altisource elects). Following such notice, if Ocwen reasonably believes that such Altisource Business Sale may negatively impact Ocwen, the parties will promptly meet to discuss remedial actions to prevent such negative impacts such that Ocwen would consent to and reasonably cooperate with such Altisource Business Sale. If the parties are not able to agree on appropriate remedial actions to prevent such negative impacts to Ocwen’s reasonable satisfaction, Ocwen may terminate the Applicable Services upon no less than sixty (60) days’ prior written notice delivered to Altisource:</w:t>
      </w:r>
    </w:p>
    <w:p>
      <w:pPr>
        <w:spacing w:after="0" w:line="174" w:lineRule="exact"/>
        <w:rPr>
          <w:sz w:val="20"/>
          <w:szCs w:val="20"/>
          <w:color w:val="auto"/>
        </w:rPr>
      </w:pPr>
    </w:p>
    <w:p>
      <w:pPr>
        <w:ind w:left="1097" w:hanging="280"/>
        <w:spacing w:after="0" w:line="245" w:lineRule="auto"/>
        <w:tabs>
          <w:tab w:leader="none" w:pos="1089"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prior to the consummation of the Altisource Business Sale, in which case the termination will be effective only in the event of the consummation of the Altisource Business Sale; or</w:t>
      </w:r>
    </w:p>
    <w:p>
      <w:pPr>
        <w:ind w:left="1077" w:hanging="260"/>
        <w:spacing w:after="0"/>
        <w:tabs>
          <w:tab w:leader="none" w:pos="1077"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within sixty (60) days immediately following the consummation of the Altisource Business Sale.</w:t>
      </w:r>
    </w:p>
    <w:p>
      <w:pPr>
        <w:spacing w:after="0" w:line="188" w:lineRule="exact"/>
        <w:rPr>
          <w:sz w:val="20"/>
          <w:szCs w:val="20"/>
          <w:color w:val="auto"/>
        </w:rPr>
      </w:pPr>
    </w:p>
    <w:p>
      <w:pPr>
        <w:jc w:val="both"/>
        <w:ind w:left="277"/>
        <w:spacing w:after="0" w:line="278" w:lineRule="auto"/>
        <w:rPr>
          <w:sz w:val="20"/>
          <w:szCs w:val="20"/>
          <w:color w:val="auto"/>
        </w:rPr>
      </w:pPr>
      <w:r>
        <w:rPr>
          <w:rFonts w:ascii="Arial" w:cs="Arial" w:eastAsia="Arial" w:hAnsi="Arial"/>
          <w:sz w:val="15"/>
          <w:szCs w:val="15"/>
          <w:color w:val="auto"/>
        </w:rPr>
        <w:t>In the event of a termination of the Agreement (or the applicable portion thereof) related to a Change of Control, or termination of Applicable Services related to an Altisource Business Sale, Altisource will cause the assignee to agree to permit Ocwen to purchase post-termination services for a period of up to 270 days from the date on which the Agreement (or the applicable portion thereof) terminates on the current terms thereunder. Notwithstanding anything to the contrary in</w:t>
      </w:r>
    </w:p>
    <w:p>
      <w:pPr>
        <w:spacing w:after="0" w:line="2" w:lineRule="exact"/>
        <w:rPr>
          <w:sz w:val="20"/>
          <w:szCs w:val="20"/>
          <w:color w:val="auto"/>
        </w:rPr>
      </w:pPr>
    </w:p>
    <w:p>
      <w:pPr>
        <w:jc w:val="both"/>
        <w:ind w:left="277" w:right="20"/>
        <w:spacing w:after="0" w:line="257" w:lineRule="auto"/>
        <w:rPr>
          <w:sz w:val="20"/>
          <w:szCs w:val="20"/>
          <w:color w:val="auto"/>
        </w:rPr>
      </w:pPr>
      <w:r>
        <w:rPr>
          <w:rFonts w:ascii="Arial" w:cs="Arial" w:eastAsia="Arial" w:hAnsi="Arial"/>
          <w:sz w:val="17"/>
          <w:szCs w:val="17"/>
          <w:color w:val="auto"/>
        </w:rPr>
        <w:t>the Agreement, Ocwen shall not be obligated to reimburse Altisource for any expenses or costs attributable to a termination related to a Change in Control or an Altisource Business Sale.</w:t>
      </w:r>
    </w:p>
    <w:p>
      <w:pPr>
        <w:spacing w:after="0" w:line="167" w:lineRule="exact"/>
        <w:rPr>
          <w:sz w:val="20"/>
          <w:szCs w:val="20"/>
          <w:color w:val="auto"/>
        </w:rPr>
      </w:pPr>
    </w:p>
    <w:p>
      <w:pPr>
        <w:ind w:left="257" w:hanging="257"/>
        <w:spacing w:after="0"/>
        <w:tabs>
          <w:tab w:leader="none" w:pos="257"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Services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jc w:val="both"/>
        <w:ind w:left="817" w:hanging="272"/>
        <w:spacing w:after="0" w:line="256" w:lineRule="auto"/>
        <w:tabs>
          <w:tab w:leader="none" w:pos="807" w:val="left"/>
        </w:tabs>
        <w:numPr>
          <w:ilvl w:val="1"/>
          <w:numId w:val="73"/>
        </w:numPr>
        <w:rPr>
          <w:rFonts w:ascii="Arial" w:cs="Arial" w:eastAsia="Arial" w:hAnsi="Arial"/>
          <w:sz w:val="16"/>
          <w:szCs w:val="16"/>
          <w:color w:val="auto"/>
        </w:rPr>
      </w:pPr>
      <w:r>
        <w:rPr>
          <w:rFonts w:ascii="Arial" w:cs="Arial" w:eastAsia="Arial" w:hAnsi="Arial"/>
          <w:sz w:val="16"/>
          <w:szCs w:val="16"/>
          <w:color w:val="auto"/>
        </w:rPr>
        <w:t>With respect to each service identified in Exhibit A (an “Additional Service”), the parties shall commence (or, if already commenced, shall continue) the negotiation of a statement of work or other agreement, to the extent applicable for such Additional Service (each such statement of work or other agreement, including those existing per Exhibit A, an “Applicable Additional Service Agreement”) by the applicable Agreement Negotiation Commencement Date specified in Exhibit A. With respect to such negotiations for each Additional Service:</w:t>
      </w:r>
    </w:p>
    <w:p>
      <w:pPr>
        <w:jc w:val="both"/>
        <w:ind w:left="1357" w:hanging="132"/>
        <w:spacing w:after="0" w:line="238" w:lineRule="auto"/>
        <w:tabs>
          <w:tab w:leader="none" w:pos="1354" w:val="left"/>
        </w:tabs>
        <w:numPr>
          <w:ilvl w:val="2"/>
          <w:numId w:val="73"/>
        </w:numPr>
        <w:rPr>
          <w:rFonts w:ascii="Arial" w:cs="Arial" w:eastAsia="Arial" w:hAnsi="Arial"/>
          <w:sz w:val="17"/>
          <w:szCs w:val="17"/>
          <w:color w:val="auto"/>
        </w:rPr>
      </w:pPr>
      <w:r>
        <w:rPr>
          <w:rFonts w:ascii="Arial" w:cs="Arial" w:eastAsia="Arial" w:hAnsi="Arial"/>
          <w:sz w:val="17"/>
          <w:szCs w:val="17"/>
          <w:color w:val="auto"/>
        </w:rPr>
        <w:t>Such negotiations shall be conducted in good faith, with each party using commercially reasonable best efforts to finalize such negotiations in an expedient manner, which efforts shall include each party responding to reasonable requests for information and proposed revisions to the Applicable Additional Service Agreement reasonably promptly and fully, dedicating personnel and if applicable executive resources to such negotiation, and conducting periodic virtual meetings reasonably designed to facilitate a prompt finalization and execution of the Applicable Additional Service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ind w:left="5317" w:hanging="107"/>
        <w:spacing w:after="0"/>
        <w:tabs>
          <w:tab w:leader="none" w:pos="5317" w:val="left"/>
        </w:tabs>
        <w:numPr>
          <w:ilvl w:val="3"/>
          <w:numId w:val="7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97"/>
          </w:cols>
          <w:pgMar w:left="583" w:top="998" w:right="319" w:bottom="1440" w:gutter="0" w:footer="0" w:header="0"/>
        </w:sectPr>
      </w:pPr>
    </w:p>
    <w:bookmarkStart w:id="109" w:name="page110"/>
    <w:bookmarkEnd w:id="109"/>
    <w:p>
      <w:pPr>
        <w:ind w:left="812" w:hanging="135"/>
        <w:spacing w:after="0" w:line="260" w:lineRule="auto"/>
        <w:rPr>
          <w:sz w:val="20"/>
          <w:szCs w:val="20"/>
          <w:color w:val="auto"/>
        </w:rPr>
      </w:pPr>
      <w:r>
        <w:rPr>
          <w:rFonts w:ascii="Arial" w:cs="Arial" w:eastAsia="Arial" w:hAnsi="Arial"/>
          <w:sz w:val="16"/>
          <w:szCs w:val="16"/>
          <w:color w:val="auto"/>
        </w:rPr>
        <w:t>ii.Such negotiations shall continue with respect to each such Additional Service until the earlier of the parties executing the Applicable Additional Service Agreement or the parties agreeing to cease such negotiations with respect to such Additional Service; and</w:t>
      </w:r>
    </w:p>
    <w:p>
      <w:pPr>
        <w:spacing w:after="0" w:line="1" w:lineRule="exact"/>
        <w:rPr>
          <w:sz w:val="20"/>
          <w:szCs w:val="20"/>
          <w:color w:val="auto"/>
        </w:rPr>
      </w:pPr>
    </w:p>
    <w:p>
      <w:pPr>
        <w:jc w:val="both"/>
        <w:ind w:left="752" w:right="20" w:hanging="140"/>
        <w:spacing w:after="0" w:line="238" w:lineRule="auto"/>
        <w:tabs>
          <w:tab w:leader="none" w:pos="819" w:val="left"/>
        </w:tabs>
        <w:numPr>
          <w:ilvl w:val="1"/>
          <w:numId w:val="74"/>
        </w:numPr>
        <w:rPr>
          <w:rFonts w:ascii="Arial" w:cs="Arial" w:eastAsia="Arial" w:hAnsi="Arial"/>
          <w:sz w:val="17"/>
          <w:szCs w:val="17"/>
          <w:color w:val="auto"/>
        </w:rPr>
      </w:pPr>
      <w:r>
        <w:rPr>
          <w:rFonts w:ascii="Arial" w:cs="Arial" w:eastAsia="Arial" w:hAnsi="Arial"/>
          <w:sz w:val="17"/>
          <w:szCs w:val="17"/>
          <w:color w:val="auto"/>
        </w:rPr>
        <w:t>In accordance with Section 4(b) of the 2019 Term Sheet, Ocwen shall conduct a benchmarking study of pricing and performance standards prior to Altisource providing any Additional Services to the NY PHH Portfolio as required by the Conditional Approval dated September 27, 2018 issued by the New York Department of Financial Services to Ocwen, with Ocwen using commercially reasonable efforts to complete such study in a timely manner.</w:t>
      </w:r>
    </w:p>
    <w:p>
      <w:pPr>
        <w:spacing w:after="0" w:line="186" w:lineRule="exact"/>
        <w:rPr>
          <w:rFonts w:ascii="Arial" w:cs="Arial" w:eastAsia="Arial" w:hAnsi="Arial"/>
          <w:sz w:val="17"/>
          <w:szCs w:val="17"/>
          <w:color w:val="auto"/>
        </w:rPr>
      </w:pPr>
    </w:p>
    <w:p>
      <w:pPr>
        <w:ind w:left="272" w:hanging="272"/>
        <w:spacing w:after="0"/>
        <w:tabs>
          <w:tab w:leader="none" w:pos="272"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each Additional Service, the two-stage process defined below shall be followed by the parties to implement such Additional Service.</w:t>
      </w:r>
    </w:p>
    <w:p>
      <w:pPr>
        <w:spacing w:after="0" w:line="213" w:lineRule="exact"/>
        <w:rPr>
          <w:rFonts w:ascii="Arial" w:cs="Arial" w:eastAsia="Arial" w:hAnsi="Arial"/>
          <w:sz w:val="16"/>
          <w:szCs w:val="16"/>
          <w:color w:val="auto"/>
        </w:rPr>
      </w:pPr>
    </w:p>
    <w:p>
      <w:pPr>
        <w:ind w:left="272" w:hanging="272"/>
        <w:spacing w:after="0" w:line="245" w:lineRule="auto"/>
        <w:tabs>
          <w:tab w:leader="none" w:pos="263" w:val="left"/>
        </w:tabs>
        <w:numPr>
          <w:ilvl w:val="0"/>
          <w:numId w:val="75"/>
        </w:numPr>
        <w:rPr>
          <w:rFonts w:ascii="Arial" w:cs="Arial" w:eastAsia="Arial" w:hAnsi="Arial"/>
          <w:sz w:val="17"/>
          <w:szCs w:val="17"/>
          <w:color w:val="auto"/>
        </w:rPr>
      </w:pPr>
      <w:r>
        <w:rPr>
          <w:rFonts w:ascii="Arial" w:cs="Arial" w:eastAsia="Arial" w:hAnsi="Arial"/>
          <w:sz w:val="17"/>
          <w:szCs w:val="17"/>
          <w:color w:val="auto"/>
        </w:rPr>
        <w:t>Stage 1 shall commence for each Additional Service upon the parties executing an Applicable Additional Service Agreement (which statement of work or agreement shall contain applicable performance standards (“Applicable SLAs”)) for such service.</w:t>
      </w:r>
    </w:p>
    <w:p>
      <w:pPr>
        <w:ind w:left="812" w:hanging="136"/>
        <w:spacing w:after="0" w:line="236" w:lineRule="auto"/>
        <w:rPr>
          <w:rFonts w:ascii="Arial" w:cs="Arial" w:eastAsia="Arial" w:hAnsi="Arial"/>
          <w:sz w:val="17"/>
          <w:szCs w:val="17"/>
          <w:color w:val="auto"/>
        </w:rPr>
      </w:pPr>
      <w:r>
        <w:rPr>
          <w:rFonts w:ascii="Arial" w:cs="Arial" w:eastAsia="Arial" w:hAnsi="Arial"/>
          <w:sz w:val="17"/>
          <w:szCs w:val="17"/>
          <w:color w:val="auto"/>
        </w:rPr>
        <w:t>i. Ocwen shall commence providing orders to Altisource for each such Additional Service promptly following execution of such Applicable Additional Service Agreement. Ocwen shall provide Additional Service orders in a reasonable volume and reasonable consistency to permit Altisource to demonstrate an ability to satisfy the Applicable SLAs. Notwithstanding the foregoing, the Applicable SLAs shall not be deemed a Performance Standard (as defined in the Services Agreement between the parties dated August 10, 2009 (as amended, the “Services Agreement”), shall not otherwise constitute an obligation of Altisource nor shall Altisource’s performance with respect to the Applicable SLAs prior to Order Volume Compliance (defined below) be used to terminate the Applicable Additional Service Agreement (except as specified in subsection iv below).</w:t>
      </w:r>
    </w:p>
    <w:p>
      <w:pPr>
        <w:spacing w:after="0" w:line="4" w:lineRule="exact"/>
        <w:rPr>
          <w:rFonts w:ascii="Arial" w:cs="Arial" w:eastAsia="Arial" w:hAnsi="Arial"/>
          <w:sz w:val="17"/>
          <w:szCs w:val="17"/>
          <w:color w:val="auto"/>
        </w:rPr>
      </w:pPr>
    </w:p>
    <w:p>
      <w:pPr>
        <w:jc w:val="right"/>
        <w:ind w:left="612" w:firstLine="68"/>
        <w:spacing w:after="0" w:line="276" w:lineRule="auto"/>
        <w:rPr>
          <w:rFonts w:ascii="Arial" w:cs="Arial" w:eastAsia="Arial" w:hAnsi="Arial"/>
          <w:sz w:val="17"/>
          <w:szCs w:val="17"/>
          <w:color w:val="auto"/>
        </w:rPr>
      </w:pPr>
      <w:r>
        <w:rPr>
          <w:rFonts w:ascii="Arial" w:cs="Arial" w:eastAsia="Arial" w:hAnsi="Arial"/>
          <w:sz w:val="15"/>
          <w:szCs w:val="15"/>
          <w:color w:val="auto"/>
        </w:rPr>
        <w:t xml:space="preserve">ii.The parties shall reasonably cooperate to implement processes, communicate and provide feedback (as applicable) regarding each Additional Service, and otherwise act as reasonably necessary to facilitate Altisource providing such Additional Service according to the Applicable SLAs. </w:t>
      </w:r>
      <w:r>
        <w:rPr>
          <w:rFonts w:ascii="Arial" w:cs="Arial" w:eastAsia="Arial" w:hAnsi="Arial"/>
          <w:sz w:val="16"/>
          <w:szCs w:val="16"/>
          <w:color w:val="auto"/>
        </w:rPr>
        <w:t>iii.</w:t>
      </w:r>
      <w:r>
        <w:rPr>
          <w:rFonts w:ascii="Arial" w:cs="Arial" w:eastAsia="Arial" w:hAnsi="Arial"/>
          <w:sz w:val="14"/>
          <w:szCs w:val="14"/>
          <w:color w:val="auto"/>
        </w:rPr>
        <w:t>Ocwen shall promptly communicate to Altisource in writing any specific, reasonable concerns Ocwen may have with Altisource’s cooperation</w:t>
      </w:r>
      <w:r>
        <w:rPr>
          <w:rFonts w:ascii="Arial" w:cs="Arial" w:eastAsia="Arial" w:hAnsi="Arial"/>
          <w:sz w:val="16"/>
          <w:szCs w:val="16"/>
          <w:color w:val="auto"/>
        </w:rPr>
        <w:t xml:space="preserve"> </w:t>
      </w:r>
      <w:r>
        <w:rPr>
          <w:rFonts w:ascii="Arial" w:cs="Arial" w:eastAsia="Arial" w:hAnsi="Arial"/>
          <w:sz w:val="14"/>
          <w:szCs w:val="14"/>
          <w:color w:val="auto"/>
        </w:rPr>
        <w:t>or Altisource’s ability to meet the Applicable SLAs, and shall reasonably cooperate with Altisource in resolving such concerns (collectively,</w:t>
      </w:r>
    </w:p>
    <w:p>
      <w:pPr>
        <w:ind w:left="752"/>
        <w:spacing w:after="0" w:line="236" w:lineRule="auto"/>
        <w:rPr>
          <w:rFonts w:ascii="Arial" w:cs="Arial" w:eastAsia="Arial" w:hAnsi="Arial"/>
          <w:sz w:val="17"/>
          <w:szCs w:val="17"/>
          <w:color w:val="auto"/>
        </w:rPr>
      </w:pPr>
      <w:r>
        <w:rPr>
          <w:rFonts w:ascii="Arial" w:cs="Arial" w:eastAsia="Arial" w:hAnsi="Arial"/>
          <w:sz w:val="17"/>
          <w:szCs w:val="17"/>
          <w:color w:val="auto"/>
        </w:rPr>
        <w:t>“Feedback”).</w:t>
      </w:r>
    </w:p>
    <w:p>
      <w:pPr>
        <w:ind w:left="752" w:hanging="136"/>
        <w:spacing w:after="0" w:line="257" w:lineRule="auto"/>
        <w:rPr>
          <w:rFonts w:ascii="Arial" w:cs="Arial" w:eastAsia="Arial" w:hAnsi="Arial"/>
          <w:sz w:val="17"/>
          <w:szCs w:val="17"/>
          <w:color w:val="auto"/>
        </w:rPr>
      </w:pPr>
      <w:r>
        <w:rPr>
          <w:rFonts w:ascii="Arial" w:cs="Arial" w:eastAsia="Arial" w:hAnsi="Arial"/>
          <w:sz w:val="16"/>
          <w:szCs w:val="16"/>
          <w:color w:val="auto"/>
        </w:rPr>
        <w:t>iv. Ocwen shall evaluate Altisource fairly and in good faith. If, following such fair and good faith evaluation, and after Ocwen consults with Altisource and gives Altisource a reasonable opportunity to address any Feedback provided, Ocwen reasonably believes that Altisource will not reasonably be able to meet the Applicable SLAs or other reasonable requirements Ocwen imposes on its other vendors, then Ocwen shall be permitted to terminate the Applicable Additional Service Agreement by providing written notice.</w:t>
      </w:r>
    </w:p>
    <w:p>
      <w:pPr>
        <w:spacing w:after="0" w:line="173" w:lineRule="exact"/>
        <w:rPr>
          <w:rFonts w:ascii="Arial" w:cs="Arial" w:eastAsia="Arial" w:hAnsi="Arial"/>
          <w:sz w:val="17"/>
          <w:szCs w:val="17"/>
          <w:color w:val="auto"/>
        </w:rPr>
      </w:pPr>
    </w:p>
    <w:p>
      <w:pPr>
        <w:jc w:val="both"/>
        <w:ind w:left="272" w:hanging="272"/>
        <w:spacing w:after="0" w:line="247" w:lineRule="auto"/>
        <w:tabs>
          <w:tab w:leader="none" w:pos="272" w:val="left"/>
        </w:tabs>
        <w:numPr>
          <w:ilvl w:val="0"/>
          <w:numId w:val="75"/>
        </w:numPr>
        <w:rPr>
          <w:rFonts w:ascii="Arial" w:cs="Arial" w:eastAsia="Arial" w:hAnsi="Arial"/>
          <w:sz w:val="17"/>
          <w:szCs w:val="17"/>
          <w:color w:val="auto"/>
        </w:rPr>
      </w:pPr>
      <w:r>
        <w:rPr>
          <w:rFonts w:ascii="Arial" w:cs="Arial" w:eastAsia="Arial" w:hAnsi="Arial"/>
          <w:sz w:val="17"/>
          <w:szCs w:val="17"/>
          <w:color w:val="auto"/>
        </w:rPr>
        <w:t>Stage 2 shall commence for an Additional Service upon Altisource satisfying the applicable SLA metrics for [REDACTED] months for such Additional Service. Stage 2 shall not commence for a given Additional Service if Stage 1 of such Additional Services is terminated by Ocwen pursuant to Section 2.c.iv. of this Term Sheet.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9" w:lineRule="exact"/>
        <w:rPr>
          <w:rFonts w:ascii="Arial" w:cs="Arial" w:eastAsia="Arial" w:hAnsi="Arial"/>
          <w:sz w:val="17"/>
          <w:szCs w:val="17"/>
          <w:color w:val="auto"/>
        </w:rPr>
      </w:pPr>
    </w:p>
    <w:p>
      <w:pPr>
        <w:ind w:left="4772" w:hanging="107"/>
        <w:spacing w:after="0"/>
        <w:tabs>
          <w:tab w:leader="none" w:pos="4772" w:val="left"/>
        </w:tabs>
        <w:numPr>
          <w:ilvl w:val="2"/>
          <w:numId w:val="7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452"/>
          </w:cols>
          <w:pgMar w:left="1128" w:top="998" w:right="319" w:bottom="1440" w:gutter="0" w:footer="0" w:header="0"/>
        </w:sectPr>
      </w:pPr>
    </w:p>
    <w:bookmarkStart w:id="110" w:name="page111"/>
    <w:bookmarkEnd w:id="110"/>
    <w:p>
      <w:pPr>
        <w:jc w:val="both"/>
        <w:ind w:left="832" w:hanging="140"/>
        <w:spacing w:after="0" w:line="242" w:lineRule="auto"/>
        <w:rPr>
          <w:sz w:val="20"/>
          <w:szCs w:val="20"/>
          <w:color w:val="auto"/>
        </w:rPr>
      </w:pPr>
      <w:r>
        <w:rPr>
          <w:rFonts w:ascii="Arial" w:cs="Arial" w:eastAsia="Arial" w:hAnsi="Arial"/>
          <w:sz w:val="17"/>
          <w:szCs w:val="17"/>
          <w:color w:val="auto"/>
        </w:rPr>
        <w:t>i. The parties shall mutually cooperate to designate a reasonable period of time at the beginning of Stage 2 over which Ocwen shall increase the orders to Altisource for such Additional Service such that Ocwen will comply with the referral volume requirements set forth in the 2019 Term Sheet.</w:t>
      </w:r>
    </w:p>
    <w:p>
      <w:pPr>
        <w:ind w:left="672"/>
        <w:spacing w:after="0" w:line="238" w:lineRule="auto"/>
        <w:rPr>
          <w:sz w:val="20"/>
          <w:szCs w:val="20"/>
          <w:color w:val="auto"/>
        </w:rPr>
      </w:pPr>
      <w:r>
        <w:rPr>
          <w:rFonts w:ascii="Arial" w:cs="Arial" w:eastAsia="Arial" w:hAnsi="Arial"/>
          <w:sz w:val="17"/>
          <w:szCs w:val="17"/>
          <w:color w:val="auto"/>
        </w:rPr>
        <w:t>ii.Upon Ocwen complying with such volume requirements with respect to such Additional Service (“Order Volume Compliance”):</w:t>
      </w:r>
    </w:p>
    <w:p>
      <w:pPr>
        <w:ind w:left="1352" w:hanging="263"/>
        <w:spacing w:after="0" w:line="236" w:lineRule="auto"/>
        <w:tabs>
          <w:tab w:leader="none" w:pos="1352" w:val="left"/>
        </w:tabs>
        <w:numPr>
          <w:ilvl w:val="1"/>
          <w:numId w:val="76"/>
        </w:numPr>
        <w:rPr>
          <w:rFonts w:ascii="Arial" w:cs="Arial" w:eastAsia="Arial" w:hAnsi="Arial"/>
          <w:sz w:val="17"/>
          <w:szCs w:val="17"/>
          <w:color w:val="auto"/>
        </w:rPr>
      </w:pPr>
      <w:r>
        <w:rPr>
          <w:rFonts w:ascii="Arial" w:cs="Arial" w:eastAsia="Arial" w:hAnsi="Arial"/>
          <w:sz w:val="17"/>
          <w:szCs w:val="17"/>
          <w:color w:val="auto"/>
        </w:rPr>
        <w:t>such Additional Service shall be a Standard Service (as defined in the 2019 Term Sheet) and subject to the obligations for Standard Services in the 2019 Term Sheet; and</w:t>
      </w:r>
    </w:p>
    <w:p>
      <w:pPr>
        <w:spacing w:after="0" w:line="1" w:lineRule="exact"/>
        <w:rPr>
          <w:rFonts w:ascii="Arial" w:cs="Arial" w:eastAsia="Arial" w:hAnsi="Arial"/>
          <w:sz w:val="17"/>
          <w:szCs w:val="17"/>
          <w:color w:val="auto"/>
        </w:rPr>
      </w:pPr>
    </w:p>
    <w:p>
      <w:pPr>
        <w:ind w:left="1352" w:hanging="263"/>
        <w:spacing w:after="0"/>
        <w:tabs>
          <w:tab w:leader="none" w:pos="1352"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Applicable SLAs shall be in full force and effect.</w:t>
      </w:r>
    </w:p>
    <w:p>
      <w:pPr>
        <w:spacing w:after="0" w:line="187" w:lineRule="exact"/>
        <w:rPr>
          <w:rFonts w:ascii="Arial" w:cs="Arial" w:eastAsia="Arial" w:hAnsi="Arial"/>
          <w:sz w:val="17"/>
          <w:szCs w:val="17"/>
          <w:color w:val="auto"/>
        </w:rPr>
      </w:pPr>
    </w:p>
    <w:p>
      <w:pPr>
        <w:jc w:val="both"/>
        <w:ind w:left="272" w:hanging="272"/>
        <w:spacing w:after="0" w:line="243" w:lineRule="auto"/>
        <w:tabs>
          <w:tab w:leader="none" w:pos="263"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This Term Sheet hereby amends the Statement of Work dated December 1, 2020 (“FHA SOW”) to delete and render void any and all termination clauses and exclusivity or volume related clauses in such FHA SOW in conflict with any clause herein (including without limitation Section XV therein); provided, however, that the second paragraph of Section XVI of the FHA SOW shall remain unchanged by this Term Sheet (except for the first sentence thereof, which shall not have any effect upon execution of this Term Sheet).</w:t>
      </w:r>
    </w:p>
    <w:p>
      <w:pPr>
        <w:spacing w:after="0" w:line="184" w:lineRule="exact"/>
        <w:rPr>
          <w:rFonts w:ascii="Arial" w:cs="Arial" w:eastAsia="Arial" w:hAnsi="Arial"/>
          <w:sz w:val="17"/>
          <w:szCs w:val="17"/>
          <w:color w:val="auto"/>
        </w:rPr>
      </w:pPr>
    </w:p>
    <w:p>
      <w:pPr>
        <w:ind w:left="272" w:hanging="272"/>
        <w:spacing w:after="0"/>
        <w:tabs>
          <w:tab w:leader="none" w:pos="272"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Reserved.</w:t>
      </w:r>
    </w:p>
    <w:p>
      <w:pPr>
        <w:spacing w:after="0" w:line="201" w:lineRule="exact"/>
        <w:rPr>
          <w:rFonts w:ascii="Arial" w:cs="Arial" w:eastAsia="Arial" w:hAnsi="Arial"/>
          <w:sz w:val="17"/>
          <w:szCs w:val="17"/>
          <w:color w:val="auto"/>
        </w:rPr>
      </w:pPr>
    </w:p>
    <w:p>
      <w:pPr>
        <w:jc w:val="both"/>
        <w:ind w:left="272" w:hanging="272"/>
        <w:spacing w:after="0" w:line="254" w:lineRule="auto"/>
        <w:tabs>
          <w:tab w:leader="none" w:pos="272" w:val="left"/>
        </w:tabs>
        <w:numPr>
          <w:ilvl w:val="0"/>
          <w:numId w:val="77"/>
        </w:numPr>
        <w:rPr>
          <w:rFonts w:ascii="Arial" w:cs="Arial" w:eastAsia="Arial" w:hAnsi="Arial"/>
          <w:sz w:val="16"/>
          <w:szCs w:val="16"/>
          <w:color w:val="auto"/>
        </w:rPr>
      </w:pPr>
      <w:r>
        <w:rPr>
          <w:rFonts w:ascii="Arial" w:cs="Arial" w:eastAsia="Arial" w:hAnsi="Arial"/>
          <w:sz w:val="16"/>
          <w:szCs w:val="16"/>
          <w:color w:val="auto"/>
        </w:rPr>
        <w:t>Solely with respect to the Additional Services identified in the Applicable Additional Service Agreement as requiring integration services (collectively, the “Integration Services”), to the extent that Ocwen currently utilizes an integration or other interface with a third party system to order or permit fulfillment of such Integration Service (collectively, an “Interface”), Ocwen shall (as mutually agreed upon by the parties and subject to any confidentiality restrictions in place with third parties, with Ocwen using reasonable efforts to disclose applicable information to Altisource as needed) provide Altisource with written material specifications of such Interface (including, without limitation, all APIs and software dependences) as reasonably necessary for Altisource to develop a materially similar Interface (the “Replacement”). To the extent such confidentiality restrictions prevent Ocwen from providing necessary specifications of such Interface to enable Altisource to develop such Replacement using commercially reasonable efforts, Altisource shall in accordance with the Applicable Additional Service Agreement be permitted to develop an alternative Replacement to serve similar functionality. Ocwen shall reasonably cooperate with Altisource in developing and testing the Replacement. Testing of a Replacement shall be completed for determining whether the Replacement provides materially the same or better functionality as the Interface. Upon successful completion of the applicable testing, Ocwen shall in accordance with the Applicable Additional Service Agreement engage Altisource to provide the applicable Integration Service.</w:t>
      </w:r>
    </w:p>
    <w:p>
      <w:pPr>
        <w:spacing w:after="0" w:line="182" w:lineRule="exact"/>
        <w:rPr>
          <w:rFonts w:ascii="Arial" w:cs="Arial" w:eastAsia="Arial" w:hAnsi="Arial"/>
          <w:sz w:val="16"/>
          <w:szCs w:val="16"/>
          <w:color w:val="auto"/>
        </w:rPr>
      </w:pPr>
    </w:p>
    <w:p>
      <w:pPr>
        <w:ind w:left="272" w:hanging="272"/>
        <w:spacing w:after="0"/>
        <w:tabs>
          <w:tab w:leader="none" w:pos="272"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Deleted.</w:t>
      </w:r>
    </w:p>
    <w:p>
      <w:pPr>
        <w:spacing w:after="0" w:line="201" w:lineRule="exact"/>
        <w:rPr>
          <w:rFonts w:ascii="Arial" w:cs="Arial" w:eastAsia="Arial" w:hAnsi="Arial"/>
          <w:sz w:val="17"/>
          <w:szCs w:val="17"/>
          <w:color w:val="auto"/>
        </w:rPr>
      </w:pPr>
    </w:p>
    <w:p>
      <w:pPr>
        <w:jc w:val="both"/>
        <w:ind w:left="272" w:hanging="272"/>
        <w:spacing w:after="0" w:line="229" w:lineRule="auto"/>
        <w:tabs>
          <w:tab w:leader="none" w:pos="269" w:val="left"/>
        </w:tabs>
        <w:numPr>
          <w:ilvl w:val="0"/>
          <w:numId w:val="77"/>
        </w:numPr>
        <w:rPr>
          <w:rFonts w:ascii="Arial" w:cs="Arial" w:eastAsia="Arial" w:hAnsi="Arial"/>
          <w:sz w:val="17"/>
          <w:szCs w:val="17"/>
          <w:color w:val="auto"/>
        </w:rPr>
      </w:pPr>
      <w:r>
        <w:rPr>
          <w:rFonts w:ascii="Arial" w:cs="Arial" w:eastAsia="Arial" w:hAnsi="Arial"/>
          <w:sz w:val="17"/>
          <w:szCs w:val="17"/>
          <w:color w:val="auto"/>
        </w:rPr>
        <w:t>Ocwen shall, no later than the date hereof, apply to become a member of the Lenders One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mortgage cooperative and shall take all actions reasonably necessary to become and remain a member in good standing of the cooperative throughout the Extended Term. The parties have discussed and will promptly finalize the terms of the Lenders One member agreement. Unless otherwise agreed upon by the parties, the fees paid by Ocwen for being a member of Lenders One shall not increase during the Extended Term.</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4772" w:hanging="107"/>
        <w:spacing w:after="0"/>
        <w:tabs>
          <w:tab w:leader="none" w:pos="4772" w:val="left"/>
        </w:tabs>
        <w:numPr>
          <w:ilvl w:val="2"/>
          <w:numId w:val="7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452"/>
          </w:cols>
          <w:pgMar w:left="1128" w:top="999" w:right="319" w:bottom="1440" w:gutter="0" w:footer="0" w:header="0"/>
        </w:sectPr>
      </w:pPr>
    </w:p>
    <w:bookmarkStart w:id="111" w:name="page112"/>
    <w:bookmarkEnd w:id="111"/>
    <w:p>
      <w:pPr>
        <w:ind w:left="817" w:hanging="272"/>
        <w:spacing w:after="0"/>
        <w:tabs>
          <w:tab w:leader="none" w:pos="817" w:val="left"/>
        </w:tabs>
        <w:numPr>
          <w:ilvl w:val="1"/>
          <w:numId w:val="78"/>
        </w:numPr>
        <w:rPr>
          <w:rFonts w:ascii="Arial" w:cs="Arial" w:eastAsia="Arial" w:hAnsi="Arial"/>
          <w:sz w:val="17"/>
          <w:szCs w:val="17"/>
          <w:color w:val="auto"/>
        </w:rPr>
      </w:pPr>
      <w:r>
        <w:rPr>
          <w:rFonts w:ascii="Arial" w:cs="Arial" w:eastAsia="Arial" w:hAnsi="Arial"/>
          <w:sz w:val="17"/>
          <w:szCs w:val="17"/>
          <w:color w:val="auto"/>
        </w:rPr>
        <w:t>Ocwen hereby represents and warrants that [REDACTED].</w:t>
      </w:r>
    </w:p>
    <w:p>
      <w:pPr>
        <w:spacing w:after="0" w:line="201" w:lineRule="exact"/>
        <w:rPr>
          <w:rFonts w:ascii="Arial" w:cs="Arial" w:eastAsia="Arial" w:hAnsi="Arial"/>
          <w:sz w:val="17"/>
          <w:szCs w:val="17"/>
          <w:color w:val="auto"/>
        </w:rPr>
      </w:pPr>
    </w:p>
    <w:p>
      <w:pPr>
        <w:jc w:val="both"/>
        <w:ind w:left="817" w:hanging="272"/>
        <w:spacing w:after="0" w:line="247" w:lineRule="auto"/>
        <w:tabs>
          <w:tab w:leader="none" w:pos="817"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Services Agreement, Services Letter, 2019 Term Sheet and any applicable statements of work, memoranda of understanding or other agreements thereunder shall be deemed amended to clarify and/or specify the below (with all the foregoing agreements continuing in effect except as specifically modified by the below):</w:t>
      </w:r>
    </w:p>
    <w:p>
      <w:pPr>
        <w:spacing w:after="0" w:line="179" w:lineRule="exact"/>
        <w:rPr>
          <w:rFonts w:ascii="Arial" w:cs="Arial" w:eastAsia="Arial" w:hAnsi="Arial"/>
          <w:sz w:val="17"/>
          <w:szCs w:val="17"/>
          <w:color w:val="auto"/>
        </w:rPr>
      </w:pPr>
    </w:p>
    <w:p>
      <w:pPr>
        <w:jc w:val="both"/>
        <w:ind w:left="1357" w:hanging="132"/>
        <w:spacing w:after="0" w:line="247" w:lineRule="auto"/>
        <w:tabs>
          <w:tab w:leader="none" w:pos="1354" w:val="left"/>
        </w:tabs>
        <w:numPr>
          <w:ilvl w:val="2"/>
          <w:numId w:val="78"/>
        </w:numPr>
        <w:rPr>
          <w:rFonts w:ascii="Arial" w:cs="Arial" w:eastAsia="Arial" w:hAnsi="Arial"/>
          <w:sz w:val="17"/>
          <w:szCs w:val="17"/>
          <w:color w:val="auto"/>
        </w:rPr>
      </w:pPr>
      <w:r>
        <w:rPr>
          <w:rFonts w:ascii="Arial" w:cs="Arial" w:eastAsia="Arial" w:hAnsi="Arial"/>
          <w:sz w:val="17"/>
          <w:szCs w:val="17"/>
          <w:color w:val="auto"/>
        </w:rPr>
        <w:t>The Performance Standard for REO Management Services shall be reviewed by the parties in good faith, as applicable, to determine if the parties need to implement process, system and any other changes reasonably necessary to facilitate the replacement of Altisource as the provider of certain field services.</w:t>
      </w:r>
    </w:p>
    <w:p>
      <w:pPr>
        <w:spacing w:after="0" w:line="179" w:lineRule="exact"/>
        <w:rPr>
          <w:rFonts w:ascii="Arial" w:cs="Arial" w:eastAsia="Arial" w:hAnsi="Arial"/>
          <w:sz w:val="17"/>
          <w:szCs w:val="17"/>
          <w:color w:val="auto"/>
        </w:rPr>
      </w:pPr>
    </w:p>
    <w:p>
      <w:pPr>
        <w:ind w:left="817" w:hanging="272"/>
        <w:spacing w:after="0"/>
        <w:tabs>
          <w:tab w:leader="none" w:pos="817" w:val="left"/>
        </w:tabs>
        <w:numPr>
          <w:ilvl w:val="1"/>
          <w:numId w:val="78"/>
        </w:numPr>
        <w:rPr>
          <w:rFonts w:ascii="Arial" w:cs="Arial" w:eastAsia="Arial" w:hAnsi="Arial"/>
          <w:sz w:val="15"/>
          <w:szCs w:val="15"/>
          <w:color w:val="auto"/>
        </w:rPr>
      </w:pPr>
      <w:r>
        <w:rPr>
          <w:rFonts w:ascii="Arial" w:cs="Arial" w:eastAsia="Arial" w:hAnsi="Arial"/>
          <w:sz w:val="15"/>
          <w:szCs w:val="15"/>
          <w:color w:val="auto"/>
        </w:rPr>
        <w:t>Promptly following execution of this Term Sheet, the parties shall review in good faith any issues raised by the parties pertaining to the Services.</w:t>
      </w:r>
    </w:p>
    <w:p>
      <w:pPr>
        <w:spacing w:after="0" w:line="34" w:lineRule="exact"/>
        <w:rPr>
          <w:rFonts w:ascii="Arial" w:cs="Arial" w:eastAsia="Arial" w:hAnsi="Arial"/>
          <w:sz w:val="15"/>
          <w:szCs w:val="15"/>
          <w:color w:val="auto"/>
        </w:rPr>
      </w:pPr>
    </w:p>
    <w:p>
      <w:pPr>
        <w:ind w:left="257" w:hanging="257"/>
        <w:spacing w:after="0"/>
        <w:tabs>
          <w:tab w:leader="none" w:pos="257"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Fees. </w:t>
      </w:r>
      <w:r>
        <w:rPr>
          <w:rFonts w:ascii="Arial" w:cs="Arial" w:eastAsia="Arial" w:hAnsi="Arial"/>
          <w:sz w:val="16"/>
          <w:szCs w:val="16"/>
          <w:color w:val="auto"/>
        </w:rPr>
        <w:t>Fees charged for Services shall be at prevailing market rates. Either party may reasonably request renegotiation of such fees from time to time.</w:t>
      </w:r>
    </w:p>
    <w:p>
      <w:pPr>
        <w:spacing w:after="0" w:line="195" w:lineRule="exact"/>
        <w:rPr>
          <w:rFonts w:ascii="Arial" w:cs="Arial" w:eastAsia="Arial" w:hAnsi="Arial"/>
          <w:sz w:val="16"/>
          <w:szCs w:val="16"/>
          <w:color w:val="auto"/>
        </w:rPr>
      </w:pPr>
    </w:p>
    <w:p>
      <w:pPr>
        <w:ind w:left="257" w:hanging="257"/>
        <w:spacing w:after="0"/>
        <w:tabs>
          <w:tab w:leader="none" w:pos="257"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Reserved.</w:t>
      </w:r>
    </w:p>
    <w:p>
      <w:pPr>
        <w:spacing w:after="0" w:line="201" w:lineRule="exact"/>
        <w:rPr>
          <w:rFonts w:ascii="Arial" w:cs="Arial" w:eastAsia="Arial" w:hAnsi="Arial"/>
          <w:sz w:val="17"/>
          <w:szCs w:val="17"/>
          <w:color w:val="auto"/>
        </w:rPr>
      </w:pPr>
    </w:p>
    <w:p>
      <w:pPr>
        <w:ind w:left="257" w:hanging="257"/>
        <w:spacing w:after="0"/>
        <w:tabs>
          <w:tab w:leader="none" w:pos="257"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Reserved.</w:t>
      </w:r>
    </w:p>
    <w:p>
      <w:pPr>
        <w:spacing w:after="0" w:line="201" w:lineRule="exact"/>
        <w:rPr>
          <w:rFonts w:ascii="Arial" w:cs="Arial" w:eastAsia="Arial" w:hAnsi="Arial"/>
          <w:sz w:val="17"/>
          <w:szCs w:val="17"/>
          <w:color w:val="auto"/>
        </w:rPr>
      </w:pPr>
    </w:p>
    <w:p>
      <w:pPr>
        <w:ind w:left="257" w:hanging="257"/>
        <w:spacing w:after="0"/>
        <w:tabs>
          <w:tab w:leader="none" w:pos="257"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Reserved.</w:t>
      </w:r>
    </w:p>
    <w:p>
      <w:pPr>
        <w:spacing w:after="0" w:line="201" w:lineRule="exact"/>
        <w:rPr>
          <w:rFonts w:ascii="Arial" w:cs="Arial" w:eastAsia="Arial" w:hAnsi="Arial"/>
          <w:sz w:val="17"/>
          <w:szCs w:val="17"/>
          <w:color w:val="auto"/>
        </w:rPr>
      </w:pPr>
    </w:p>
    <w:p>
      <w:pPr>
        <w:ind w:left="257" w:hanging="257"/>
        <w:spacing w:after="0"/>
        <w:tabs>
          <w:tab w:leader="none" w:pos="257"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Transfers of Services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jc w:val="both"/>
        <w:ind w:left="817" w:hanging="272"/>
        <w:spacing w:after="0" w:line="256" w:lineRule="auto"/>
        <w:tabs>
          <w:tab w:leader="none" w:pos="807" w:val="left"/>
        </w:tabs>
        <w:numPr>
          <w:ilvl w:val="1"/>
          <w:numId w:val="79"/>
        </w:numPr>
        <w:rPr>
          <w:rFonts w:ascii="Arial" w:cs="Arial" w:eastAsia="Arial" w:hAnsi="Arial"/>
          <w:sz w:val="16"/>
          <w:szCs w:val="16"/>
          <w:color w:val="auto"/>
        </w:rPr>
      </w:pPr>
      <w:r>
        <w:rPr>
          <w:rFonts w:ascii="Arial" w:cs="Arial" w:eastAsia="Arial" w:hAnsi="Arial"/>
          <w:sz w:val="16"/>
          <w:szCs w:val="16"/>
          <w:color w:val="auto"/>
        </w:rPr>
        <w:t>To the extent that, at any time during the Extended Term, Ocwen transfers away from Altisource, causes to be transferred away from Altisource, or otherwise takes any action resulting in a party other than Altisource receiving, orders to perform one or more Services (the “Transferred Service(s)”) on one or more Portfolios (as defined in the 2019 Term Sheet), or portions thereof (a “Transfer”), then, except for Section 6(e) of the Services Agreement and in addition to the other rights and remedies that the parties may have under the applicable agreements, Altisource shall not be required to incur any costs or perform any services or other work to assist Ocwen in such Transfer (“Transfer Services”) and Ocwen shall not be required to pay any costs and services, except as agreed to in writing by the parties (a “Transfer Services Agreement”). Upon request by Ocwen, Altisource shall provide Ocwen with a reasonable estimate of fees and costs for providing the Transfer Services. Any such Transfer Services Agreement shall include a mutually acceptable project plan with reasonable and sufficient detail as to the Transfer Services needed and reasonable deadlines for the performance of such Transfer Services.</w:t>
      </w:r>
    </w:p>
    <w:p>
      <w:pPr>
        <w:spacing w:after="0" w:line="173" w:lineRule="exact"/>
        <w:rPr>
          <w:rFonts w:ascii="Arial" w:cs="Arial" w:eastAsia="Arial" w:hAnsi="Arial"/>
          <w:sz w:val="16"/>
          <w:szCs w:val="16"/>
          <w:color w:val="auto"/>
        </w:rPr>
      </w:pPr>
    </w:p>
    <w:p>
      <w:pPr>
        <w:jc w:val="both"/>
        <w:ind w:left="817" w:hanging="272"/>
        <w:spacing w:after="0"/>
        <w:tabs>
          <w:tab w:leader="none" w:pos="817" w:val="left"/>
        </w:tabs>
        <w:numPr>
          <w:ilvl w:val="1"/>
          <w:numId w:val="79"/>
        </w:numPr>
        <w:rPr>
          <w:rFonts w:ascii="Arial" w:cs="Arial" w:eastAsia="Arial" w:hAnsi="Arial"/>
          <w:sz w:val="17"/>
          <w:szCs w:val="17"/>
          <w:color w:val="auto"/>
        </w:rPr>
      </w:pPr>
      <w:r>
        <w:rPr>
          <w:rFonts w:ascii="Arial" w:cs="Arial" w:eastAsia="Arial" w:hAnsi="Arial"/>
          <w:sz w:val="17"/>
          <w:szCs w:val="17"/>
          <w:color w:val="auto"/>
        </w:rPr>
        <w:t>To the extent that Altisource continues to provide any Service on such Portfolios, it shall notify Ocwen if Altisource used materials created in connection with the Transferred Services in connection with the remaining Services. Upon such notice, Ocwen shall use commercially reasonable efforts to obtain on a royalty-free basis the right for Altisource and its affiliates to use solely in furtherance of providing any Service to Ocwen or its affiliates, or on behalf of Ocwen, to a client that the parties have in common or such client’s affiliates or the relevant investor or servicers, the equivalent work product, deliverables or other materials created by or on behalf of, or otherwise at the direction of, Ocwen or the party performing such Transferred Service(s).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9" w:lineRule="exact"/>
        <w:rPr>
          <w:rFonts w:ascii="Arial" w:cs="Arial" w:eastAsia="Arial" w:hAnsi="Arial"/>
          <w:sz w:val="17"/>
          <w:szCs w:val="17"/>
          <w:color w:val="auto"/>
        </w:rPr>
      </w:pPr>
    </w:p>
    <w:p>
      <w:pPr>
        <w:ind w:left="5317" w:hanging="107"/>
        <w:spacing w:after="0"/>
        <w:tabs>
          <w:tab w:leader="none" w:pos="5317" w:val="left"/>
        </w:tabs>
        <w:numPr>
          <w:ilvl w:val="3"/>
          <w:numId w:val="7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97"/>
          </w:cols>
          <w:pgMar w:left="583" w:top="999" w:right="319" w:bottom="1440" w:gutter="0" w:footer="0" w:header="0"/>
        </w:sectPr>
      </w:pPr>
    </w:p>
    <w:bookmarkStart w:id="112" w:name="page113"/>
    <w:bookmarkEnd w:id="112"/>
    <w:p>
      <w:pPr>
        <w:ind w:left="817" w:hanging="272"/>
        <w:spacing w:after="0" w:line="257" w:lineRule="auto"/>
        <w:tabs>
          <w:tab w:leader="none" w:pos="807"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Performance Standards impacted or otherwise affected by a Transfer shall be reviewed by the parties in good faith. During such period, Altisource and Ocwen shall reasonably cooperate to mitigate adverse impacts to applicable Performance Standards</w:t>
      </w:r>
      <w:r>
        <w:rPr>
          <w:rFonts w:ascii="Arial" w:cs="Arial" w:eastAsia="Arial" w:hAnsi="Arial"/>
          <w:sz w:val="17"/>
          <w:szCs w:val="17"/>
          <w:i w:val="1"/>
          <w:iCs w:val="1"/>
          <w:color w:val="auto"/>
        </w:rPr>
        <w:t>.</w:t>
      </w:r>
    </w:p>
    <w:p>
      <w:pPr>
        <w:spacing w:after="0" w:line="190" w:lineRule="exact"/>
        <w:rPr>
          <w:rFonts w:ascii="Arial" w:cs="Arial" w:eastAsia="Arial" w:hAnsi="Arial"/>
          <w:sz w:val="17"/>
          <w:szCs w:val="17"/>
          <w:color w:val="auto"/>
        </w:rPr>
      </w:pPr>
    </w:p>
    <w:p>
      <w:pPr>
        <w:jc w:val="both"/>
        <w:ind w:left="277" w:hanging="277"/>
        <w:spacing w:after="0" w:line="242" w:lineRule="auto"/>
        <w:tabs>
          <w:tab w:leader="none" w:pos="269" w:val="left"/>
        </w:tabs>
        <w:numPr>
          <w:ilvl w:val="0"/>
          <w:numId w:val="81"/>
        </w:numPr>
        <w:rPr>
          <w:rFonts w:ascii="Arial" w:cs="Arial" w:eastAsia="Arial" w:hAnsi="Arial"/>
          <w:sz w:val="18"/>
          <w:szCs w:val="18"/>
          <w:color w:val="auto"/>
        </w:rPr>
      </w:pPr>
      <w:r>
        <w:rPr>
          <w:rFonts w:ascii="Arial" w:cs="Arial" w:eastAsia="Arial" w:hAnsi="Arial"/>
          <w:sz w:val="17"/>
          <w:szCs w:val="17"/>
          <w:b w:val="1"/>
          <w:bCs w:val="1"/>
          <w:color w:val="auto"/>
        </w:rPr>
        <w:t>COVID-19 Event</w:t>
      </w:r>
      <w:r>
        <w:rPr>
          <w:rFonts w:ascii="Arial" w:cs="Arial" w:eastAsia="Arial" w:hAnsi="Arial"/>
          <w:sz w:val="17"/>
          <w:szCs w:val="17"/>
          <w:color w:val="auto"/>
        </w:rPr>
        <w:t>. In the event scorecards are adversely impacted as a result of a Force Majeure Event (as defined in the Services Agreement), the parties agree</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Total Weighted Score for the scorecards for all impacted Performance Standards (as defined in the Services Agreement and the 2019 Term Sheet) shall be deemed to be at the Meet Expectations level from March 2020 through March 2021.</w:t>
      </w:r>
    </w:p>
    <w:p>
      <w:pPr>
        <w:spacing w:after="0" w:line="179" w:lineRule="exact"/>
        <w:rPr>
          <w:rFonts w:ascii="Arial" w:cs="Arial" w:eastAsia="Arial" w:hAnsi="Arial"/>
          <w:sz w:val="18"/>
          <w:szCs w:val="18"/>
          <w:color w:val="auto"/>
        </w:rPr>
      </w:pPr>
    </w:p>
    <w:p>
      <w:pPr>
        <w:ind w:left="277" w:hanging="277"/>
        <w:spacing w:after="0" w:line="262" w:lineRule="auto"/>
        <w:tabs>
          <w:tab w:leader="none" w:pos="268"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Sales Taxes</w:t>
      </w:r>
      <w:r>
        <w:rPr>
          <w:rFonts w:ascii="Arial" w:cs="Arial" w:eastAsia="Arial" w:hAnsi="Arial"/>
          <w:sz w:val="17"/>
          <w:szCs w:val="17"/>
          <w:color w:val="auto"/>
        </w:rPr>
        <w:t>. With respect to the total sales tax that Altisource has confirmed as paid on behalf of Ocwen and/or its clients that is outstanding and unpaid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this Term Sheet [REDACTED] (the “Total Outstanding Sales Tax”).</w:t>
      </w:r>
    </w:p>
    <w:p>
      <w:pPr>
        <w:spacing w:after="0" w:line="167" w:lineRule="exact"/>
        <w:rPr>
          <w:rFonts w:ascii="Arial" w:cs="Arial" w:eastAsia="Arial" w:hAnsi="Arial"/>
          <w:sz w:val="17"/>
          <w:szCs w:val="17"/>
          <w:color w:val="auto"/>
        </w:rPr>
      </w:pPr>
    </w:p>
    <w:p>
      <w:pPr>
        <w:jc w:val="both"/>
        <w:ind w:left="817" w:hanging="272"/>
        <w:spacing w:after="0" w:line="279" w:lineRule="auto"/>
        <w:tabs>
          <w:tab w:leader="none" w:pos="807" w:val="left"/>
        </w:tabs>
        <w:numPr>
          <w:ilvl w:val="1"/>
          <w:numId w:val="81"/>
        </w:numPr>
        <w:rPr>
          <w:rFonts w:ascii="Arial" w:cs="Arial" w:eastAsia="Arial" w:hAnsi="Arial"/>
          <w:sz w:val="15"/>
          <w:szCs w:val="15"/>
          <w:color w:val="auto"/>
        </w:rPr>
      </w:pPr>
      <w:r>
        <w:rPr>
          <w:rFonts w:ascii="Arial" w:cs="Arial" w:eastAsia="Arial" w:hAnsi="Arial"/>
          <w:sz w:val="15"/>
          <w:szCs w:val="15"/>
          <w:color w:val="auto"/>
        </w:rPr>
        <w:t>Ocwen shall provide to Altisource within a reasonable period of time following the date hereof, a reasonable written plan to collect that portion of the Outstanding Sales Tax that Ocwen believes is collectible (the “First Sales Tax Portion”), and consider in good faith any feedback that Altisource provides on such plan. Promptly thereafter, Ocwen shall commence (or shall continue) using its commercially reasonable best efforts to collect such First Sales Tax Portion as promptly as reasonably possible, provided that Altisource shall use its commercially reasonable best efforts to provide timely support to Ocwen with respect to such collection efforts. Ocwen shall provide reasonable updates on its collection efforts and collections progress to Altisource until no further amounts from the First Sales Tax Portion are reasonably likely to be collected by Ocwen.</w:t>
      </w:r>
    </w:p>
    <w:p>
      <w:pPr>
        <w:spacing w:after="0" w:line="154" w:lineRule="exact"/>
        <w:rPr>
          <w:rFonts w:ascii="Arial" w:cs="Arial" w:eastAsia="Arial" w:hAnsi="Arial"/>
          <w:sz w:val="15"/>
          <w:szCs w:val="15"/>
          <w:color w:val="auto"/>
        </w:rPr>
      </w:pPr>
    </w:p>
    <w:p>
      <w:pPr>
        <w:ind w:left="277" w:right="20" w:hanging="277"/>
        <w:spacing w:after="0" w:line="262" w:lineRule="auto"/>
        <w:tabs>
          <w:tab w:leader="none" w:pos="272"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Outstanding Accounts Receivable</w:t>
      </w:r>
      <w:r>
        <w:rPr>
          <w:rFonts w:ascii="Arial" w:cs="Arial" w:eastAsia="Arial" w:hAnsi="Arial"/>
          <w:sz w:val="17"/>
          <w:szCs w:val="17"/>
          <w:color w:val="auto"/>
        </w:rPr>
        <w:t>. The parties shall continue to discuss in good faith and resolve in the ordinary course any of Altisource’s outstanding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billed accounts receivable.</w:t>
      </w:r>
    </w:p>
    <w:p>
      <w:pPr>
        <w:spacing w:after="0" w:line="163" w:lineRule="exact"/>
        <w:rPr>
          <w:rFonts w:ascii="Arial" w:cs="Arial" w:eastAsia="Arial" w:hAnsi="Arial"/>
          <w:sz w:val="17"/>
          <w:szCs w:val="17"/>
          <w:color w:val="auto"/>
        </w:rPr>
      </w:pPr>
    </w:p>
    <w:p>
      <w:pPr>
        <w:ind w:left="257" w:hanging="257"/>
        <w:spacing w:after="0"/>
        <w:tabs>
          <w:tab w:leader="none" w:pos="257"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Reserved.</w:t>
      </w:r>
    </w:p>
    <w:p>
      <w:pPr>
        <w:spacing w:after="0" w:line="201" w:lineRule="exact"/>
        <w:rPr>
          <w:rFonts w:ascii="Arial" w:cs="Arial" w:eastAsia="Arial" w:hAnsi="Arial"/>
          <w:sz w:val="17"/>
          <w:szCs w:val="17"/>
          <w:color w:val="auto"/>
        </w:rPr>
      </w:pPr>
    </w:p>
    <w:p>
      <w:pPr>
        <w:ind w:left="277" w:hanging="277"/>
        <w:spacing w:after="0"/>
        <w:tabs>
          <w:tab w:leader="none" w:pos="277"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Release</w:t>
      </w:r>
      <w:r>
        <w:rPr>
          <w:rFonts w:ascii="Arial" w:cs="Arial" w:eastAsia="Arial" w:hAnsi="Arial"/>
          <w:sz w:val="17"/>
          <w:szCs w:val="17"/>
          <w:color w:val="auto"/>
        </w:rPr>
        <w:t>. Following the parties’ execution of this Term Sheet and in consideration of the covenants, recitals and agreements set forth herein:</w:t>
      </w:r>
    </w:p>
    <w:p>
      <w:pPr>
        <w:spacing w:after="0" w:line="205" w:lineRule="exact"/>
        <w:rPr>
          <w:rFonts w:ascii="Arial" w:cs="Arial" w:eastAsia="Arial" w:hAnsi="Arial"/>
          <w:sz w:val="17"/>
          <w:szCs w:val="17"/>
          <w:color w:val="auto"/>
        </w:rPr>
      </w:pPr>
    </w:p>
    <w:p>
      <w:pPr>
        <w:jc w:val="both"/>
        <w:ind w:left="817" w:hanging="272"/>
        <w:spacing w:after="0" w:line="256" w:lineRule="auto"/>
        <w:tabs>
          <w:tab w:leader="none" w:pos="807"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Altisource, on behalf of itself and its officers, directors, agents, employees, representatives, attorneys, insurers, affiliates, parents, subsidiaries, successors, assigns, and related persons and entities (the “Altisource Parties”), shall release and forever discharge Ocwen and its officers, directors, agents, employees, representatives, attorneys, insurers, affiliates, parents, subsidiaries, successors, assigns, and related persons and entities (the “Ocwen Parties”) from and against any and all claims, demands, causes of action, lawsuits, remedies, costs, damages, attorneys’ fees, and liabilities of any kind, nature or amount, whether in law or equity, known or unknown, anticipated or unanticipated, that the Altisource Parties now have or may hereafter acquire, based on actions or inactions occurring on or prior to the date hereof arising from or relating in any manner to any and all transactions described in the Reservation of Rights letter dated February 22, 2019, with respect to any and all claims arising from or related in any way to Ocwen’s transfer of service referrals and services to providers other than Altisource.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2" w:lineRule="exact"/>
        <w:rPr>
          <w:rFonts w:ascii="Arial" w:cs="Arial" w:eastAsia="Arial" w:hAnsi="Arial"/>
          <w:sz w:val="16"/>
          <w:szCs w:val="16"/>
          <w:color w:val="auto"/>
        </w:rPr>
      </w:pPr>
    </w:p>
    <w:p>
      <w:pPr>
        <w:ind w:left="5317" w:hanging="107"/>
        <w:spacing w:after="0"/>
        <w:tabs>
          <w:tab w:leader="none" w:pos="5317" w:val="left"/>
        </w:tabs>
        <w:numPr>
          <w:ilvl w:val="2"/>
          <w:numId w:val="8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97"/>
          </w:cols>
          <w:pgMar w:left="583" w:top="1203" w:right="319" w:bottom="1440" w:gutter="0" w:footer="0" w:header="0"/>
        </w:sectPr>
      </w:pPr>
    </w:p>
    <w:bookmarkStart w:id="113" w:name="page114"/>
    <w:bookmarkEnd w:id="113"/>
    <w:p>
      <w:pPr>
        <w:jc w:val="both"/>
        <w:ind w:left="272" w:hanging="272"/>
        <w:spacing w:after="0"/>
        <w:tabs>
          <w:tab w:leader="none" w:pos="272" w:val="left"/>
        </w:tabs>
        <w:numPr>
          <w:ilvl w:val="0"/>
          <w:numId w:val="82"/>
        </w:numPr>
        <w:rPr>
          <w:rFonts w:ascii="Arial" w:cs="Arial" w:eastAsia="Arial" w:hAnsi="Arial"/>
          <w:sz w:val="17"/>
          <w:szCs w:val="17"/>
          <w:color w:val="auto"/>
        </w:rPr>
      </w:pPr>
      <w:r>
        <w:rPr>
          <w:rFonts w:ascii="Arial" w:cs="Arial" w:eastAsia="Arial" w:hAnsi="Arial"/>
          <w:sz w:val="17"/>
          <w:szCs w:val="17"/>
          <w:color w:val="auto"/>
        </w:rPr>
        <w:t>Ocwen, on behalf of itself and the Ocwen Parties, shall release and forever discharge the Altisource Parties from and against any and all claims, demands, causes of action, lawsuits, remedies, costs, damages, attorneys’ fees, and liabilities of any kind, nature or amount, whether in law or equity, known or unknown, anticipated or unanticipated, that the Ocwen Parties now have or may hereafter acquire, based on actions or inactions occurring on or prior to the date hereof arising from or relating in any manner to any and all transactions described in the Reservation of Rights letter dated February 22, 2019, with respect to any and all claims arising from or related in any way to Ocwen’s transfer of service referrals and services to providers other than Altisource.</w:t>
      </w:r>
    </w:p>
    <w:p>
      <w:pPr>
        <w:spacing w:after="0" w:line="188" w:lineRule="exact"/>
        <w:rPr>
          <w:rFonts w:ascii="Arial" w:cs="Arial" w:eastAsia="Arial" w:hAnsi="Arial"/>
          <w:sz w:val="17"/>
          <w:szCs w:val="17"/>
          <w:color w:val="auto"/>
        </w:rPr>
      </w:pPr>
    </w:p>
    <w:p>
      <w:pPr>
        <w:ind w:left="272" w:hanging="272"/>
        <w:spacing w:after="0"/>
        <w:tabs>
          <w:tab w:leader="none" w:pos="272" w:val="left"/>
        </w:tabs>
        <w:numPr>
          <w:ilvl w:val="0"/>
          <w:numId w:val="82"/>
        </w:numPr>
        <w:rPr>
          <w:rFonts w:ascii="Arial" w:cs="Arial" w:eastAsia="Arial" w:hAnsi="Arial"/>
          <w:sz w:val="15"/>
          <w:szCs w:val="15"/>
          <w:color w:val="auto"/>
        </w:rPr>
      </w:pPr>
      <w:r>
        <w:rPr>
          <w:rFonts w:ascii="Arial" w:cs="Arial" w:eastAsia="Arial" w:hAnsi="Arial"/>
          <w:sz w:val="15"/>
          <w:szCs w:val="15"/>
          <w:color w:val="auto"/>
        </w:rPr>
        <w:t>Notwithstanding the foregoing, the Ocwen Parties and the Altisource Parties are not released from any obligations they have under this Term Sheet.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43" w:lineRule="exact"/>
        <w:rPr>
          <w:rFonts w:ascii="Arial" w:cs="Arial" w:eastAsia="Arial" w:hAnsi="Arial"/>
          <w:sz w:val="15"/>
          <w:szCs w:val="15"/>
          <w:color w:val="auto"/>
        </w:rPr>
      </w:pPr>
    </w:p>
    <w:p>
      <w:pPr>
        <w:ind w:left="4772" w:hanging="107"/>
        <w:spacing w:after="0"/>
        <w:tabs>
          <w:tab w:leader="none" w:pos="4772" w:val="left"/>
        </w:tabs>
        <w:numPr>
          <w:ilvl w:val="1"/>
          <w:numId w:val="8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452"/>
          </w:cols>
          <w:pgMar w:left="1128" w:top="998" w:right="31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Accepted and agreed by: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Altisource S.à r.l.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William B. Shepro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Name: William B. Shepro</w:t>
      </w:r>
    </w:p>
    <w:p>
      <w:pPr>
        <w:spacing w:after="0" w:line="236" w:lineRule="auto"/>
        <w:rPr>
          <w:sz w:val="20"/>
          <w:szCs w:val="20"/>
          <w:color w:val="auto"/>
        </w:rPr>
      </w:pPr>
      <w:r>
        <w:rPr>
          <w:rFonts w:ascii="Arial" w:cs="Arial" w:eastAsia="Arial" w:hAnsi="Arial"/>
          <w:sz w:val="17"/>
          <w:szCs w:val="17"/>
          <w:color w:val="auto"/>
        </w:rPr>
        <w:t>Title: Manager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Date: May 5, 2020 / 05:32 EDT</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Ocwen Financial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Joseph B. Samarias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Name: Joseph B. Samarias</w:t>
      </w:r>
    </w:p>
    <w:p>
      <w:pPr>
        <w:spacing w:after="0" w:line="236" w:lineRule="auto"/>
        <w:rPr>
          <w:sz w:val="20"/>
          <w:szCs w:val="20"/>
          <w:color w:val="auto"/>
        </w:rPr>
      </w:pPr>
      <w:r>
        <w:rPr>
          <w:rFonts w:ascii="Arial" w:cs="Arial" w:eastAsia="Arial" w:hAnsi="Arial"/>
          <w:sz w:val="17"/>
          <w:szCs w:val="17"/>
          <w:color w:val="auto"/>
        </w:rPr>
        <w:t>Title: EVP and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Date: May 5, 2021</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Ocwen USVI Services, LLC</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By: /s/ Leah E. Hutton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Name: Leah E. Hutton</w:t>
      </w:r>
    </w:p>
    <w:p>
      <w:pPr>
        <w:spacing w:after="0" w:line="236" w:lineRule="auto"/>
        <w:rPr>
          <w:sz w:val="20"/>
          <w:szCs w:val="20"/>
          <w:color w:val="auto"/>
        </w:rPr>
      </w:pPr>
      <w:r>
        <w:rPr>
          <w:rFonts w:ascii="Arial" w:cs="Arial" w:eastAsia="Arial" w:hAnsi="Arial"/>
          <w:sz w:val="17"/>
          <w:szCs w:val="17"/>
          <w:color w:val="auto"/>
        </w:rPr>
        <w:t>Title: Assistant Secretary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Date: 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139"/>
          </w:cols>
          <w:pgMar w:left="320" w:top="998" w:right="1440" w:bottom="1440" w:gutter="0" w:footer="0" w:header="0"/>
        </w:sectPr>
      </w:pPr>
    </w:p>
    <w:bookmarkStart w:id="115" w:name="page116"/>
    <w:bookmarkEnd w:id="115"/>
    <w:p>
      <w:pPr>
        <w:jc w:val="center"/>
        <w:ind w:right="-68"/>
        <w:spacing w:after="0"/>
        <w:rPr>
          <w:sz w:val="20"/>
          <w:szCs w:val="20"/>
          <w:color w:val="auto"/>
        </w:rPr>
      </w:pPr>
      <w:r>
        <w:rPr>
          <w:rFonts w:ascii="Arial" w:cs="Arial" w:eastAsia="Arial" w:hAnsi="Arial"/>
          <w:sz w:val="17"/>
          <w:szCs w:val="17"/>
          <w:b w:val="1"/>
          <w:bCs w:val="1"/>
          <w:color w:val="auto"/>
        </w:rPr>
        <w:t>Exhibit A – Additional Services</w:t>
      </w:r>
    </w:p>
    <w:p>
      <w:pPr>
        <w:spacing w:after="0" w:line="223" w:lineRule="exact"/>
        <w:rPr>
          <w:sz w:val="20"/>
          <w:szCs w:val="20"/>
          <w:color w:val="auto"/>
        </w:rPr>
      </w:pPr>
    </w:p>
    <w:tbl>
      <w:tblPr>
        <w:tblLayout w:type="fixed"/>
        <w:tblInd w:w="19" w:type="dxa"/>
        <w:tblCellMar>
          <w:top w:w="0" w:type="dxa"/>
          <w:left w:w="0" w:type="dxa"/>
          <w:bottom w:w="0" w:type="dxa"/>
          <w:right w:w="0" w:type="dxa"/>
        </w:tblCellMar>
      </w:tblPr>
      <w:tr>
        <w:trPr>
          <w:trHeight w:val="208"/>
        </w:trPr>
        <w:tc>
          <w:tcPr>
            <w:tcW w:w="18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Service Category</w:t>
            </w:r>
          </w:p>
        </w:tc>
        <w:tc>
          <w:tcPr>
            <w:tcW w:w="5780" w:type="dxa"/>
            <w:vAlign w:val="bottom"/>
            <w:tcBorders>
              <w:top w:val="single" w:sz="8" w:color="auto"/>
              <w:right w:val="single" w:sz="8" w:color="auto"/>
            </w:tcBorders>
          </w:tcPr>
          <w:p>
            <w:pPr>
              <w:ind w:left="60"/>
              <w:spacing w:after="0" w:line="208" w:lineRule="exact"/>
              <w:rPr>
                <w:sz w:val="20"/>
                <w:szCs w:val="20"/>
                <w:color w:val="auto"/>
              </w:rPr>
            </w:pPr>
            <w:r>
              <w:rPr>
                <w:rFonts w:ascii="Arial" w:cs="Arial" w:eastAsia="Arial" w:hAnsi="Arial"/>
                <w:sz w:val="17"/>
                <w:szCs w:val="17"/>
                <w:b w:val="1"/>
                <w:bCs w:val="1"/>
                <w:color w:val="auto"/>
              </w:rPr>
              <w:t>Service</w:t>
            </w:r>
            <w:r>
              <w:rPr>
                <w:rFonts w:ascii="Arial" w:cs="Arial" w:eastAsia="Arial" w:hAnsi="Arial"/>
                <w:sz w:val="21"/>
                <w:szCs w:val="21"/>
                <w:b w:val="1"/>
                <w:bCs w:val="1"/>
                <w:color w:val="auto"/>
                <w:vertAlign w:val="superscript"/>
              </w:rPr>
              <w:t>1</w:t>
            </w:r>
          </w:p>
        </w:tc>
        <w:tc>
          <w:tcPr>
            <w:tcW w:w="3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w w:val="91"/>
              </w:rPr>
              <w:t>Agreement Negotiation Commencement</w:t>
            </w:r>
          </w:p>
        </w:tc>
      </w:tr>
      <w:tr>
        <w:trPr>
          <w:trHeight w:val="234"/>
        </w:trPr>
        <w:tc>
          <w:tcPr>
            <w:tcW w:w="1800" w:type="dxa"/>
            <w:vAlign w:val="bottom"/>
            <w:tcBorders>
              <w:left w:val="single" w:sz="8" w:color="auto"/>
              <w:bottom w:val="single" w:sz="8" w:color="auto"/>
              <w:right w:val="single" w:sz="8" w:color="auto"/>
            </w:tcBorders>
          </w:tcPr>
          <w:p>
            <w:pPr>
              <w:spacing w:after="0"/>
              <w:rPr>
                <w:sz w:val="20"/>
                <w:szCs w:val="20"/>
                <w:color w:val="auto"/>
              </w:rPr>
            </w:pPr>
          </w:p>
        </w:tc>
        <w:tc>
          <w:tcPr>
            <w:tcW w:w="57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ind w:left="60"/>
              <w:spacing w:after="0" w:line="234" w:lineRule="exact"/>
              <w:rPr>
                <w:sz w:val="20"/>
                <w:szCs w:val="20"/>
                <w:color w:val="auto"/>
              </w:rPr>
            </w:pPr>
            <w:r>
              <w:rPr>
                <w:rFonts w:ascii="Arial" w:cs="Arial" w:eastAsia="Arial" w:hAnsi="Arial"/>
                <w:sz w:val="17"/>
                <w:szCs w:val="17"/>
                <w:b w:val="1"/>
                <w:bCs w:val="1"/>
                <w:color w:val="auto"/>
              </w:rPr>
              <w:t>Date</w:t>
            </w:r>
            <w:r>
              <w:rPr>
                <w:rFonts w:ascii="Arial" w:cs="Arial" w:eastAsia="Arial" w:hAnsi="Arial"/>
                <w:sz w:val="21"/>
                <w:szCs w:val="21"/>
                <w:b w:val="1"/>
                <w:bCs w:val="1"/>
                <w:color w:val="auto"/>
                <w:vertAlign w:val="superscript"/>
              </w:rPr>
              <w:t>2</w:t>
            </w:r>
          </w:p>
        </w:tc>
      </w:tr>
      <w:tr>
        <w:trPr>
          <w:trHeight w:val="221"/>
        </w:trPr>
        <w:tc>
          <w:tcPr>
            <w:tcW w:w="1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FHA/VA Loans</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Field services</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 – Already Executed</w:t>
            </w:r>
          </w:p>
        </w:tc>
      </w:tr>
      <w:tr>
        <w:trPr>
          <w:trHeight w:val="230"/>
        </w:trPr>
        <w:tc>
          <w:tcPr>
            <w:tcW w:w="1800" w:type="dxa"/>
            <w:vAlign w:val="bottom"/>
            <w:tcBorders>
              <w:left w:val="single" w:sz="8" w:color="auto"/>
              <w:right w:val="single" w:sz="8" w:color="auto"/>
            </w:tcBorders>
          </w:tcPr>
          <w:p>
            <w:pPr>
              <w:spacing w:after="0"/>
              <w:rPr>
                <w:sz w:val="19"/>
                <w:szCs w:val="19"/>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CWCOT first and second chance auction services</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 – Already Executed</w:t>
            </w:r>
          </w:p>
        </w:tc>
      </w:tr>
      <w:tr>
        <w:trPr>
          <w:trHeight w:val="230"/>
        </w:trPr>
        <w:tc>
          <w:tcPr>
            <w:tcW w:w="1800" w:type="dxa"/>
            <w:vAlign w:val="bottom"/>
            <w:tcBorders>
              <w:left w:val="single" w:sz="8" w:color="auto"/>
              <w:right w:val="single" w:sz="8" w:color="auto"/>
            </w:tcBorders>
          </w:tcPr>
          <w:p>
            <w:pPr>
              <w:spacing w:after="0"/>
              <w:rPr>
                <w:sz w:val="19"/>
                <w:szCs w:val="19"/>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Title insurance services</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 – Already Executed</w:t>
            </w:r>
          </w:p>
        </w:tc>
      </w:tr>
      <w:tr>
        <w:trPr>
          <w:trHeight w:val="230"/>
        </w:trPr>
        <w:tc>
          <w:tcPr>
            <w:tcW w:w="1800" w:type="dxa"/>
            <w:vAlign w:val="bottom"/>
            <w:tcBorders>
              <w:left w:val="single" w:sz="8" w:color="auto"/>
              <w:right w:val="single" w:sz="8" w:color="auto"/>
            </w:tcBorders>
          </w:tcPr>
          <w:p>
            <w:pPr>
              <w:spacing w:after="0"/>
              <w:rPr>
                <w:sz w:val="19"/>
                <w:szCs w:val="19"/>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[REDACTED]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 – Already Executed</w:t>
            </w:r>
          </w:p>
        </w:tc>
      </w:tr>
      <w:tr>
        <w:trPr>
          <w:trHeight w:val="230"/>
        </w:trPr>
        <w:tc>
          <w:tcPr>
            <w:tcW w:w="1800" w:type="dxa"/>
            <w:vAlign w:val="bottom"/>
            <w:tcBorders>
              <w:left w:val="single" w:sz="8" w:color="auto"/>
              <w:right w:val="single" w:sz="8" w:color="auto"/>
            </w:tcBorders>
          </w:tcPr>
          <w:p>
            <w:pPr>
              <w:spacing w:after="0"/>
              <w:rPr>
                <w:sz w:val="19"/>
                <w:szCs w:val="19"/>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[REDACTED]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 – Already Executed</w:t>
            </w:r>
          </w:p>
        </w:tc>
      </w:tr>
      <w:tr>
        <w:trPr>
          <w:trHeight w:val="220"/>
        </w:trPr>
        <w:tc>
          <w:tcPr>
            <w:tcW w:w="1800" w:type="dxa"/>
            <w:vAlign w:val="bottom"/>
            <w:tcBorders>
              <w:left w:val="single" w:sz="8" w:color="auto"/>
              <w:right w:val="single" w:sz="8" w:color="auto"/>
            </w:tcBorders>
          </w:tcPr>
          <w:p>
            <w:pPr>
              <w:spacing w:after="0"/>
              <w:rPr>
                <w:sz w:val="19"/>
                <w:szCs w:val="19"/>
                <w:color w:val="auto"/>
              </w:rPr>
            </w:pPr>
          </w:p>
        </w:tc>
        <w:tc>
          <w:tcPr>
            <w:tcW w:w="5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[REDACTED]</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As mutually agreed upon by the parties</w:t>
            </w:r>
          </w:p>
        </w:tc>
      </w:tr>
      <w:tr>
        <w:trPr>
          <w:trHeight w:val="177"/>
        </w:trPr>
        <w:tc>
          <w:tcPr>
            <w:tcW w:w="1800" w:type="dxa"/>
            <w:vAlign w:val="bottom"/>
            <w:tcBorders>
              <w:left w:val="single" w:sz="8" w:color="auto"/>
              <w:bottom w:val="single" w:sz="8" w:color="auto"/>
              <w:right w:val="single" w:sz="8" w:color="auto"/>
            </w:tcBorders>
          </w:tcPr>
          <w:p>
            <w:pPr>
              <w:spacing w:after="0"/>
              <w:rPr>
                <w:sz w:val="15"/>
                <w:szCs w:val="15"/>
                <w:color w:val="auto"/>
              </w:rPr>
            </w:pPr>
          </w:p>
        </w:tc>
        <w:tc>
          <w:tcPr>
            <w:tcW w:w="5780" w:type="dxa"/>
            <w:vAlign w:val="bottom"/>
            <w:tcBorders>
              <w:bottom w:val="single" w:sz="8" w:color="auto"/>
              <w:right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spacing w:after="0"/>
              <w:rPr>
                <w:sz w:val="15"/>
                <w:szCs w:val="15"/>
                <w:color w:val="auto"/>
              </w:rPr>
            </w:pPr>
          </w:p>
        </w:tc>
      </w:tr>
      <w:tr>
        <w:trPr>
          <w:trHeight w:val="221"/>
        </w:trPr>
        <w:tc>
          <w:tcPr>
            <w:tcW w:w="1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Foreclosure auction</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[REDACTED]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[REDACTED]</w:t>
            </w:r>
          </w:p>
        </w:tc>
      </w:tr>
      <w:tr>
        <w:trPr>
          <w:trHeight w:val="201"/>
        </w:trPr>
        <w:tc>
          <w:tcPr>
            <w:tcW w:w="1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Reverse Mortgage</w:t>
            </w:r>
          </w:p>
        </w:tc>
        <w:tc>
          <w:tcPr>
            <w:tcW w:w="5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[REDACTED]</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As mutually agreed upon by the parties</w:t>
            </w:r>
          </w:p>
        </w:tc>
      </w:tr>
      <w:tr>
        <w:trPr>
          <w:trHeight w:val="222"/>
        </w:trPr>
        <w:tc>
          <w:tcPr>
            <w:tcW w:w="1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Services</w:t>
            </w:r>
          </w:p>
        </w:tc>
        <w:tc>
          <w:tcPr>
            <w:tcW w:w="578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Trustee services</w:t>
            </w:r>
          </w:p>
        </w:tc>
        <w:tc>
          <w:tcPr>
            <w:tcW w:w="5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[REDACTED]</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Not applicable as parties would use the</w:t>
            </w:r>
          </w:p>
        </w:tc>
      </w:tr>
      <w:tr>
        <w:trPr>
          <w:trHeight w:val="193"/>
        </w:trPr>
        <w:tc>
          <w:tcPr>
            <w:tcW w:w="1800" w:type="dxa"/>
            <w:vAlign w:val="bottom"/>
            <w:tcBorders>
              <w:left w:val="single" w:sz="8" w:color="auto"/>
              <w:right w:val="single" w:sz="8" w:color="auto"/>
            </w:tcBorders>
          </w:tcPr>
          <w:p>
            <w:pPr>
              <w:spacing w:after="0"/>
              <w:rPr>
                <w:sz w:val="16"/>
                <w:szCs w:val="16"/>
                <w:color w:val="auto"/>
              </w:rPr>
            </w:pPr>
          </w:p>
        </w:tc>
        <w:tc>
          <w:tcPr>
            <w:tcW w:w="578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7"/>
                <w:szCs w:val="17"/>
                <w:color w:val="auto"/>
                <w:w w:val="87"/>
              </w:rPr>
              <w:t>existing agreements between them pertaining</w:t>
            </w:r>
          </w:p>
        </w:tc>
      </w:tr>
      <w:tr>
        <w:trPr>
          <w:trHeight w:val="222"/>
        </w:trPr>
        <w:tc>
          <w:tcPr>
            <w:tcW w:w="1800" w:type="dxa"/>
            <w:vAlign w:val="bottom"/>
            <w:tcBorders>
              <w:left w:val="single" w:sz="8" w:color="auto"/>
              <w:bottom w:val="single" w:sz="8" w:color="auto"/>
              <w:right w:val="single" w:sz="8" w:color="auto"/>
            </w:tcBorders>
          </w:tcPr>
          <w:p>
            <w:pPr>
              <w:spacing w:after="0"/>
              <w:rPr>
                <w:sz w:val="19"/>
                <w:szCs w:val="19"/>
                <w:color w:val="auto"/>
              </w:rPr>
            </w:pPr>
          </w:p>
        </w:tc>
        <w:tc>
          <w:tcPr>
            <w:tcW w:w="578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to trustee services</w:t>
            </w:r>
          </w:p>
        </w:tc>
      </w:tr>
      <w:tr>
        <w:trPr>
          <w:trHeight w:val="230"/>
        </w:trPr>
        <w:tc>
          <w:tcPr>
            <w:tcW w:w="1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Other</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[REDACTED]</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As mutually agreed upon by the parties</w:t>
            </w:r>
          </w:p>
        </w:tc>
      </w:tr>
    </w:tbl>
    <w:p>
      <w:pPr>
        <w:spacing w:after="0" w:line="360" w:lineRule="exact"/>
        <w:rPr>
          <w:sz w:val="20"/>
          <w:szCs w:val="20"/>
          <w:color w:val="auto"/>
        </w:rPr>
      </w:pPr>
    </w:p>
    <w:p>
      <w:pPr>
        <w:ind w:left="9" w:hanging="9"/>
        <w:spacing w:after="0" w:line="213" w:lineRule="auto"/>
        <w:tabs>
          <w:tab w:leader="none" w:pos="105" w:val="left"/>
        </w:tabs>
        <w:numPr>
          <w:ilvl w:val="0"/>
          <w:numId w:val="83"/>
        </w:numPr>
        <w:rPr>
          <w:rFonts w:ascii="Arial" w:cs="Arial" w:eastAsia="Arial" w:hAnsi="Arial"/>
          <w:sz w:val="22"/>
          <w:szCs w:val="22"/>
          <w:color w:val="auto"/>
          <w:vertAlign w:val="superscript"/>
        </w:rPr>
      </w:pPr>
      <w:r>
        <w:rPr>
          <w:rFonts w:ascii="Arial" w:cs="Arial" w:eastAsia="Arial" w:hAnsi="Arial"/>
          <w:sz w:val="17"/>
          <w:szCs w:val="17"/>
          <w:color w:val="auto"/>
        </w:rPr>
        <w:t>The services are applicable solely to the extent Ocwen engages a third party to provide such services. Accordingly, Ocwen retains the right at all times to perform such services, in whole or in part, internally, including through its affiliates; [REDACTED].</w:t>
      </w:r>
    </w:p>
    <w:p>
      <w:pPr>
        <w:spacing w:after="0" w:line="1" w:lineRule="exact"/>
        <w:rPr>
          <w:rFonts w:ascii="Arial" w:cs="Arial" w:eastAsia="Arial" w:hAnsi="Arial"/>
          <w:sz w:val="22"/>
          <w:szCs w:val="22"/>
          <w:color w:val="auto"/>
          <w:vertAlign w:val="superscript"/>
        </w:rPr>
      </w:pPr>
    </w:p>
    <w:p>
      <w:pPr>
        <w:ind w:left="9" w:right="580"/>
        <w:spacing w:after="0" w:line="214"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7"/>
          <w:szCs w:val="17"/>
          <w:color w:val="auto"/>
        </w:rPr>
        <w:t xml:space="preserve"> Ocwen will not be required to breach any of its non-terminable contractual requirements, existing as of the effective date of the Applicable Additional Service Agreement, to provide a certain volume of referrals for the applicable services to third parties.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9"/>
          </w:cols>
          <w:pgMar w:left="311" w:top="1210" w:right="3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59" w:lineRule="exact"/>
        <w:rPr>
          <w:sz w:val="20"/>
          <w:szCs w:val="20"/>
          <w:color w:val="auto"/>
        </w:rPr>
      </w:pPr>
    </w:p>
    <w:p>
      <w:pPr>
        <w:ind w:right="540"/>
        <w:spacing w:after="0" w:line="257" w:lineRule="auto"/>
        <w:rPr>
          <w:sz w:val="20"/>
          <w:szCs w:val="20"/>
          <w:color w:val="auto"/>
        </w:rPr>
      </w:pPr>
      <w:r>
        <w:rPr>
          <w:rFonts w:ascii="Arial" w:cs="Arial" w:eastAsia="Arial" w:hAnsi="Arial"/>
          <w:sz w:val="17"/>
          <w:szCs w:val="17"/>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BULK SERVICING RIGHTS PURCHASE AND SALE AGREEMENT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PHH MORTGAGE CORPORATION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AMERIHOME MORTGAGE COMPANY, LLC</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21, 2021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Fannie Mae and Freddie Mac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539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308"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972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5"/>
        </w:trPr>
        <w:tc>
          <w:tcPr>
            <w:tcW w:w="96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 INCORPORATION OF RECITALS; DEFINITIONS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121">
              <w:r>
                <w:rPr>
                  <w:rFonts w:ascii="Arial" w:cs="Arial" w:eastAsia="Arial" w:hAnsi="Arial"/>
                  <w:sz w:val="18"/>
                  <w:szCs w:val="18"/>
                  <w:color w:val="auto"/>
                  <w:w w:val="79"/>
                </w:rPr>
                <w:t>1</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1.1  Incorporation of Recitals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121">
              <w:r>
                <w:rPr>
                  <w:rFonts w:ascii="Arial" w:cs="Arial" w:eastAsia="Arial" w:hAnsi="Arial"/>
                  <w:sz w:val="18"/>
                  <w:szCs w:val="18"/>
                  <w:color w:val="auto"/>
                  <w:w w:val="79"/>
                </w:rPr>
                <w:t>1</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1.2</w:t>
            </w:r>
          </w:p>
        </w:tc>
        <w:tc>
          <w:tcPr>
            <w:tcW w:w="972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121">
              <w:r>
                <w:rPr>
                  <w:rFonts w:ascii="Arial" w:cs="Arial" w:eastAsia="Arial" w:hAnsi="Arial"/>
                  <w:sz w:val="18"/>
                  <w:szCs w:val="18"/>
                  <w:color w:val="auto"/>
                  <w:w w:val="79"/>
                </w:rPr>
                <w:t>1</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1.3  General Interpretive Principles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10</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SALE OF SERVICING RIGHTS AND RELATED ITEMS</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21">
              <w:r>
                <w:rPr>
                  <w:rFonts w:ascii="Arial" w:cs="Arial" w:eastAsia="Arial" w:hAnsi="Arial"/>
                  <w:sz w:val="18"/>
                  <w:szCs w:val="18"/>
                  <w:color w:val="auto"/>
                  <w:w w:val="79"/>
                </w:rPr>
                <w:t>11</w:t>
              </w:r>
            </w:hyperlink>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2.1  Items to be Sold, Transferred and Assigned</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21">
              <w:r>
                <w:rPr>
                  <w:rFonts w:ascii="Arial" w:cs="Arial" w:eastAsia="Arial" w:hAnsi="Arial"/>
                  <w:sz w:val="18"/>
                  <w:szCs w:val="18"/>
                  <w:color w:val="auto"/>
                  <w:w w:val="79"/>
                </w:rPr>
                <w:t>11</w:t>
              </w:r>
            </w:hyperlink>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2.2  Assumption of Liabilities</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21">
              <w:r>
                <w:rPr>
                  <w:rFonts w:ascii="Arial" w:cs="Arial" w:eastAsia="Arial" w:hAnsi="Arial"/>
                  <w:sz w:val="18"/>
                  <w:szCs w:val="18"/>
                  <w:color w:val="auto"/>
                  <w:w w:val="79"/>
                </w:rPr>
                <w:t>11</w:t>
              </w:r>
            </w:hyperlink>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2.3  Evidence of Sale</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21">
              <w:r>
                <w:rPr>
                  <w:rFonts w:ascii="Arial" w:cs="Arial" w:eastAsia="Arial" w:hAnsi="Arial"/>
                  <w:sz w:val="18"/>
                  <w:szCs w:val="18"/>
                  <w:color w:val="auto"/>
                  <w:w w:val="79"/>
                </w:rPr>
                <w:t>11</w:t>
              </w:r>
            </w:hyperlink>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2.4  Servicing Transfer; Servicing Transfer Instructions</w:t>
            </w:r>
          </w:p>
        </w:tc>
        <w:tc>
          <w:tcPr>
            <w:tcW w:w="180" w:type="dxa"/>
            <w:vAlign w:val="bottom"/>
            <w:tcBorders>
              <w:bottom w:val="single" w:sz="8" w:color="auto"/>
            </w:tcBorders>
            <w:gridSpan w:val="2"/>
          </w:tcPr>
          <w:p>
            <w:pPr>
              <w:spacing w:after="0"/>
              <w:rPr>
                <w:rFonts w:ascii="Arial" w:cs="Arial" w:eastAsia="Arial" w:hAnsi="Arial"/>
                <w:sz w:val="18"/>
                <w:szCs w:val="18"/>
                <w:color w:val="auto"/>
                <w:w w:val="79"/>
              </w:rPr>
            </w:pPr>
            <w:hyperlink w:anchor="page121">
              <w:r>
                <w:rPr>
                  <w:rFonts w:ascii="Arial" w:cs="Arial" w:eastAsia="Arial" w:hAnsi="Arial"/>
                  <w:sz w:val="18"/>
                  <w:szCs w:val="18"/>
                  <w:color w:val="auto"/>
                  <w:w w:val="79"/>
                </w:rPr>
                <w:t>11</w:t>
              </w:r>
            </w:hyperlink>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2.5  Transfer in Accordance with Applicable Requirements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12</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2.6  Access to Information</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12</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PURCHASE PRICE AND RELATED MATTERS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12</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3.1</w:t>
            </w:r>
          </w:p>
        </w:tc>
        <w:tc>
          <w:tcPr>
            <w:tcW w:w="972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12</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3.2  Verification of Purchase Price</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12</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3.3  Payment of Purchase Price by Purchaser</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12</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3.4  Custodial Funds and Advances; Reconciliation</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15</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3.5  Certain Adjustments and Refunds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15</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3.6  Form of Payment to be Made</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15</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3.7</w:t>
            </w:r>
          </w:p>
        </w:tc>
        <w:tc>
          <w:tcPr>
            <w:tcW w:w="9720" w:type="dxa"/>
            <w:vAlign w:val="bottom"/>
          </w:tcPr>
          <w:p>
            <w:pPr>
              <w:ind w:left="40"/>
              <w:spacing w:after="0"/>
              <w:rPr>
                <w:sz w:val="20"/>
                <w:szCs w:val="20"/>
                <w:color w:val="auto"/>
              </w:rPr>
            </w:pPr>
            <w:r>
              <w:rPr>
                <w:rFonts w:ascii="Arial" w:cs="Arial" w:eastAsia="Arial" w:hAnsi="Arial"/>
                <w:sz w:val="18"/>
                <w:szCs w:val="18"/>
                <w:color w:val="auto"/>
              </w:rPr>
              <w:t>No Waiver</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16</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SELLER</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16</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4.1  Due Organization and Good Standing</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16</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4.2  Authority and Capacity</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16</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4.3</w:t>
            </w:r>
          </w:p>
        </w:tc>
        <w:tc>
          <w:tcPr>
            <w:tcW w:w="9720" w:type="dxa"/>
            <w:vAlign w:val="bottom"/>
          </w:tcPr>
          <w:p>
            <w:pPr>
              <w:ind w:left="40"/>
              <w:spacing w:after="0"/>
              <w:rPr>
                <w:sz w:val="20"/>
                <w:szCs w:val="20"/>
                <w:color w:val="auto"/>
              </w:rPr>
            </w:pPr>
            <w:r>
              <w:rPr>
                <w:rFonts w:ascii="Arial" w:cs="Arial" w:eastAsia="Arial" w:hAnsi="Arial"/>
                <w:sz w:val="18"/>
                <w:szCs w:val="18"/>
                <w:color w:val="auto"/>
              </w:rPr>
              <w:t>Effective Agreement</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16</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4.4</w:t>
            </w:r>
          </w:p>
        </w:tc>
        <w:tc>
          <w:tcPr>
            <w:tcW w:w="9720" w:type="dxa"/>
            <w:vAlign w:val="bottom"/>
          </w:tcPr>
          <w:p>
            <w:pPr>
              <w:ind w:left="40"/>
              <w:spacing w:after="0"/>
              <w:rPr>
                <w:sz w:val="20"/>
                <w:szCs w:val="20"/>
                <w:color w:val="auto"/>
              </w:rPr>
            </w:pPr>
            <w:r>
              <w:rPr>
                <w:rFonts w:ascii="Arial" w:cs="Arial" w:eastAsia="Arial" w:hAnsi="Arial"/>
                <w:sz w:val="18"/>
                <w:szCs w:val="18"/>
                <w:color w:val="auto"/>
              </w:rPr>
              <w:t>No Conflict</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16</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4.5  Consents, Approvals and Compliance</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17</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4.6</w:t>
            </w:r>
          </w:p>
        </w:tc>
        <w:tc>
          <w:tcPr>
            <w:tcW w:w="972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17</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4.7</w:t>
            </w:r>
          </w:p>
        </w:tc>
        <w:tc>
          <w:tcPr>
            <w:tcW w:w="9720" w:type="dxa"/>
            <w:vAlign w:val="bottom"/>
          </w:tcPr>
          <w:p>
            <w:pPr>
              <w:ind w:left="40"/>
              <w:spacing w:after="0"/>
              <w:rPr>
                <w:sz w:val="20"/>
                <w:szCs w:val="20"/>
                <w:color w:val="auto"/>
              </w:rPr>
            </w:pPr>
            <w:r>
              <w:rPr>
                <w:rFonts w:ascii="Arial" w:cs="Arial" w:eastAsia="Arial" w:hAnsi="Arial"/>
                <w:sz w:val="18"/>
                <w:szCs w:val="18"/>
                <w:color w:val="auto"/>
              </w:rPr>
              <w:t>Bulk Sales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17</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4.8</w:t>
            </w:r>
          </w:p>
        </w:tc>
        <w:tc>
          <w:tcPr>
            <w:tcW w:w="97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17</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4.9</w:t>
            </w:r>
          </w:p>
        </w:tc>
        <w:tc>
          <w:tcPr>
            <w:tcW w:w="972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17</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4.10  Ability to Perform</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17</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w w:val="93"/>
              </w:rPr>
              <w:t>Section 4.11</w:t>
            </w:r>
          </w:p>
        </w:tc>
        <w:tc>
          <w:tcPr>
            <w:tcW w:w="9720" w:type="dxa"/>
            <w:vAlign w:val="bottom"/>
          </w:tcPr>
          <w:p>
            <w:pPr>
              <w:ind w:left="120"/>
              <w:spacing w:after="0"/>
              <w:rPr>
                <w:sz w:val="20"/>
                <w:szCs w:val="20"/>
                <w:color w:val="auto"/>
              </w:rPr>
            </w:pPr>
            <w:r>
              <w:rPr>
                <w:rFonts w:ascii="Arial" w:cs="Arial" w:eastAsia="Arial" w:hAnsi="Arial"/>
                <w:sz w:val="18"/>
                <w:szCs w:val="18"/>
                <w:color w:val="auto"/>
              </w:rPr>
              <w:t>Sale Treatment</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18</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w w:val="93"/>
              </w:rPr>
              <w:t>Section 4.12</w:t>
            </w:r>
          </w:p>
        </w:tc>
        <w:tc>
          <w:tcPr>
            <w:tcW w:w="9720" w:type="dxa"/>
            <w:vAlign w:val="bottom"/>
          </w:tcPr>
          <w:p>
            <w:pPr>
              <w:ind w:left="140"/>
              <w:spacing w:after="0"/>
              <w:rPr>
                <w:sz w:val="20"/>
                <w:szCs w:val="20"/>
                <w:color w:val="auto"/>
              </w:rPr>
            </w:pPr>
            <w:r>
              <w:rPr>
                <w:rFonts w:ascii="Arial" w:cs="Arial" w:eastAsia="Arial" w:hAnsi="Arial"/>
                <w:sz w:val="18"/>
                <w:szCs w:val="18"/>
                <w:color w:val="auto"/>
              </w:rPr>
              <w:t>Fair Consideration</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18</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4.13  No Accrued Liabilities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18</w:t>
              </w:r>
            </w:hyperlink>
          </w:p>
        </w:tc>
        <w:tc>
          <w:tcPr>
            <w:tcW w:w="38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w w:val="93"/>
              </w:rPr>
              <w:t>Section 4.14</w:t>
            </w:r>
          </w:p>
        </w:tc>
        <w:tc>
          <w:tcPr>
            <w:tcW w:w="9720" w:type="dxa"/>
            <w:vAlign w:val="bottom"/>
          </w:tcPr>
          <w:p>
            <w:pPr>
              <w:ind w:left="120"/>
              <w:spacing w:after="0"/>
              <w:rPr>
                <w:sz w:val="20"/>
                <w:szCs w:val="20"/>
                <w:color w:val="auto"/>
              </w:rPr>
            </w:pPr>
            <w:r>
              <w:rPr>
                <w:rFonts w:ascii="Arial" w:cs="Arial" w:eastAsia="Arial" w:hAnsi="Arial"/>
                <w:sz w:val="18"/>
                <w:szCs w:val="18"/>
                <w:color w:val="auto"/>
              </w:rPr>
              <w:t>Audits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18</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4.15  No Regulatory Restrictions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18</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4.16  Facts and Omissions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18</w:t>
              </w:r>
            </w:hyperlink>
          </w:p>
        </w:tc>
        <w:tc>
          <w:tcPr>
            <w:tcW w:w="380" w:type="dxa"/>
            <w:vAlign w:val="bottom"/>
          </w:tcPr>
          <w:p>
            <w:pPr>
              <w:spacing w:after="0"/>
              <w:rPr>
                <w:sz w:val="20"/>
                <w:szCs w:val="20"/>
                <w:color w:val="auto"/>
              </w:rPr>
            </w:pPr>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w w:val="99"/>
              </w:rPr>
              <w:t>Article V REPRESENTATIONS AND WARRANTIES OF SELLER REGARDING THE MORTGAGE LOANS AND SERVICING RIGHTS</w:t>
            </w:r>
          </w:p>
        </w:tc>
        <w:tc>
          <w:tcPr>
            <w:tcW w:w="200" w:type="dxa"/>
            <w:vAlign w:val="bottom"/>
            <w:tcBorders>
              <w:bottom w:val="single" w:sz="8" w:color="auto"/>
            </w:tcBorders>
            <w:gridSpan w:val="3"/>
          </w:tcPr>
          <w:p>
            <w:pPr>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18</w:t>
              </w:r>
            </w:hyperlink>
          </w:p>
        </w:tc>
        <w:tc>
          <w:tcPr>
            <w:tcW w:w="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60"/>
          </w:cols>
          <w:pgMar w:left="320" w:top="1217"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5.1  Mortgage Loans and Servicing Rights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18</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5.2</w:t>
            </w:r>
          </w:p>
        </w:tc>
        <w:tc>
          <w:tcPr>
            <w:tcW w:w="9720" w:type="dxa"/>
            <w:vAlign w:val="bottom"/>
          </w:tcPr>
          <w:p>
            <w:pPr>
              <w:ind w:left="40"/>
              <w:spacing w:after="0"/>
              <w:rPr>
                <w:sz w:val="20"/>
                <w:szCs w:val="20"/>
                <w:color w:val="auto"/>
              </w:rPr>
            </w:pPr>
            <w:r>
              <w:rPr>
                <w:rFonts w:ascii="Arial" w:cs="Arial" w:eastAsia="Arial" w:hAnsi="Arial"/>
                <w:sz w:val="18"/>
                <w:szCs w:val="18"/>
                <w:color w:val="auto"/>
              </w:rPr>
              <w:t>Custodial Accounts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27</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5.3</w:t>
            </w:r>
          </w:p>
        </w:tc>
        <w:tc>
          <w:tcPr>
            <w:tcW w:w="9720" w:type="dxa"/>
            <w:vAlign w:val="bottom"/>
          </w:tcPr>
          <w:p>
            <w:pPr>
              <w:ind w:left="40"/>
              <w:spacing w:after="0"/>
              <w:rPr>
                <w:sz w:val="20"/>
                <w:szCs w:val="20"/>
                <w:color w:val="auto"/>
              </w:rPr>
            </w:pPr>
            <w:r>
              <w:rPr>
                <w:rFonts w:ascii="Arial" w:cs="Arial" w:eastAsia="Arial" w:hAnsi="Arial"/>
                <w:sz w:val="18"/>
                <w:szCs w:val="18"/>
                <w:color w:val="auto"/>
              </w:rPr>
              <w:t>Advances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28</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5.4  Investor Remittances and Reporting</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28</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5.5  Mortgage File; Pools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28</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5.6</w:t>
            </w:r>
          </w:p>
        </w:tc>
        <w:tc>
          <w:tcPr>
            <w:tcW w:w="9720" w:type="dxa"/>
            <w:vAlign w:val="bottom"/>
          </w:tcPr>
          <w:p>
            <w:pPr>
              <w:ind w:left="40"/>
              <w:spacing w:after="0"/>
              <w:rPr>
                <w:sz w:val="20"/>
                <w:szCs w:val="20"/>
                <w:color w:val="auto"/>
              </w:rPr>
            </w:pPr>
            <w:r>
              <w:rPr>
                <w:rFonts w:ascii="Arial" w:cs="Arial" w:eastAsia="Arial" w:hAnsi="Arial"/>
                <w:sz w:val="18"/>
                <w:szCs w:val="18"/>
                <w:color w:val="auto"/>
              </w:rPr>
              <w:t>Good Title</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28</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5.7</w:t>
            </w:r>
          </w:p>
        </w:tc>
        <w:tc>
          <w:tcPr>
            <w:tcW w:w="9720" w:type="dxa"/>
            <w:vAlign w:val="bottom"/>
          </w:tcPr>
          <w:p>
            <w:pPr>
              <w:ind w:left="40"/>
              <w:spacing w:after="0"/>
              <w:rPr>
                <w:sz w:val="20"/>
                <w:szCs w:val="20"/>
                <w:color w:val="auto"/>
              </w:rPr>
            </w:pPr>
            <w:r>
              <w:rPr>
                <w:rFonts w:ascii="Arial" w:cs="Arial" w:eastAsia="Arial" w:hAnsi="Arial"/>
                <w:sz w:val="18"/>
                <w:szCs w:val="18"/>
                <w:color w:val="auto"/>
              </w:rPr>
              <w:t>Internal Audits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5.8  No Recourse Obligation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5.9  No Adverse Selection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 OF PURCHASER</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6.1  Due Organization and Good Standing</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6.2  Authority and Capacity</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29</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6.3</w:t>
            </w:r>
          </w:p>
        </w:tc>
        <w:tc>
          <w:tcPr>
            <w:tcW w:w="9720" w:type="dxa"/>
            <w:vAlign w:val="bottom"/>
          </w:tcPr>
          <w:p>
            <w:pPr>
              <w:ind w:left="40"/>
              <w:spacing w:after="0"/>
              <w:rPr>
                <w:sz w:val="20"/>
                <w:szCs w:val="20"/>
                <w:color w:val="auto"/>
              </w:rPr>
            </w:pPr>
            <w:r>
              <w:rPr>
                <w:rFonts w:ascii="Arial" w:cs="Arial" w:eastAsia="Arial" w:hAnsi="Arial"/>
                <w:sz w:val="18"/>
                <w:szCs w:val="18"/>
                <w:color w:val="auto"/>
              </w:rPr>
              <w:t>Effective Agreement</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29</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6.4</w:t>
            </w:r>
          </w:p>
        </w:tc>
        <w:tc>
          <w:tcPr>
            <w:tcW w:w="9720" w:type="dxa"/>
            <w:vAlign w:val="bottom"/>
          </w:tcPr>
          <w:p>
            <w:pPr>
              <w:ind w:left="40"/>
              <w:spacing w:after="0"/>
              <w:rPr>
                <w:sz w:val="20"/>
                <w:szCs w:val="20"/>
                <w:color w:val="auto"/>
              </w:rPr>
            </w:pPr>
            <w:r>
              <w:rPr>
                <w:rFonts w:ascii="Arial" w:cs="Arial" w:eastAsia="Arial" w:hAnsi="Arial"/>
                <w:sz w:val="18"/>
                <w:szCs w:val="18"/>
                <w:color w:val="auto"/>
              </w:rPr>
              <w:t>No Conflict</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30</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6.5  Consents, Approvals and Compliance</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30</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6.6</w:t>
            </w:r>
          </w:p>
        </w:tc>
        <w:tc>
          <w:tcPr>
            <w:tcW w:w="972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30</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6.7  Ability to Perform</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30</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 COVENANTS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30</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7.1</w:t>
            </w:r>
          </w:p>
        </w:tc>
        <w:tc>
          <w:tcPr>
            <w:tcW w:w="9720" w:type="dxa"/>
            <w:vAlign w:val="bottom"/>
          </w:tcPr>
          <w:p>
            <w:pPr>
              <w:ind w:left="40"/>
              <w:spacing w:after="0"/>
              <w:rPr>
                <w:sz w:val="20"/>
                <w:szCs w:val="20"/>
                <w:color w:val="auto"/>
              </w:rPr>
            </w:pPr>
            <w:r>
              <w:rPr>
                <w:rFonts w:ascii="Arial" w:cs="Arial" w:eastAsia="Arial" w:hAnsi="Arial"/>
                <w:sz w:val="18"/>
                <w:szCs w:val="18"/>
                <w:color w:val="auto"/>
              </w:rPr>
              <w:t>Investor Consent</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30</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7.2</w:t>
            </w:r>
          </w:p>
        </w:tc>
        <w:tc>
          <w:tcPr>
            <w:tcW w:w="9720" w:type="dxa"/>
            <w:vAlign w:val="bottom"/>
          </w:tcPr>
          <w:p>
            <w:pPr>
              <w:ind w:left="40"/>
              <w:spacing w:after="0"/>
              <w:rPr>
                <w:sz w:val="20"/>
                <w:szCs w:val="20"/>
                <w:color w:val="auto"/>
              </w:rPr>
            </w:pPr>
            <w:r>
              <w:rPr>
                <w:rFonts w:ascii="Arial" w:cs="Arial" w:eastAsia="Arial" w:hAnsi="Arial"/>
                <w:sz w:val="18"/>
                <w:szCs w:val="18"/>
                <w:color w:val="auto"/>
              </w:rPr>
              <w:t>Transfer Date</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31</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7.3  Data Files, Mortgage Files and Related Materials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31</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7.4</w:t>
            </w:r>
          </w:p>
        </w:tc>
        <w:tc>
          <w:tcPr>
            <w:tcW w:w="9720" w:type="dxa"/>
            <w:vAlign w:val="bottom"/>
          </w:tcPr>
          <w:p>
            <w:pPr>
              <w:ind w:left="40"/>
              <w:spacing w:after="0"/>
              <w:rPr>
                <w:sz w:val="20"/>
                <w:szCs w:val="20"/>
                <w:color w:val="auto"/>
              </w:rPr>
            </w:pPr>
            <w:r>
              <w:rPr>
                <w:rFonts w:ascii="Arial" w:cs="Arial" w:eastAsia="Arial" w:hAnsi="Arial"/>
                <w:sz w:val="18"/>
                <w:szCs w:val="18"/>
                <w:color w:val="auto"/>
              </w:rPr>
              <w:t>Remittances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33</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7.5</w:t>
            </w:r>
          </w:p>
        </w:tc>
        <w:tc>
          <w:tcPr>
            <w:tcW w:w="9720" w:type="dxa"/>
            <w:vAlign w:val="bottom"/>
          </w:tcPr>
          <w:p>
            <w:pPr>
              <w:ind w:left="40"/>
              <w:spacing w:after="0"/>
              <w:rPr>
                <w:sz w:val="20"/>
                <w:szCs w:val="20"/>
                <w:color w:val="auto"/>
              </w:rPr>
            </w:pPr>
            <w:r>
              <w:rPr>
                <w:rFonts w:ascii="Arial" w:cs="Arial" w:eastAsia="Arial" w:hAnsi="Arial"/>
                <w:sz w:val="18"/>
                <w:szCs w:val="18"/>
                <w:color w:val="auto"/>
              </w:rPr>
              <w:t>Interim Servicing</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33</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7.6  Forwarding of Payments and Other Items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33</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7.7  Assignment of Flood and Tax Service Contracts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34</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7.8  Escrow Interest and Analysis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34</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7.9</w:t>
            </w:r>
          </w:p>
        </w:tc>
        <w:tc>
          <w:tcPr>
            <w:tcW w:w="9720" w:type="dxa"/>
            <w:vAlign w:val="bottom"/>
          </w:tcPr>
          <w:p>
            <w:pPr>
              <w:ind w:left="40"/>
              <w:spacing w:after="0"/>
              <w:rPr>
                <w:sz w:val="20"/>
                <w:szCs w:val="20"/>
                <w:color w:val="auto"/>
              </w:rPr>
            </w:pPr>
            <w:r>
              <w:rPr>
                <w:rFonts w:ascii="Arial" w:cs="Arial" w:eastAsia="Arial" w:hAnsi="Arial"/>
                <w:sz w:val="18"/>
                <w:szCs w:val="18"/>
                <w:color w:val="auto"/>
              </w:rPr>
              <w:t>IRS Reporting</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34</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7.10  Notification of Mortgagors, Insurance Companies, etc</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34</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w w:val="93"/>
              </w:rPr>
              <w:t>Section 7.11</w:t>
            </w:r>
          </w:p>
        </w:tc>
        <w:tc>
          <w:tcPr>
            <w:tcW w:w="9720" w:type="dxa"/>
            <w:vAlign w:val="bottom"/>
          </w:tcPr>
          <w:p>
            <w:pPr>
              <w:ind w:left="120"/>
              <w:spacing w:after="0"/>
              <w:rPr>
                <w:sz w:val="20"/>
                <w:szCs w:val="20"/>
                <w:color w:val="auto"/>
              </w:rPr>
            </w:pPr>
            <w:r>
              <w:rPr>
                <w:rFonts w:ascii="Arial" w:cs="Arial" w:eastAsia="Arial" w:hAnsi="Arial"/>
                <w:sz w:val="18"/>
                <w:szCs w:val="18"/>
                <w:color w:val="auto"/>
              </w:rPr>
              <w:t>Non-Solicitation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35</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7.12  Payment of Costs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35</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7.13  Access to and Release of Information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36</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7.14  Power of Attorney</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36</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w w:val="93"/>
              </w:rPr>
              <w:t>Section 7.15</w:t>
            </w:r>
          </w:p>
        </w:tc>
        <w:tc>
          <w:tcPr>
            <w:tcW w:w="9720" w:type="dxa"/>
            <w:vAlign w:val="bottom"/>
          </w:tcPr>
          <w:p>
            <w:pPr>
              <w:ind w:left="140"/>
              <w:spacing w:after="0"/>
              <w:rPr>
                <w:sz w:val="20"/>
                <w:szCs w:val="20"/>
                <w:color w:val="auto"/>
              </w:rPr>
            </w:pPr>
            <w:r>
              <w:rPr>
                <w:rFonts w:ascii="Arial" w:cs="Arial" w:eastAsia="Arial" w:hAnsi="Arial"/>
                <w:sz w:val="18"/>
                <w:szCs w:val="18"/>
                <w:color w:val="auto"/>
              </w:rPr>
              <w:t>Cooperation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36</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w w:val="93"/>
              </w:rPr>
              <w:t>Section 7.16</w:t>
            </w:r>
          </w:p>
        </w:tc>
        <w:tc>
          <w:tcPr>
            <w:tcW w:w="9720" w:type="dxa"/>
            <w:vAlign w:val="bottom"/>
          </w:tcPr>
          <w:p>
            <w:pPr>
              <w:ind w:left="140"/>
              <w:spacing w:after="0"/>
              <w:rPr>
                <w:sz w:val="20"/>
                <w:szCs w:val="20"/>
                <w:color w:val="auto"/>
              </w:rPr>
            </w:pPr>
            <w:r>
              <w:rPr>
                <w:rFonts w:ascii="Arial" w:cs="Arial" w:eastAsia="Arial" w:hAnsi="Arial"/>
                <w:sz w:val="18"/>
                <w:szCs w:val="18"/>
                <w:color w:val="auto"/>
              </w:rPr>
              <w:t>Notices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36</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w w:val="93"/>
              </w:rPr>
              <w:t>Section 7.17</w:t>
            </w:r>
          </w:p>
        </w:tc>
        <w:tc>
          <w:tcPr>
            <w:tcW w:w="972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37</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VIII CONDITIONS PRECEDENT TO OBLIGATIONS OF PURCHASER</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38</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8.1  Correctness of Representations and Warranties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38</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8.2  Compliance with Covenants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38</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8.3</w:t>
            </w:r>
          </w:p>
        </w:tc>
        <w:tc>
          <w:tcPr>
            <w:tcW w:w="9720" w:type="dxa"/>
            <w:vAlign w:val="bottom"/>
          </w:tcPr>
          <w:p>
            <w:pPr>
              <w:ind w:left="40"/>
              <w:spacing w:after="0"/>
              <w:rPr>
                <w:sz w:val="20"/>
                <w:szCs w:val="20"/>
                <w:color w:val="auto"/>
              </w:rPr>
            </w:pPr>
            <w:r>
              <w:rPr>
                <w:rFonts w:ascii="Arial" w:cs="Arial" w:eastAsia="Arial" w:hAnsi="Arial"/>
                <w:sz w:val="18"/>
                <w:szCs w:val="18"/>
                <w:color w:val="auto"/>
              </w:rPr>
              <w:t>Officer’s Certificate</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38</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8.4</w:t>
            </w:r>
          </w:p>
        </w:tc>
        <w:tc>
          <w:tcPr>
            <w:tcW w:w="9720" w:type="dxa"/>
            <w:vAlign w:val="bottom"/>
          </w:tcPr>
          <w:p>
            <w:pPr>
              <w:ind w:left="40"/>
              <w:spacing w:after="0"/>
              <w:rPr>
                <w:sz w:val="20"/>
                <w:szCs w:val="20"/>
                <w:color w:val="auto"/>
              </w:rPr>
            </w:pPr>
            <w:r>
              <w:rPr>
                <w:rFonts w:ascii="Arial" w:cs="Arial" w:eastAsia="Arial" w:hAnsi="Arial"/>
                <w:sz w:val="18"/>
                <w:szCs w:val="18"/>
                <w:color w:val="auto"/>
              </w:rPr>
              <w:t>Investor Approval</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39</w:t>
              </w:r>
            </w:hyperlink>
          </w:p>
        </w:tc>
      </w:tr>
      <w:tr>
        <w:trPr>
          <w:trHeight w:val="241"/>
        </w:trPr>
        <w:tc>
          <w:tcPr>
            <w:tcW w:w="960" w:type="dxa"/>
            <w:vAlign w:val="bottom"/>
          </w:tcPr>
          <w:p>
            <w:pPr>
              <w:spacing w:after="0"/>
              <w:rPr>
                <w:sz w:val="20"/>
                <w:szCs w:val="20"/>
                <w:color w:val="auto"/>
              </w:rPr>
            </w:pPr>
            <w:r>
              <w:rPr>
                <w:rFonts w:ascii="Arial" w:cs="Arial" w:eastAsia="Arial" w:hAnsi="Arial"/>
                <w:sz w:val="18"/>
                <w:szCs w:val="18"/>
                <w:color w:val="auto"/>
              </w:rPr>
              <w:t>Section 8.5</w:t>
            </w:r>
          </w:p>
        </w:tc>
        <w:tc>
          <w:tcPr>
            <w:tcW w:w="972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80"/>
          </w:cols>
          <w:pgMar w:left="320" w:top="1249" w:right="6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0680" w:type="dxa"/>
            <w:vAlign w:val="bottom"/>
            <w:gridSpan w:val="2"/>
          </w:tcPr>
          <w:p>
            <w:pPr>
              <w:spacing w:after="0"/>
              <w:rPr>
                <w:sz w:val="20"/>
                <w:szCs w:val="20"/>
                <w:color w:val="auto"/>
              </w:rPr>
            </w:pPr>
            <w:r>
              <w:rPr>
                <w:rFonts w:ascii="Arial" w:cs="Arial" w:eastAsia="Arial" w:hAnsi="Arial"/>
                <w:sz w:val="18"/>
                <w:szCs w:val="18"/>
                <w:color w:val="auto"/>
              </w:rPr>
              <w:t>Section 8.6  Financial Condition of Seller</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8.7  Conformance with Data</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8.8  Material Adverse Change</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39</w:t>
              </w:r>
            </w:hyperlink>
          </w:p>
        </w:tc>
      </w:tr>
      <w:tr>
        <w:trPr>
          <w:trHeight w:val="241"/>
        </w:trPr>
        <w:tc>
          <w:tcPr>
            <w:tcW w:w="10680" w:type="dxa"/>
            <w:vAlign w:val="bottom"/>
            <w:gridSpan w:val="2"/>
          </w:tcPr>
          <w:p>
            <w:pPr>
              <w:ind w:left="40"/>
              <w:spacing w:after="0"/>
              <w:rPr>
                <w:sz w:val="20"/>
                <w:szCs w:val="20"/>
                <w:color w:val="auto"/>
              </w:rPr>
            </w:pPr>
            <w:r>
              <w:rPr>
                <w:rFonts w:ascii="Arial" w:cs="Arial" w:eastAsia="Arial" w:hAnsi="Arial"/>
                <w:sz w:val="18"/>
                <w:szCs w:val="18"/>
                <w:color w:val="auto"/>
              </w:rPr>
              <w:t>Section 8.9  Due Diligence Findings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39</w:t>
              </w:r>
            </w:hyperlink>
          </w:p>
        </w:tc>
      </w:tr>
      <w:tr>
        <w:trPr>
          <w:trHeight w:val="241"/>
        </w:trPr>
        <w:tc>
          <w:tcPr>
            <w:tcW w:w="10680" w:type="dxa"/>
            <w:vAlign w:val="bottom"/>
            <w:gridSpan w:val="2"/>
          </w:tcPr>
          <w:p>
            <w:pPr>
              <w:ind w:left="40"/>
              <w:spacing w:after="0"/>
              <w:rPr>
                <w:sz w:val="20"/>
                <w:szCs w:val="20"/>
                <w:color w:val="auto"/>
              </w:rPr>
            </w:pPr>
            <w:r>
              <w:rPr>
                <w:rFonts w:ascii="Arial" w:cs="Arial" w:eastAsia="Arial" w:hAnsi="Arial"/>
                <w:sz w:val="18"/>
                <w:szCs w:val="18"/>
                <w:color w:val="auto"/>
              </w:rPr>
              <w:t>Section 8.10  Release of Liens on Servicing Rights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39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IX CONDITIONS PRECEDENT TO OBLIGATIONS OF SELLER</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40</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9.1  Correctness of Representations and Warranties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40</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9.2  Compliance with Covenants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40</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rPr>
              <w:t>Section 9.3</w:t>
            </w:r>
          </w:p>
        </w:tc>
        <w:tc>
          <w:tcPr>
            <w:tcW w:w="9680" w:type="dxa"/>
            <w:vAlign w:val="bottom"/>
          </w:tcPr>
          <w:p>
            <w:pPr>
              <w:spacing w:after="0"/>
              <w:rPr>
                <w:sz w:val="20"/>
                <w:szCs w:val="20"/>
                <w:color w:val="auto"/>
              </w:rPr>
            </w:pPr>
            <w:r>
              <w:rPr>
                <w:rFonts w:ascii="Arial" w:cs="Arial" w:eastAsia="Arial" w:hAnsi="Arial"/>
                <w:sz w:val="18"/>
                <w:szCs w:val="18"/>
                <w:color w:val="auto"/>
              </w:rPr>
              <w:t>Investor Approval</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40</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rPr>
              <w:t>Section 9.4</w:t>
            </w:r>
          </w:p>
        </w:tc>
        <w:tc>
          <w:tcPr>
            <w:tcW w:w="9680" w:type="dxa"/>
            <w:vAlign w:val="bottom"/>
          </w:tcPr>
          <w:p>
            <w:pPr>
              <w:spacing w:after="0"/>
              <w:rPr>
                <w:sz w:val="20"/>
                <w:szCs w:val="20"/>
                <w:color w:val="auto"/>
              </w:rPr>
            </w:pPr>
            <w:r>
              <w:rPr>
                <w:rFonts w:ascii="Arial" w:cs="Arial" w:eastAsia="Arial" w:hAnsi="Arial"/>
                <w:sz w:val="18"/>
                <w:szCs w:val="18"/>
                <w:color w:val="auto"/>
              </w:rPr>
              <w:t>Litigation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40</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 INDEMNIFICATION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40</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10.1  Indemnification of Purchaser</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40</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10.2  Repurchase of Mortgage Loans, REO Property and Servicing Rights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41</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10.3  Indemnification of Seller</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42</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10.4  Notice and Settlement of Claims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43</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10.5</w:t>
            </w:r>
          </w:p>
        </w:tc>
        <w:tc>
          <w:tcPr>
            <w:tcW w:w="9680" w:type="dxa"/>
            <w:vAlign w:val="bottom"/>
          </w:tcPr>
          <w:p>
            <w:pPr>
              <w:ind w:left="100"/>
              <w:spacing w:after="0"/>
              <w:rPr>
                <w:sz w:val="20"/>
                <w:szCs w:val="20"/>
                <w:color w:val="auto"/>
              </w:rPr>
            </w:pPr>
            <w:r>
              <w:rPr>
                <w:rFonts w:ascii="Arial" w:cs="Arial" w:eastAsia="Arial" w:hAnsi="Arial"/>
                <w:sz w:val="18"/>
                <w:szCs w:val="18"/>
                <w:color w:val="auto"/>
              </w:rPr>
              <w:t>Compensatory Fees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44</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XI TERMINATION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45</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11.1</w:t>
            </w:r>
          </w:p>
        </w:tc>
        <w:tc>
          <w:tcPr>
            <w:tcW w:w="968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45</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11.2  Effect of Termination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45</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46</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12.1</w:t>
            </w:r>
          </w:p>
        </w:tc>
        <w:tc>
          <w:tcPr>
            <w:tcW w:w="9680" w:type="dxa"/>
            <w:vAlign w:val="bottom"/>
          </w:tcPr>
          <w:p>
            <w:pPr>
              <w:ind w:left="100"/>
              <w:spacing w:after="0"/>
              <w:rPr>
                <w:sz w:val="20"/>
                <w:szCs w:val="20"/>
                <w:color w:val="auto"/>
              </w:rPr>
            </w:pPr>
            <w:r>
              <w:rPr>
                <w:rFonts w:ascii="Arial" w:cs="Arial" w:eastAsia="Arial" w:hAnsi="Arial"/>
                <w:sz w:val="18"/>
                <w:szCs w:val="18"/>
                <w:color w:val="auto"/>
              </w:rPr>
              <w:t>Supplementary Information</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46</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12.2  No Broker’s Fees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46</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12.3</w:t>
            </w:r>
          </w:p>
        </w:tc>
        <w:tc>
          <w:tcPr>
            <w:tcW w:w="968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46</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12.4</w:t>
            </w:r>
          </w:p>
        </w:tc>
        <w:tc>
          <w:tcPr>
            <w:tcW w:w="968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46</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12.5</w:t>
            </w:r>
          </w:p>
        </w:tc>
        <w:tc>
          <w:tcPr>
            <w:tcW w:w="968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46</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12.6</w:t>
            </w:r>
          </w:p>
        </w:tc>
        <w:tc>
          <w:tcPr>
            <w:tcW w:w="9680" w:type="dxa"/>
            <w:vAlign w:val="bottom"/>
          </w:tcPr>
          <w:p>
            <w:pPr>
              <w:ind w:left="100"/>
              <w:spacing w:after="0"/>
              <w:rPr>
                <w:sz w:val="20"/>
                <w:szCs w:val="20"/>
                <w:color w:val="auto"/>
              </w:rPr>
            </w:pPr>
            <w:r>
              <w:rPr>
                <w:rFonts w:ascii="Arial" w:cs="Arial" w:eastAsia="Arial" w:hAnsi="Arial"/>
                <w:sz w:val="18"/>
                <w:szCs w:val="18"/>
                <w:color w:val="auto"/>
              </w:rPr>
              <w:t>Due Diligence</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46</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12.7</w:t>
            </w:r>
          </w:p>
        </w:tc>
        <w:tc>
          <w:tcPr>
            <w:tcW w:w="9680" w:type="dxa"/>
            <w:vAlign w:val="bottom"/>
          </w:tcPr>
          <w:p>
            <w:pPr>
              <w:ind w:left="100"/>
              <w:spacing w:after="0"/>
              <w:rPr>
                <w:sz w:val="20"/>
                <w:szCs w:val="20"/>
                <w:color w:val="auto"/>
              </w:rPr>
            </w:pPr>
            <w:r>
              <w:rPr>
                <w:rFonts w:ascii="Arial" w:cs="Arial" w:eastAsia="Arial" w:hAnsi="Arial"/>
                <w:sz w:val="18"/>
                <w:szCs w:val="18"/>
                <w:color w:val="auto"/>
              </w:rPr>
              <w:t>Notices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47</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97"/>
              </w:rPr>
              <w:t>Section 12.8</w:t>
            </w:r>
          </w:p>
        </w:tc>
        <w:tc>
          <w:tcPr>
            <w:tcW w:w="968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48</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12.9  Binding Effect; Third Parties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48</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88"/>
              </w:rPr>
              <w:t>Section 12.10</w:t>
            </w:r>
          </w:p>
        </w:tc>
        <w:tc>
          <w:tcPr>
            <w:tcW w:w="9680" w:type="dxa"/>
            <w:vAlign w:val="bottom"/>
          </w:tcPr>
          <w:p>
            <w:pPr>
              <w:ind w:left="180"/>
              <w:spacing w:after="0"/>
              <w:rPr>
                <w:sz w:val="20"/>
                <w:szCs w:val="20"/>
                <w:color w:val="auto"/>
              </w:rPr>
            </w:pPr>
            <w:r>
              <w:rPr>
                <w:rFonts w:ascii="Arial" w:cs="Arial" w:eastAsia="Arial" w:hAnsi="Arial"/>
                <w:sz w:val="18"/>
                <w:szCs w:val="18"/>
                <w:color w:val="auto"/>
              </w:rPr>
              <w:t>Applicable Laws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48</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88"/>
              </w:rPr>
              <w:t>Section 12.11</w:t>
            </w:r>
          </w:p>
        </w:tc>
        <w:tc>
          <w:tcPr>
            <w:tcW w:w="96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12.12  No Remedy Exclusive</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49</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88"/>
              </w:rPr>
              <w:t>Section 12.13</w:t>
            </w:r>
          </w:p>
        </w:tc>
        <w:tc>
          <w:tcPr>
            <w:tcW w:w="9680" w:type="dxa"/>
            <w:vAlign w:val="bottom"/>
          </w:tcPr>
          <w:p>
            <w:pPr>
              <w:ind w:left="180"/>
              <w:spacing w:after="0"/>
              <w:rPr>
                <w:sz w:val="20"/>
                <w:szCs w:val="20"/>
                <w:color w:val="auto"/>
              </w:rPr>
            </w:pPr>
            <w:r>
              <w:rPr>
                <w:rFonts w:ascii="Arial" w:cs="Arial" w:eastAsia="Arial" w:hAnsi="Arial"/>
                <w:sz w:val="18"/>
                <w:szCs w:val="18"/>
                <w:color w:val="auto"/>
              </w:rPr>
              <w:t>Waiver</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49</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88"/>
              </w:rPr>
              <w:t>Section 12.14</w:t>
            </w:r>
          </w:p>
        </w:tc>
        <w:tc>
          <w:tcPr>
            <w:tcW w:w="9680" w:type="dxa"/>
            <w:vAlign w:val="bottom"/>
          </w:tcPr>
          <w:p>
            <w:pPr>
              <w:ind w:left="180"/>
              <w:spacing w:after="0"/>
              <w:rPr>
                <w:sz w:val="20"/>
                <w:szCs w:val="20"/>
                <w:color w:val="auto"/>
              </w:rPr>
            </w:pPr>
            <w:r>
              <w:rPr>
                <w:rFonts w:ascii="Arial" w:cs="Arial" w:eastAsia="Arial" w:hAnsi="Arial"/>
                <w:sz w:val="18"/>
                <w:szCs w:val="18"/>
                <w:color w:val="auto"/>
              </w:rPr>
              <w:t>Announcements</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49</w:t>
              </w:r>
            </w:hyperlink>
          </w:p>
        </w:tc>
      </w:tr>
      <w:tr>
        <w:trPr>
          <w:trHeight w:val="241"/>
        </w:trPr>
        <w:tc>
          <w:tcPr>
            <w:tcW w:w="1000" w:type="dxa"/>
            <w:vAlign w:val="bottom"/>
          </w:tcPr>
          <w:p>
            <w:pPr>
              <w:spacing w:after="0"/>
              <w:rPr>
                <w:sz w:val="20"/>
                <w:szCs w:val="20"/>
                <w:color w:val="auto"/>
              </w:rPr>
            </w:pPr>
            <w:r>
              <w:rPr>
                <w:rFonts w:ascii="Arial" w:cs="Arial" w:eastAsia="Arial" w:hAnsi="Arial"/>
                <w:sz w:val="18"/>
                <w:szCs w:val="18"/>
                <w:color w:val="auto"/>
                <w:w w:val="88"/>
              </w:rPr>
              <w:t>Section 12.15</w:t>
            </w:r>
          </w:p>
        </w:tc>
        <w:tc>
          <w:tcPr>
            <w:tcW w:w="9680" w:type="dxa"/>
            <w:vAlign w:val="bottom"/>
          </w:tcPr>
          <w:p>
            <w:pPr>
              <w:ind w:left="180"/>
              <w:spacing w:after="0"/>
              <w:rPr>
                <w:sz w:val="20"/>
                <w:szCs w:val="20"/>
                <w:color w:val="auto"/>
              </w:rPr>
            </w:pPr>
            <w:r>
              <w:rPr>
                <w:rFonts w:ascii="Arial" w:cs="Arial" w:eastAsia="Arial" w:hAnsi="Arial"/>
                <w:sz w:val="18"/>
                <w:szCs w:val="18"/>
                <w:color w:val="auto"/>
              </w:rPr>
              <w:t>Exclusivity</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49</w:t>
              </w:r>
            </w:hyperlink>
          </w:p>
        </w:tc>
      </w:tr>
      <w:tr>
        <w:trPr>
          <w:trHeight w:val="241"/>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12.16  Time of the Essence</w:t>
            </w:r>
          </w:p>
        </w:tc>
        <w:tc>
          <w:tcPr>
            <w:tcW w:w="200" w:type="dxa"/>
            <w:vAlign w:val="bottom"/>
            <w:tcBorders>
              <w:bottom w:val="single" w:sz="8" w:color="auto"/>
            </w:tcBorders>
          </w:tcPr>
          <w:p>
            <w:pPr>
              <w:jc w:val="right"/>
              <w:spacing w:after="0"/>
              <w:rPr>
                <w:rFonts w:ascii="Arial" w:cs="Arial" w:eastAsia="Arial" w:hAnsi="Arial"/>
                <w:sz w:val="18"/>
                <w:szCs w:val="18"/>
                <w:color w:val="auto"/>
                <w:w w:val="89"/>
              </w:rPr>
            </w:pPr>
            <w:hyperlink w:anchor="page121">
              <w:r>
                <w:rPr>
                  <w:rFonts w:ascii="Arial" w:cs="Arial" w:eastAsia="Arial" w:hAnsi="Arial"/>
                  <w:sz w:val="18"/>
                  <w:szCs w:val="18"/>
                  <w:color w:val="auto"/>
                  <w:w w:val="89"/>
                </w:rPr>
                <w:t>49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80"/>
          </w:cols>
          <w:pgMar w:left="320" w:top="1249" w:right="6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SCHEDULES AND EXHIBITS</w:t>
      </w:r>
    </w:p>
    <w:p>
      <w:pPr>
        <w:spacing w:after="0" w:line="2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5"/>
          <w:szCs w:val="15"/>
          <w:color w:val="auto"/>
        </w:rPr>
        <w:t>Purchase Price Percentage</w:t>
      </w:r>
    </w:p>
    <w:p>
      <w:pPr>
        <w:spacing w:after="0" w:line="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Form of Bill of Sale</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Servicing Transfer Instructions</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Interim Servicing Requirements</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7"/>
          <w:szCs w:val="17"/>
          <w:color w:val="auto"/>
        </w:rPr>
        <w:t>Form of Seller’s Officer’s Certificate</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Content of Mortgage Loan Schedule</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7"/>
          <w:szCs w:val="17"/>
          <w:color w:val="auto"/>
        </w:rPr>
        <w:t>Servicing File</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H-1</w:t>
      </w:r>
      <w:r>
        <w:rPr>
          <w:sz w:val="20"/>
          <w:szCs w:val="20"/>
          <w:color w:val="auto"/>
        </w:rPr>
        <w:tab/>
      </w:r>
      <w:r>
        <w:rPr>
          <w:rFonts w:ascii="Arial" w:cs="Arial" w:eastAsia="Arial" w:hAnsi="Arial"/>
          <w:sz w:val="16"/>
          <w:szCs w:val="16"/>
          <w:color w:val="auto"/>
        </w:rPr>
        <w:t>Estimated Purchase Price Computation Worksheet</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H-2</w:t>
      </w:r>
      <w:r>
        <w:rPr>
          <w:sz w:val="20"/>
          <w:szCs w:val="20"/>
          <w:color w:val="auto"/>
        </w:rPr>
        <w:tab/>
      </w:r>
      <w:r>
        <w:rPr>
          <w:rFonts w:ascii="Arial" w:cs="Arial" w:eastAsia="Arial" w:hAnsi="Arial"/>
          <w:sz w:val="16"/>
          <w:szCs w:val="16"/>
          <w:color w:val="auto"/>
        </w:rPr>
        <w:t>Purchase Price Computation Worksheet</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7"/>
          <w:szCs w:val="17"/>
          <w:color w:val="auto"/>
        </w:rPr>
        <w:t>Form of Limited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39"/>
          </w:cols>
          <w:pgMar w:left="320" w:top="1217"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t>BULK SERVICING RIGHTS PURCHASE AND SALE AGREEMENT</w:t>
      </w:r>
    </w:p>
    <w:p>
      <w:pPr>
        <w:spacing w:after="0" w:line="285"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8"/>
          <w:szCs w:val="18"/>
          <w:color w:val="auto"/>
        </w:rPr>
        <w:t>This BULK SERVICING RIGHTS PURCHASE AND SALE AGREEMENT, dated as of May 21,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PHH MORTGAGE CORPORATION (“</w:t>
      </w:r>
      <w:r>
        <w:rPr>
          <w:rFonts w:ascii="Arial" w:cs="Arial" w:eastAsia="Arial" w:hAnsi="Arial"/>
          <w:sz w:val="18"/>
          <w:szCs w:val="18"/>
          <w:u w:val="single" w:color="auto"/>
          <w:color w:val="auto"/>
        </w:rPr>
        <w:t>Purchaser</w:t>
      </w:r>
      <w:r>
        <w:rPr>
          <w:rFonts w:ascii="Arial" w:cs="Arial" w:eastAsia="Arial" w:hAnsi="Arial"/>
          <w:sz w:val="18"/>
          <w:szCs w:val="18"/>
          <w:color w:val="auto"/>
        </w:rPr>
        <w:t>”) and AMERIHOME MORTGAGE COMPANY, LLC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 is the owner of Servicing Rights related to certain mortgage loans sold to or securitized with the Investors; and</w:t>
      </w:r>
    </w:p>
    <w:p>
      <w:pPr>
        <w:spacing w:after="0" w:line="190"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terms and subject to the conditions set forth herein, Seller desires to sell, transfer and assign, and Purchaser desires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and assume, all right, title and interest in and to certain of such Servicing Rights.</w:t>
      </w:r>
    </w:p>
    <w:p>
      <w:pPr>
        <w:spacing w:after="0" w:line="125"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covenants and conditions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and upon the terms and subject to the conditions set forth herein, the parties hereto agree as follows:</w:t>
      </w:r>
    </w:p>
    <w:p>
      <w:pPr>
        <w:spacing w:after="0" w:line="35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I</w:t>
      </w:r>
    </w:p>
    <w:p>
      <w:pPr>
        <w:spacing w:after="0" w:line="1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INCORPORATION OF RECITALS; DEFINITIONS</w:t>
      </w:r>
    </w:p>
    <w:p>
      <w:pPr>
        <w:spacing w:after="0" w:line="213"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8"/>
          <w:szCs w:val="18"/>
          <w:b w:val="1"/>
          <w:bCs w:val="1"/>
          <w:color w:val="auto"/>
        </w:rPr>
        <w:t>Section I.1</w:t>
      </w:r>
      <w:r>
        <w:rPr>
          <w:sz w:val="20"/>
          <w:szCs w:val="20"/>
          <w:color w:val="auto"/>
        </w:rPr>
        <w:tab/>
      </w:r>
      <w:r>
        <w:rPr>
          <w:rFonts w:ascii="Arial" w:cs="Arial" w:eastAsia="Arial" w:hAnsi="Arial"/>
          <w:sz w:val="16"/>
          <w:szCs w:val="16"/>
          <w:b w:val="1"/>
          <w:bCs w:val="1"/>
          <w:u w:val="single" w:color="auto"/>
          <w:color w:val="auto"/>
        </w:rPr>
        <w:t>Incorporation of Recitals</w:t>
      </w:r>
      <w:r>
        <w:rPr>
          <w:rFonts w:ascii="Arial" w:cs="Arial" w:eastAsia="Arial" w:hAnsi="Arial"/>
          <w:sz w:val="16"/>
          <w:szCs w:val="16"/>
          <w:color w:val="auto"/>
        </w:rPr>
        <w:t>. The recitals set forth above are incorporated herein by reference.</w:t>
      </w:r>
    </w:p>
    <w:p>
      <w:pPr>
        <w:spacing w:after="0" w:line="190"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8"/>
          <w:szCs w:val="18"/>
          <w:b w:val="1"/>
          <w:bCs w:val="1"/>
          <w:color w:val="auto"/>
        </w:rPr>
        <w:t>Section I.2</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shall have the meanings specified below.</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Advances</w:t>
      </w:r>
      <w:r>
        <w:rPr>
          <w:rFonts w:ascii="Arial" w:cs="Arial" w:eastAsia="Arial" w:hAnsi="Arial"/>
          <w:sz w:val="18"/>
          <w:szCs w:val="18"/>
          <w:color w:val="auto"/>
        </w:rPr>
        <w:t>: With respect to the servicing of a Mortgage Loan, P &amp; I Advances, Corporate Advances and T &amp; I Advances made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Loan in accordance with the Applicable Requirements.</w:t>
      </w:r>
    </w:p>
    <w:p>
      <w:pPr>
        <w:spacing w:after="0" w:line="125"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With respect to any Person shall mean any other Person directly or indirectly controlling, controlled by or under common control with</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Person.</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Agency or Agencies</w:t>
      </w:r>
      <w:r>
        <w:rPr>
          <w:rFonts w:ascii="Arial" w:cs="Arial" w:eastAsia="Arial" w:hAnsi="Arial"/>
          <w:sz w:val="18"/>
          <w:szCs w:val="18"/>
          <w:color w:val="auto"/>
          <w:highlight w:val="white"/>
        </w:rPr>
        <w:t>: Fannie Mae and Freddie Mac, as applicable.</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This Bulk Servicing Rights Purchase and Sale Agreement, including all amendments hereof and supplements hereto, and all Exhibits</w:t>
      </w:r>
      <w:r>
        <w:rPr>
          <w:rFonts w:ascii="Arial" w:cs="Arial" w:eastAsia="Arial" w:hAnsi="Arial"/>
          <w:sz w:val="18"/>
          <w:szCs w:val="18"/>
          <w:b w:val="1"/>
          <w:bCs w:val="1"/>
          <w:color w:val="auto"/>
        </w:rPr>
        <w:t xml:space="preserve"> </w:t>
      </w:r>
      <w:r>
        <w:rPr>
          <w:rFonts w:ascii="Arial" w:cs="Arial" w:eastAsia="Arial" w:hAnsi="Arial"/>
          <w:sz w:val="18"/>
          <w:szCs w:val="18"/>
          <w:color w:val="auto"/>
        </w:rPr>
        <w:t>and Schedules attached hereto or delivered pursuant hereto.</w:t>
      </w:r>
    </w:p>
    <w:p>
      <w:pPr>
        <w:spacing w:after="0" w:line="125"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Ancillary Fees</w:t>
      </w:r>
      <w:r>
        <w:rPr>
          <w:rFonts w:ascii="Arial" w:cs="Arial" w:eastAsia="Arial" w:hAnsi="Arial"/>
          <w:sz w:val="18"/>
          <w:szCs w:val="18"/>
          <w:color w:val="auto"/>
        </w:rPr>
        <w:t>: Shall mean all income derived from the Mortgage Loans not required by the related Servicing Agreement to be passed through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Agency or the Mortgagors,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217" w:right="319" w:bottom="1440" w:gutter="0" w:footer="0" w:header="0"/>
        </w:sectPr>
      </w:pPr>
    </w:p>
    <w:bookmarkStart w:id="122" w:name="page123"/>
    <w:bookmarkEnd w:id="122"/>
    <w:p>
      <w:pPr>
        <w:jc w:val="both"/>
        <w:ind w:right="20"/>
        <w:spacing w:after="0" w:line="264" w:lineRule="auto"/>
        <w:rPr>
          <w:sz w:val="20"/>
          <w:szCs w:val="20"/>
          <w:color w:val="auto"/>
        </w:rPr>
      </w:pPr>
      <w:r>
        <w:rPr>
          <w:rFonts w:ascii="Arial" w:cs="Arial" w:eastAsia="Arial" w:hAnsi="Arial"/>
          <w:sz w:val="18"/>
          <w:szCs w:val="18"/>
          <w:color w:val="auto"/>
        </w:rPr>
        <w:t>than the Servicing Fees, including but not limited to, the Float Benefit, prepayment charges, late charges, fees received with respect to checks or bank drafts returned by the related bank for non-sufficient funds, assumption fees, optional insurance administrative fees and all other incidental fees and charges.</w:t>
      </w:r>
    </w:p>
    <w:p>
      <w:pPr>
        <w:spacing w:after="0" w:line="141" w:lineRule="exact"/>
        <w:rPr>
          <w:sz w:val="20"/>
          <w:szCs w:val="20"/>
          <w:color w:val="auto"/>
        </w:rPr>
      </w:pPr>
    </w:p>
    <w:p>
      <w:pPr>
        <w:jc w:val="both"/>
        <w:ind w:firstLine="545"/>
        <w:spacing w:after="0" w:line="269" w:lineRule="auto"/>
        <w:rPr>
          <w:sz w:val="20"/>
          <w:szCs w:val="20"/>
          <w:color w:val="auto"/>
        </w:rPr>
      </w:pPr>
      <w:r>
        <w:rPr>
          <w:rFonts w:ascii="Arial" w:cs="Arial" w:eastAsia="Arial" w:hAnsi="Arial"/>
          <w:sz w:val="17"/>
          <w:szCs w:val="17"/>
          <w:b w:val="1"/>
          <w:bCs w:val="1"/>
          <w:u w:val="single" w:color="auto"/>
          <w:color w:val="auto"/>
        </w:rPr>
        <w:t>Applicable Requirements</w:t>
      </w:r>
      <w:r>
        <w:rPr>
          <w:rFonts w:ascii="Arial" w:cs="Arial" w:eastAsia="Arial" w:hAnsi="Arial"/>
          <w:sz w:val="17"/>
          <w:szCs w:val="17"/>
          <w:color w:val="auto"/>
        </w:rPr>
        <w:t>: As of the time of reference and as applicable, (i) all contractual obligations of Seller, Originators or Prior Servicers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respect to the Servicing Rights contained in the applicable Servicing Agreements or in any agreement with any Agency or applicable Insurer or in the Mortgage Loan Documents for which Seller or any Originator is responsible or at any time was responsible; (ii) all federal, state and local laws, statutes, rules, regulations and ordinances applicable to Seller or any Originator, or to the Servicing Rights or the origination, purchase, sale, enforcement and insuring or guaranty of, or filing of claims in connection with, the Mortgage Loans, including the applicable requirements and guidelines of the Investors or any Agency or Insurer, or any other governmental agency, board, commission, instrumentality or other governmental or quasi-governmental body or office; (iii) all other judicial and administrative judgments, orders, stipulations, awards, writs and injunctions applicable to Seller or Originator applicable to the Servicing Rights or the Mortgage Loans; (iv) the Guides and all other Investor guides, manuals, handbooks, bulletins, circulars, announcements, issuances, releases, letters, correspondence and other instructions applicable to the Servicing Rights; and (v) to the extent not in conflict with the preceding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those mortgage origination, sale and servicing practices (including collection practices) of prudent mortgage banking institutions which originate, sell and service mortgage loans of the same types as such Mortgage Loans in the jurisdiction where the related Mortgaged Properties are located.</w:t>
      </w:r>
    </w:p>
    <w:p>
      <w:pPr>
        <w:spacing w:after="0" w:line="139" w:lineRule="exact"/>
        <w:rPr>
          <w:sz w:val="20"/>
          <w:szCs w:val="20"/>
          <w:color w:val="auto"/>
        </w:rPr>
      </w:pPr>
    </w:p>
    <w:p>
      <w:pPr>
        <w:jc w:val="both"/>
        <w:ind w:firstLine="545"/>
        <w:spacing w:after="0" w:line="277" w:lineRule="auto"/>
        <w:rPr>
          <w:sz w:val="20"/>
          <w:szCs w:val="20"/>
          <w:color w:val="auto"/>
        </w:rPr>
      </w:pPr>
      <w:r>
        <w:rPr>
          <w:rFonts w:ascii="Arial" w:cs="Arial" w:eastAsia="Arial" w:hAnsi="Arial"/>
          <w:sz w:val="17"/>
          <w:szCs w:val="17"/>
          <w:b w:val="1"/>
          <w:bCs w:val="1"/>
          <w:u w:val="single" w:color="auto"/>
          <w:color w:val="auto"/>
        </w:rPr>
        <w:t>Appraised Value</w:t>
      </w:r>
      <w:r>
        <w:rPr>
          <w:rFonts w:ascii="Arial" w:cs="Arial" w:eastAsia="Arial" w:hAnsi="Arial"/>
          <w:sz w:val="17"/>
          <w:szCs w:val="17"/>
          <w:color w:val="auto"/>
        </w:rPr>
        <w:t>: With respect to any Mortgaged Property, the lesser of (i) the value thereof as determined by a Qualified Appraiser, and (ii)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price paid for the related Mortgaged Property by the Mortgagor with the proceeds of the Mortgage Loan, provided, however, in the case of a Refinanced Mortgage Loan, such value of the Mortgaged Property is based solely upon the value determined by an appraisal made for the Originator of such Refinanced Mortgage Loan at the time of origination of such Refinanced Mortgage Loan; provided further, that any such appraisal used to determine the Appraised Value may be in the form of any alternative valuation methodology if permitted by the Investors.</w:t>
      </w:r>
    </w:p>
    <w:p>
      <w:pPr>
        <w:spacing w:after="0" w:line="131" w:lineRule="exact"/>
        <w:rPr>
          <w:sz w:val="20"/>
          <w:szCs w:val="20"/>
          <w:color w:val="auto"/>
        </w:rPr>
      </w:pPr>
    </w:p>
    <w:p>
      <w:pPr>
        <w:jc w:val="both"/>
        <w:ind w:right="20" w:firstLine="545"/>
        <w:spacing w:after="0" w:line="314" w:lineRule="auto"/>
        <w:rPr>
          <w:sz w:val="20"/>
          <w:szCs w:val="20"/>
          <w:color w:val="auto"/>
        </w:rPr>
      </w:pPr>
      <w:r>
        <w:rPr>
          <w:rFonts w:ascii="Arial" w:cs="Arial" w:eastAsia="Arial" w:hAnsi="Arial"/>
          <w:sz w:val="17"/>
          <w:szCs w:val="17"/>
          <w:b w:val="1"/>
          <w:bCs w:val="1"/>
          <w:u w:val="single" w:color="auto"/>
          <w:color w:val="auto"/>
        </w:rPr>
        <w:t>Approved Flood Zone Determination Company</w:t>
      </w:r>
      <w:r>
        <w:rPr>
          <w:rFonts w:ascii="Arial" w:cs="Arial" w:eastAsia="Arial" w:hAnsi="Arial"/>
          <w:sz w:val="17"/>
          <w:szCs w:val="17"/>
          <w:color w:val="auto"/>
        </w:rPr>
        <w:t>: CoreLogic, Servicelink or another flood zone determination vendor approved by Purchaser that</w:t>
      </w:r>
      <w:r>
        <w:rPr>
          <w:rFonts w:ascii="Arial" w:cs="Arial" w:eastAsia="Arial" w:hAnsi="Arial"/>
          <w:sz w:val="17"/>
          <w:szCs w:val="17"/>
          <w:b w:val="1"/>
          <w:bCs w:val="1"/>
          <w:color w:val="auto"/>
        </w:rPr>
        <w:t xml:space="preserve"> </w:t>
      </w:r>
      <w:r>
        <w:rPr>
          <w:rFonts w:ascii="Arial" w:cs="Arial" w:eastAsia="Arial" w:hAnsi="Arial"/>
          <w:sz w:val="17"/>
          <w:szCs w:val="17"/>
          <w:color w:val="auto"/>
        </w:rPr>
        <w:t>will track FEMA flood zone map determination changes for the life of a Mortgage Loan with respect to the Mortgaged Property.</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Approved Tax Services Company</w:t>
      </w:r>
      <w:r>
        <w:rPr>
          <w:rFonts w:ascii="Arial" w:cs="Arial" w:eastAsia="Arial" w:hAnsi="Arial"/>
          <w:sz w:val="18"/>
          <w:szCs w:val="18"/>
          <w:color w:val="auto"/>
        </w:rPr>
        <w:t>: CoreLogic, or another tax services vendor approved by Purchaser.</w:t>
      </w:r>
    </w:p>
    <w:p>
      <w:pPr>
        <w:spacing w:after="0" w:line="190" w:lineRule="exact"/>
        <w:rPr>
          <w:sz w:val="20"/>
          <w:szCs w:val="20"/>
          <w:color w:val="auto"/>
        </w:rPr>
      </w:pPr>
    </w:p>
    <w:p>
      <w:pPr>
        <w:jc w:val="both"/>
        <w:ind w:firstLine="545"/>
        <w:spacing w:after="0" w:line="314" w:lineRule="auto"/>
        <w:rPr>
          <w:sz w:val="20"/>
          <w:szCs w:val="20"/>
          <w:color w:val="auto"/>
        </w:rPr>
      </w:pPr>
      <w:r>
        <w:rPr>
          <w:rFonts w:ascii="Arial" w:cs="Arial" w:eastAsia="Arial" w:hAnsi="Arial"/>
          <w:sz w:val="17"/>
          <w:szCs w:val="17"/>
          <w:b w:val="1"/>
          <w:bCs w:val="1"/>
          <w:u w:val="single" w:color="auto"/>
          <w:color w:val="auto"/>
        </w:rPr>
        <w:t>Assignment of Mortgage</w:t>
      </w:r>
      <w:r>
        <w:rPr>
          <w:rFonts w:ascii="Arial" w:cs="Arial" w:eastAsia="Arial" w:hAnsi="Arial"/>
          <w:sz w:val="17"/>
          <w:szCs w:val="17"/>
          <w:color w:val="auto"/>
        </w:rPr>
        <w:t>: A written instrument that, when recorded in the appropriate office of the local jurisdiction in which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Mortgaged Property is located, will reflect the transfer of the Mortgage identified therein from the transferor to the transferee named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1221" w:right="319" w:bottom="1440" w:gutter="0" w:footer="0" w:header="0"/>
        </w:sectPr>
      </w:pPr>
    </w:p>
    <w:bookmarkStart w:id="123" w:name="page124"/>
    <w:bookmarkEnd w:id="123"/>
    <w:p>
      <w:pPr>
        <w:ind w:left="540"/>
        <w:spacing w:after="0"/>
        <w:rPr>
          <w:sz w:val="20"/>
          <w:szCs w:val="20"/>
          <w:color w:val="auto"/>
        </w:rPr>
      </w:pPr>
      <w:r>
        <w:rPr>
          <w:rFonts w:ascii="Arial" w:cs="Arial" w:eastAsia="Arial" w:hAnsi="Arial"/>
          <w:sz w:val="18"/>
          <w:szCs w:val="18"/>
          <w:b w:val="1"/>
          <w:bCs w:val="1"/>
          <w:u w:val="single" w:color="auto"/>
          <w:color w:val="auto"/>
        </w:rPr>
        <w:t>Bankruptcy Loan</w:t>
      </w:r>
      <w:r>
        <w:rPr>
          <w:rFonts w:ascii="Arial" w:cs="Arial" w:eastAsia="Arial" w:hAnsi="Arial"/>
          <w:sz w:val="18"/>
          <w:szCs w:val="18"/>
          <w:color w:val="auto"/>
        </w:rPr>
        <w:t>: A Mortgage Loan as to which any related mortgagor is in bankruptcy as of the Sale Date.</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Bill of Sale</w:t>
      </w:r>
      <w:r>
        <w:rPr>
          <w:rFonts w:ascii="Arial" w:cs="Arial" w:eastAsia="Arial" w:hAnsi="Arial"/>
          <w:sz w:val="18"/>
          <w:szCs w:val="18"/>
          <w:color w:val="auto"/>
        </w:rPr>
        <w:t>: A Bill of Sale for the sale of Servicing Rights on the Sale Date,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Any day other than a Saturday, Sunday, legal holiday or other day on which national banks are required by law or executive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be closed.</w:t>
      </w:r>
    </w:p>
    <w:p>
      <w:pPr>
        <w:spacing w:after="0" w:line="125"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u w:val="single" w:color="auto"/>
          <w:color w:val="auto"/>
        </w:rPr>
        <w:t>CARES Act Forbearance Loan</w:t>
      </w:r>
      <w:r>
        <w:rPr>
          <w:rFonts w:ascii="Arial" w:cs="Arial" w:eastAsia="Arial" w:hAnsi="Arial"/>
          <w:sz w:val="18"/>
          <w:szCs w:val="18"/>
          <w:color w:val="auto"/>
        </w:rPr>
        <w:t>: A Mortgage Loan for which the related forbearance relief has been requested or provided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Coronavirus Aid, Relief, and Economic Security (CARES) Act.</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Claim</w:t>
      </w:r>
      <w:r>
        <w:rPr>
          <w:rFonts w:ascii="Arial" w:cs="Arial" w:eastAsia="Arial" w:hAnsi="Arial"/>
          <w:sz w:val="18"/>
          <w:szCs w:val="18"/>
          <w:color w:val="auto"/>
        </w:rPr>
        <w:t>: Any claim, demand or litigation related to the Mortgage Loans, the Servicing Rights or this Agreement.</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The Internal Revenue Code of 1986, as the same may be amended from time to time (or any successor statute thereto).</w:t>
      </w:r>
    </w:p>
    <w:p>
      <w:pPr>
        <w:spacing w:after="0" w:line="190" w:lineRule="exact"/>
        <w:rPr>
          <w:sz w:val="20"/>
          <w:szCs w:val="20"/>
          <w:color w:val="auto"/>
        </w:rPr>
      </w:pPr>
    </w:p>
    <w:p>
      <w:pPr>
        <w:jc w:val="both"/>
        <w:ind w:firstLine="545"/>
        <w:spacing w:after="0" w:line="287" w:lineRule="auto"/>
        <w:rPr>
          <w:sz w:val="20"/>
          <w:szCs w:val="20"/>
          <w:color w:val="auto"/>
        </w:rPr>
      </w:pPr>
      <w:r>
        <w:rPr>
          <w:rFonts w:ascii="Arial" w:cs="Arial" w:eastAsia="Arial" w:hAnsi="Arial"/>
          <w:sz w:val="16"/>
          <w:szCs w:val="16"/>
          <w:b w:val="1"/>
          <w:bCs w:val="1"/>
          <w:u w:val="single" w:color="auto"/>
          <w:color w:val="auto"/>
        </w:rPr>
        <w:t>Collateral Files</w:t>
      </w:r>
      <w:r>
        <w:rPr>
          <w:rFonts w:ascii="Arial" w:cs="Arial" w:eastAsia="Arial" w:hAnsi="Arial"/>
          <w:sz w:val="16"/>
          <w:szCs w:val="16"/>
          <w:color w:val="auto"/>
        </w:rPr>
        <w:t>: For the purposes of this Agreement, the following documents, and any other documents required to be maintained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Custodian pursuant to Applicable Requirements: (a) original or a copy of the recorded Mortgage; (b) original or copies of recorded intervening Assignments of Mortgage, if any; (c) original or a copy of the recorded Assignment of Mortgage to MERS (unless MERS designated as original Mortgagee) or for Mortgage Loans that are not MERS Mortgage Loans, to Purchaser (or its designee); (d) original Mortgage Note; (e) original or a copy of the mortgagee title insurance policy; (f) original or copies of recorded (to the extent recordation is required by Applicable Requirements) modifications or consolidation and extension agreements, if any; and (g) original or a copy of the applicable power of attorney, if an attorney-in-fact signed the Mortgage Note on a Mortgagor’s behalf or a name affidavit, if the Mortgagor signed under an “also known as” name or used a signature that significantly differs from the typed name. To the extent that any Collateral File document submitted for recordation to the appropriate public recording office has not yet been returned to Seller by the applicable recording office, the Collateral File shall contain a photocopy of such document certified by Seller, its subservicer, the originator, title company, escrow agent or closing attorney, as applicable, to be a true and complete copy of such document that has been dispatched to the appropriate public recording office for recordation with the original or a copy of the recorded Collateral File document to be delivered upon recordation.</w:t>
      </w:r>
    </w:p>
    <w:p>
      <w:pPr>
        <w:spacing w:after="0" w:line="133"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u w:val="single" w:color="auto"/>
          <w:color w:val="auto"/>
        </w:rPr>
        <w:t>Compensatory Fees</w:t>
      </w:r>
      <w:r>
        <w:rPr>
          <w:rFonts w:ascii="Arial" w:cs="Arial" w:eastAsia="Arial" w:hAnsi="Arial"/>
          <w:sz w:val="18"/>
          <w:szCs w:val="18"/>
          <w:color w:val="auto"/>
        </w:rPr>
        <w:t>: Fees or penalties imposed by an Investor on the Servicer with respect to the Mortgage Loans as compensation for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that may be incurred as the result of the Servicer’s failure to comply with a specific policy or procedure or to emphasize the importance an Investor places on a particular aspect of the Servicer’s performance pursuant to the Servicing Agreement, including but not limited to an unjustifiable failure to complete a Foreclosure within an Investor’s required state foreclosure timelines.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7.17</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217" w:right="319" w:bottom="1440" w:gutter="0" w:footer="0" w:header="0"/>
        </w:sectPr>
      </w:pPr>
    </w:p>
    <w:bookmarkStart w:id="124" w:name="page125"/>
    <w:bookmarkEnd w:id="124"/>
    <w:p>
      <w:pPr>
        <w:jc w:val="both"/>
        <w:ind w:firstLine="545"/>
        <w:spacing w:after="0" w:line="261" w:lineRule="auto"/>
        <w:rPr>
          <w:sz w:val="20"/>
          <w:szCs w:val="20"/>
          <w:color w:val="auto"/>
        </w:rPr>
      </w:pPr>
      <w:r>
        <w:rPr>
          <w:rFonts w:ascii="Arial" w:cs="Arial" w:eastAsia="Arial" w:hAnsi="Arial"/>
          <w:sz w:val="18"/>
          <w:szCs w:val="18"/>
          <w:b w:val="1"/>
          <w:bCs w:val="1"/>
          <w:u w:val="single" w:color="auto"/>
          <w:color w:val="auto"/>
        </w:rPr>
        <w:t>Corporate Advances</w:t>
      </w:r>
      <w:r>
        <w:rPr>
          <w:rFonts w:ascii="Arial" w:cs="Arial" w:eastAsia="Arial" w:hAnsi="Arial"/>
          <w:sz w:val="18"/>
          <w:szCs w:val="18"/>
          <w:color w:val="auto"/>
        </w:rPr>
        <w:t>: With respect to the servicing of a Mortgage Loan, advances related to a delinquent Mortgage Loan made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related Servicing Agreement applicable to such Mortgage Loan and reimbursable in accordance with such Servicing Agreement, including but not limited to attorney fees and costs, property preservation, property inspection, and valuation fees, as well as other default related expenses (other than P &amp; I Advances and T &amp; I Advances).</w:t>
      </w:r>
    </w:p>
    <w:p>
      <w:pPr>
        <w:spacing w:after="0" w:line="143"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Custodial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 The accounts in which Custodial Funds are deposited and held by Servicer pending remittance or distribution thereof, all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Requirements.</w:t>
      </w:r>
    </w:p>
    <w:p>
      <w:pPr>
        <w:spacing w:after="0" w:line="125" w:lineRule="exact"/>
        <w:rPr>
          <w:sz w:val="20"/>
          <w:szCs w:val="20"/>
          <w:color w:val="auto"/>
        </w:rPr>
      </w:pPr>
    </w:p>
    <w:p>
      <w:pPr>
        <w:jc w:val="both"/>
        <w:ind w:firstLine="545"/>
        <w:spacing w:after="0" w:line="303" w:lineRule="auto"/>
        <w:rPr>
          <w:sz w:val="20"/>
          <w:szCs w:val="20"/>
          <w:color w:val="auto"/>
        </w:rPr>
      </w:pPr>
      <w:r>
        <w:rPr>
          <w:rFonts w:ascii="Arial" w:cs="Arial" w:eastAsia="Arial" w:hAnsi="Arial"/>
          <w:sz w:val="16"/>
          <w:szCs w:val="16"/>
          <w:b w:val="1"/>
          <w:bCs w:val="1"/>
          <w:u w:val="single" w:color="auto"/>
          <w:color w:val="auto"/>
        </w:rPr>
        <w:t>Custodial Funds</w:t>
      </w:r>
      <w:r>
        <w:rPr>
          <w:rFonts w:ascii="Arial" w:cs="Arial" w:eastAsia="Arial" w:hAnsi="Arial"/>
          <w:sz w:val="16"/>
          <w:szCs w:val="16"/>
          <w:color w:val="auto"/>
        </w:rPr>
        <w:t>: All funds held by or in the control of Seller with respect to the Mortgage Loans, including, but not limited to, all principal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funds and any other funds due an Investor, buydown funds, funds for the payment of taxes, assessments, insurance premiums, ground rents and similar charges, funds from hazard insurance loss drafts and other mortgage escrow and impound amounts (including interest accrued thereon for the benefit of the Mortgagors under the Mortgage Loans, if required by Applicable Requirements) maintained by Seller relating to the Mortgage Loans.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Cut-off Date</w:t>
      </w:r>
      <w:r>
        <w:rPr>
          <w:rFonts w:ascii="Arial" w:cs="Arial" w:eastAsia="Arial" w:hAnsi="Arial"/>
          <w:sz w:val="18"/>
          <w:szCs w:val="18"/>
          <w:color w:val="auto"/>
        </w:rPr>
        <w:t>: 11:59 p.m. on June 30, 2021, or such other date(s) mutually agreed upon by the Parties.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Discloser</w:t>
      </w:r>
      <w:r>
        <w:rPr>
          <w:rFonts w:ascii="Arial" w:cs="Arial" w:eastAsia="Arial" w:hAnsi="Arial"/>
          <w:sz w:val="18"/>
          <w:szCs w:val="18"/>
          <w:color w:val="auto"/>
        </w:rPr>
        <w:t>: A Party disclosing Confidential Information.</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Document Custodian</w:t>
      </w:r>
      <w:r>
        <w:rPr>
          <w:rFonts w:ascii="Arial" w:cs="Arial" w:eastAsia="Arial" w:hAnsi="Arial"/>
          <w:sz w:val="18"/>
          <w:szCs w:val="18"/>
          <w:color w:val="auto"/>
        </w:rPr>
        <w:t>: A document custodian approved by an Investor and designated by Purchaser.</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The date set forth in the introductory phrase of this Agreement.</w:t>
      </w:r>
    </w:p>
    <w:p>
      <w:pPr>
        <w:spacing w:after="0" w:line="190"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u w:val="single" w:color="auto"/>
          <w:color w:val="auto"/>
        </w:rPr>
        <w:t>Electronic Data File</w:t>
      </w:r>
      <w:r>
        <w:rPr>
          <w:rFonts w:ascii="Arial" w:cs="Arial" w:eastAsia="Arial" w:hAnsi="Arial"/>
          <w:sz w:val="18"/>
          <w:szCs w:val="18"/>
          <w:color w:val="auto"/>
        </w:rPr>
        <w:t>: The test tape(s), sale tape(s) and/or transfer tape(s), or otherwise delivered electronic files or media, containing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Loan and/or Servicing Rights information delivered or to be delivered to Purchaser, which shall be in a mutually agreeable format.</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Exception Determination Date</w:t>
      </w:r>
      <w:r>
        <w:rPr>
          <w:rFonts w:ascii="Arial" w:cs="Arial" w:eastAsia="Arial" w:hAnsi="Arial"/>
          <w:sz w:val="18"/>
          <w:szCs w:val="18"/>
          <w:color w:val="auto"/>
        </w:rPr>
        <w:t>: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3.3(c</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Exception Report</w:t>
      </w:r>
      <w:r>
        <w:rPr>
          <w:rFonts w:ascii="Arial" w:cs="Arial" w:eastAsia="Arial" w:hAnsi="Arial"/>
          <w:sz w:val="18"/>
          <w:szCs w:val="18"/>
          <w:color w:val="auto"/>
        </w:rPr>
        <w:t>: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3.3(c)</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Fannie Mae</w:t>
      </w:r>
      <w:r>
        <w:rPr>
          <w:rFonts w:ascii="Arial" w:cs="Arial" w:eastAsia="Arial" w:hAnsi="Arial"/>
          <w:sz w:val="18"/>
          <w:szCs w:val="18"/>
          <w:color w:val="auto"/>
        </w:rPr>
        <w:t>: The Federal National Mortgage Association, or any successor thereto.</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Fannie Mae Guide</w:t>
      </w:r>
      <w:r>
        <w:rPr>
          <w:rFonts w:ascii="Arial" w:cs="Arial" w:eastAsia="Arial" w:hAnsi="Arial"/>
          <w:sz w:val="18"/>
          <w:szCs w:val="18"/>
          <w:color w:val="auto"/>
        </w:rPr>
        <w:t>: The Fannie Mae Selling Guide and Servicing Guide, and all other applicable rules, regulations, procedures, manuals and</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of Fannie Mae, and any amendments or additions thereto.</w:t>
      </w:r>
    </w:p>
    <w:p>
      <w:pPr>
        <w:spacing w:after="0" w:line="125"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u w:val="single" w:color="auto"/>
          <w:color w:val="auto"/>
        </w:rPr>
        <w:t>Federal Funds Rate</w:t>
      </w:r>
      <w:r>
        <w:rPr>
          <w:rFonts w:ascii="Arial" w:cs="Arial" w:eastAsia="Arial" w:hAnsi="Arial"/>
          <w:sz w:val="18"/>
          <w:szCs w:val="18"/>
          <w:color w:val="auto"/>
          <w:highlight w:val="white"/>
        </w:rPr>
        <w:t>: The “high” interest rate for reserves traded among commercial banks for overnight use in amounts of one million dollars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million) or more, as reported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under “Federal Funds” rates as of the first Business Day of each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217" w:right="319" w:bottom="1440" w:gutter="0" w:footer="0" w:header="0"/>
        </w:sectPr>
      </w:pPr>
    </w:p>
    <w:bookmarkStart w:id="125" w:name="page126"/>
    <w:bookmarkEnd w:id="125"/>
    <w:p>
      <w:pPr>
        <w:ind w:left="540"/>
        <w:spacing w:after="0"/>
        <w:rPr>
          <w:sz w:val="20"/>
          <w:szCs w:val="20"/>
          <w:color w:val="auto"/>
        </w:rPr>
      </w:pPr>
      <w:r>
        <w:rPr>
          <w:rFonts w:ascii="Arial" w:cs="Arial" w:eastAsia="Arial" w:hAnsi="Arial"/>
          <w:sz w:val="18"/>
          <w:szCs w:val="18"/>
          <w:b w:val="1"/>
          <w:bCs w:val="1"/>
          <w:u w:val="single" w:color="auto"/>
          <w:color w:val="auto"/>
        </w:rPr>
        <w:t>FHA</w:t>
      </w:r>
      <w:r>
        <w:rPr>
          <w:rFonts w:ascii="Arial" w:cs="Arial" w:eastAsia="Arial" w:hAnsi="Arial"/>
          <w:sz w:val="18"/>
          <w:szCs w:val="18"/>
          <w:color w:val="auto"/>
        </w:rPr>
        <w:t>: The Federal Housing Administration of HUD or any successor thereto.</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Float Benefit</w:t>
      </w:r>
      <w:r>
        <w:rPr>
          <w:rFonts w:ascii="Arial" w:cs="Arial" w:eastAsia="Arial" w:hAnsi="Arial"/>
          <w:sz w:val="18"/>
          <w:szCs w:val="18"/>
          <w:color w:val="auto"/>
        </w:rPr>
        <w:t>: Shall mean all benefit, not due to an Agency or the Mortgagors under the related Servicing Agreement, related to the Custodial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as applicable, with respect to the Mortgage Loans</w:t>
      </w:r>
    </w:p>
    <w:p>
      <w:pPr>
        <w:spacing w:after="0" w:line="125"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u w:val="single" w:color="auto"/>
          <w:color w:val="auto"/>
        </w:rPr>
        <w:t>Foreclosure</w:t>
      </w:r>
      <w:r>
        <w:rPr>
          <w:rFonts w:ascii="Arial" w:cs="Arial" w:eastAsia="Arial" w:hAnsi="Arial"/>
          <w:sz w:val="18"/>
          <w:szCs w:val="18"/>
          <w:color w:val="auto"/>
        </w:rPr>
        <w:t>: The procedure pursuant to which a lienholder acquires title to a Mortgaged Property in a foreclosure sale, or a sale under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sale, or other acquisition of title to the Mortgaged Property based upon a default by the Mortgagor under the Mortgage Loan Documents, under the law of the state wherein the Mortgaged Property is located.</w:t>
      </w:r>
    </w:p>
    <w:p>
      <w:pPr>
        <w:spacing w:after="0" w:line="14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Foreclosure Loan</w:t>
      </w:r>
      <w:r>
        <w:rPr>
          <w:rFonts w:ascii="Arial" w:cs="Arial" w:eastAsia="Arial" w:hAnsi="Arial"/>
          <w:sz w:val="18"/>
          <w:szCs w:val="18"/>
          <w:color w:val="auto"/>
        </w:rPr>
        <w:t>: A Mortgage Loan that, as of the Sale Date, the first action necessary to be taken to commence proceedings in Foreclosure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taken.</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Freddie Mac</w:t>
      </w:r>
      <w:r>
        <w:rPr>
          <w:rFonts w:ascii="Arial" w:cs="Arial" w:eastAsia="Arial" w:hAnsi="Arial"/>
          <w:sz w:val="18"/>
          <w:szCs w:val="18"/>
          <w:color w:val="auto"/>
        </w:rPr>
        <w:t>: The Federal Home Loan Mortgage Corporation, or any successor thereto.</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Freddie Mac Guide</w:t>
      </w:r>
      <w:r>
        <w:rPr>
          <w:rFonts w:ascii="Arial" w:cs="Arial" w:eastAsia="Arial" w:hAnsi="Arial"/>
          <w:sz w:val="18"/>
          <w:szCs w:val="18"/>
          <w:color w:val="auto"/>
        </w:rPr>
        <w:t>: The Freddie Mac Single Family Servicing Guide, and all other applicable rules, regulations, procedures, manuals and</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of Freddie Mac and any amendments or additions thereto.</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Guides</w:t>
      </w:r>
      <w:r>
        <w:rPr>
          <w:rFonts w:ascii="Arial" w:cs="Arial" w:eastAsia="Arial" w:hAnsi="Arial"/>
          <w:sz w:val="18"/>
          <w:szCs w:val="18"/>
          <w:color w:val="auto"/>
          <w:highlight w:val="white"/>
        </w:rPr>
        <w:t>: The Fannie Mae Guide and the Freddie Mac Guide, as applicable.</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High Pool</w:t>
      </w:r>
      <w:r>
        <w:rPr>
          <w:rFonts w:ascii="Arial" w:cs="Arial" w:eastAsia="Arial" w:hAnsi="Arial"/>
          <w:sz w:val="18"/>
          <w:szCs w:val="18"/>
          <w:color w:val="auto"/>
        </w:rPr>
        <w:t>: The Mortgage Loans included in the “High Pool” as identified in the funding schedule set forth in the electronic file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“Project_Ranger_High_Final.xlsm” to be made available electronically simultaneously with the distribution of the Bill of Sale.</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Holdback Amount</w:t>
      </w:r>
      <w:r>
        <w:rPr>
          <w:rFonts w:ascii="Arial" w:cs="Arial" w:eastAsia="Arial" w:hAnsi="Arial"/>
          <w:sz w:val="18"/>
          <w:szCs w:val="18"/>
          <w:color w:val="auto"/>
        </w:rPr>
        <w:t>: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3.3(c)</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Holdback Exceptions</w:t>
      </w:r>
      <w:r>
        <w:rPr>
          <w:rFonts w:ascii="Arial" w:cs="Arial" w:eastAsia="Arial" w:hAnsi="Arial"/>
          <w:sz w:val="18"/>
          <w:szCs w:val="18"/>
          <w:color w:val="auto"/>
        </w:rPr>
        <w:t>: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3.3(c</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Holdback Payment Date</w:t>
      </w:r>
      <w:r>
        <w:rPr>
          <w:rFonts w:ascii="Arial" w:cs="Arial" w:eastAsia="Arial" w:hAnsi="Arial"/>
          <w:sz w:val="18"/>
          <w:szCs w:val="18"/>
          <w:color w:val="auto"/>
        </w:rPr>
        <w:t>: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3.3(c)</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HUD</w:t>
      </w:r>
      <w:r>
        <w:rPr>
          <w:rFonts w:ascii="Arial" w:cs="Arial" w:eastAsia="Arial" w:hAnsi="Arial"/>
          <w:sz w:val="18"/>
          <w:szCs w:val="18"/>
          <w:color w:val="auto"/>
        </w:rPr>
        <w:t>: The United States Department of Housing and Urban Development or any successor thereto.</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10.4(a)</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10.4(a)</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90"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u w:val="single" w:color="auto"/>
          <w:color w:val="auto"/>
        </w:rPr>
        <w:t>Insurer</w:t>
      </w:r>
      <w:r>
        <w:rPr>
          <w:rFonts w:ascii="Arial" w:cs="Arial" w:eastAsia="Arial" w:hAnsi="Arial"/>
          <w:sz w:val="18"/>
          <w:szCs w:val="18"/>
          <w:color w:val="auto"/>
        </w:rPr>
        <w:t>: Any issuer of a PMI Policy and any insurer or guarantor under any hazard insurance policy, any federal flood insurance policy, any title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policy, any earthquake insurance policy, or any other insurance policy applicable to a Mortgage Loan, Mortgaged Property or Pool, and any successor thereto.</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Interim Servicing Requirements</w:t>
      </w:r>
      <w:r>
        <w:rPr>
          <w:rFonts w:ascii="Arial" w:cs="Arial" w:eastAsia="Arial" w:hAnsi="Arial"/>
          <w:sz w:val="18"/>
          <w:szCs w:val="18"/>
          <w:color w:val="auto"/>
        </w:rPr>
        <w:t>: Those requirements, obligations and terms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1217" w:right="319" w:bottom="1440" w:gutter="0" w:footer="0" w:header="0"/>
        </w:sectPr>
      </w:pPr>
    </w:p>
    <w:bookmarkStart w:id="126" w:name="page127"/>
    <w:bookmarkEnd w:id="126"/>
    <w:p>
      <w:pPr>
        <w:ind w:left="549"/>
        <w:spacing w:after="0"/>
        <w:rPr>
          <w:sz w:val="20"/>
          <w:szCs w:val="20"/>
          <w:color w:val="auto"/>
        </w:rPr>
      </w:pPr>
      <w:r>
        <w:rPr>
          <w:rFonts w:ascii="Arial" w:cs="Arial" w:eastAsia="Arial" w:hAnsi="Arial"/>
          <w:sz w:val="18"/>
          <w:szCs w:val="18"/>
          <w:b w:val="1"/>
          <w:bCs w:val="1"/>
          <w:u w:val="single" w:color="auto"/>
          <w:color w:val="auto"/>
        </w:rPr>
        <w:t>Investor or Investors</w:t>
      </w:r>
      <w:r>
        <w:rPr>
          <w:rFonts w:ascii="Arial" w:cs="Arial" w:eastAsia="Arial" w:hAnsi="Arial"/>
          <w:sz w:val="18"/>
          <w:szCs w:val="18"/>
          <w:color w:val="auto"/>
        </w:rPr>
        <w:t>: With respect to any Mortgage Loan, Fannie Mae or Freddie Mac, as applicable.</w:t>
      </w:r>
    </w:p>
    <w:p>
      <w:pPr>
        <w:spacing w:after="0" w:line="190" w:lineRule="exact"/>
        <w:rPr>
          <w:sz w:val="20"/>
          <w:szCs w:val="20"/>
          <w:color w:val="auto"/>
        </w:rPr>
      </w:pPr>
    </w:p>
    <w:p>
      <w:pPr>
        <w:ind w:left="9" w:right="20" w:firstLine="545"/>
        <w:spacing w:after="0" w:line="283" w:lineRule="auto"/>
        <w:rPr>
          <w:sz w:val="20"/>
          <w:szCs w:val="20"/>
          <w:color w:val="auto"/>
        </w:rPr>
      </w:pPr>
      <w:r>
        <w:rPr>
          <w:rFonts w:ascii="Arial" w:cs="Arial" w:eastAsia="Arial" w:hAnsi="Arial"/>
          <w:sz w:val="18"/>
          <w:szCs w:val="18"/>
          <w:b w:val="1"/>
          <w:bCs w:val="1"/>
          <w:u w:val="single" w:color="auto"/>
          <w:color w:val="auto"/>
        </w:rPr>
        <w:t>Investor Consents</w:t>
      </w:r>
      <w:r>
        <w:rPr>
          <w:rFonts w:ascii="Arial" w:cs="Arial" w:eastAsia="Arial" w:hAnsi="Arial"/>
          <w:sz w:val="18"/>
          <w:szCs w:val="18"/>
          <w:color w:val="auto"/>
        </w:rPr>
        <w:t>: The consent of each Investor and the Federal Housing Finance Agency to the transfer of the applicable Servicing Rights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Seller to Purchaser, without adverse modification to the rights or obligations of the Servicer with respect thereto.</w:t>
      </w:r>
    </w:p>
    <w:p>
      <w:pPr>
        <w:spacing w:after="0" w:line="125" w:lineRule="exact"/>
        <w:rPr>
          <w:sz w:val="20"/>
          <w:szCs w:val="20"/>
          <w:color w:val="auto"/>
        </w:rPr>
      </w:pPr>
    </w:p>
    <w:p>
      <w:pPr>
        <w:ind w:left="9" w:firstLine="545"/>
        <w:spacing w:after="0" w:line="283" w:lineRule="auto"/>
        <w:rPr>
          <w:sz w:val="20"/>
          <w:szCs w:val="20"/>
          <w:color w:val="auto"/>
        </w:rPr>
      </w:pPr>
      <w:r>
        <w:rPr>
          <w:rFonts w:ascii="Arial" w:cs="Arial" w:eastAsia="Arial" w:hAnsi="Arial"/>
          <w:sz w:val="18"/>
          <w:szCs w:val="18"/>
          <w:b w:val="1"/>
          <w:bCs w:val="1"/>
          <w:u w:val="single" w:color="auto"/>
          <w:color w:val="auto"/>
        </w:rPr>
        <w:t>Litigation Loan</w:t>
      </w:r>
      <w:r>
        <w:rPr>
          <w:rFonts w:ascii="Arial" w:cs="Arial" w:eastAsia="Arial" w:hAnsi="Arial"/>
          <w:sz w:val="18"/>
          <w:szCs w:val="18"/>
          <w:color w:val="auto"/>
        </w:rPr>
        <w:t>: A Mortgage Loan that, as of the Sale Date, is involved in any action, suit or proceeding before a court, government agency or</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arbitrator.</w:t>
      </w:r>
    </w:p>
    <w:p>
      <w:pPr>
        <w:spacing w:after="0" w:line="125" w:lineRule="exact"/>
        <w:rPr>
          <w:sz w:val="20"/>
          <w:szCs w:val="20"/>
          <w:color w:val="auto"/>
        </w:rPr>
      </w:pPr>
    </w:p>
    <w:p>
      <w:pPr>
        <w:ind w:left="549"/>
        <w:spacing w:after="0"/>
        <w:rPr>
          <w:sz w:val="20"/>
          <w:szCs w:val="20"/>
          <w:color w:val="auto"/>
        </w:rPr>
      </w:pPr>
      <w:r>
        <w:rPr>
          <w:rFonts w:ascii="Arial" w:cs="Arial" w:eastAsia="Arial" w:hAnsi="Arial"/>
          <w:sz w:val="16"/>
          <w:szCs w:val="16"/>
          <w:b w:val="1"/>
          <w:bCs w:val="1"/>
          <w:u w:val="single" w:color="auto"/>
          <w:color w:val="auto"/>
        </w:rPr>
        <w:t>Loan-to-Value Ratio</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LTV</w:t>
      </w:r>
      <w:r>
        <w:rPr>
          <w:rFonts w:ascii="Arial" w:cs="Arial" w:eastAsia="Arial" w:hAnsi="Arial"/>
          <w:sz w:val="16"/>
          <w:szCs w:val="16"/>
          <w:color w:val="auto"/>
        </w:rPr>
        <w:t>: With respect to any Mortgage Loan, the ratio of the original outstanding principal amount of the Mortgage Loan to</w:t>
      </w:r>
    </w:p>
    <w:p>
      <w:pPr>
        <w:spacing w:after="0" w:line="52" w:lineRule="exact"/>
        <w:rPr>
          <w:sz w:val="20"/>
          <w:szCs w:val="20"/>
          <w:color w:val="auto"/>
        </w:rPr>
      </w:pPr>
    </w:p>
    <w:p>
      <w:pPr>
        <w:ind w:left="9" w:hanging="9"/>
        <w:spacing w:after="0" w:line="322" w:lineRule="auto"/>
        <w:tabs>
          <w:tab w:leader="none" w:pos="23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Appraised Value of the related Mortgaged Property at origination with respect to a Refinanced Mortgage Loan, and (ii) the lesser of the Appraised Value of the related Mortgaged Property at origination or the purchase price of the related Mortgaged Property with respect to all other Mortgage Loans.</w:t>
      </w:r>
    </w:p>
    <w:p>
      <w:pPr>
        <w:spacing w:after="0" w:line="99" w:lineRule="exact"/>
        <w:rPr>
          <w:sz w:val="20"/>
          <w:szCs w:val="20"/>
          <w:color w:val="auto"/>
        </w:rPr>
      </w:pPr>
    </w:p>
    <w:p>
      <w:pPr>
        <w:jc w:val="both"/>
        <w:ind w:left="9" w:firstLine="545"/>
        <w:spacing w:after="0" w:line="283" w:lineRule="auto"/>
        <w:rPr>
          <w:sz w:val="20"/>
          <w:szCs w:val="20"/>
          <w:color w:val="auto"/>
        </w:rPr>
      </w:pP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Any and all costs or expenses, losses, damages, deficiencies, claims, including costs of investigation, attorneys’ fees and disbursements,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Agency curtailments or other shortfalls in amounts reimbursed by the applicable Agency.</w:t>
      </w:r>
    </w:p>
    <w:p>
      <w:pPr>
        <w:spacing w:after="0" w:line="125" w:lineRule="exact"/>
        <w:rPr>
          <w:sz w:val="20"/>
          <w:szCs w:val="20"/>
          <w:color w:val="auto"/>
        </w:rPr>
      </w:pPr>
    </w:p>
    <w:p>
      <w:pPr>
        <w:jc w:val="both"/>
        <w:ind w:left="9" w:firstLine="545"/>
        <w:spacing w:after="0" w:line="283" w:lineRule="auto"/>
        <w:rPr>
          <w:sz w:val="20"/>
          <w:szCs w:val="20"/>
          <w:color w:val="auto"/>
        </w:rPr>
      </w:pPr>
      <w:r>
        <w:rPr>
          <w:rFonts w:ascii="Arial" w:cs="Arial" w:eastAsia="Arial" w:hAnsi="Arial"/>
          <w:sz w:val="18"/>
          <w:szCs w:val="18"/>
          <w:b w:val="1"/>
          <w:bCs w:val="1"/>
          <w:u w:val="single" w:color="auto"/>
          <w:color w:val="auto"/>
        </w:rPr>
        <w:t>Low Pool</w:t>
      </w:r>
      <w:r>
        <w:rPr>
          <w:rFonts w:ascii="Arial" w:cs="Arial" w:eastAsia="Arial" w:hAnsi="Arial"/>
          <w:sz w:val="18"/>
          <w:szCs w:val="18"/>
          <w:color w:val="auto"/>
        </w:rPr>
        <w:t>: The Mortgage Loans included in the “Low Pool” as identified in the funding schedule set forth in the electronic file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“Project_Ranger_Low_Final.xlsm” to be made available electronically simultaneously with the distribution of the Bill of Sale.</w:t>
      </w:r>
    </w:p>
    <w:p>
      <w:pPr>
        <w:spacing w:after="0" w:line="125" w:lineRule="exact"/>
        <w:rPr>
          <w:sz w:val="20"/>
          <w:szCs w:val="20"/>
          <w:color w:val="auto"/>
        </w:rPr>
      </w:pPr>
    </w:p>
    <w:p>
      <w:pPr>
        <w:ind w:left="549"/>
        <w:spacing w:after="0"/>
        <w:rPr>
          <w:sz w:val="20"/>
          <w:szCs w:val="20"/>
          <w:color w:val="auto"/>
        </w:rPr>
      </w:pPr>
      <w:r>
        <w:rPr>
          <w:rFonts w:ascii="Arial" w:cs="Arial" w:eastAsia="Arial" w:hAnsi="Arial"/>
          <w:sz w:val="18"/>
          <w:szCs w:val="18"/>
          <w:b w:val="1"/>
          <w:bCs w:val="1"/>
          <w:u w:val="single" w:color="auto"/>
          <w:color w:val="auto"/>
        </w:rPr>
        <w:t>MERS</w:t>
      </w:r>
      <w:r>
        <w:rPr>
          <w:rFonts w:ascii="Arial" w:cs="Arial" w:eastAsia="Arial" w:hAnsi="Arial"/>
          <w:sz w:val="18"/>
          <w:szCs w:val="18"/>
          <w:color w:val="auto"/>
        </w:rPr>
        <w:t>: The Mortgage Electronic Registration System.</w:t>
      </w:r>
    </w:p>
    <w:p>
      <w:pPr>
        <w:spacing w:after="0" w:line="190" w:lineRule="exact"/>
        <w:rPr>
          <w:sz w:val="20"/>
          <w:szCs w:val="20"/>
          <w:color w:val="auto"/>
        </w:rPr>
      </w:pPr>
    </w:p>
    <w:p>
      <w:pPr>
        <w:ind w:left="549"/>
        <w:spacing w:after="0"/>
        <w:rPr>
          <w:sz w:val="20"/>
          <w:szCs w:val="20"/>
          <w:color w:val="auto"/>
        </w:rPr>
      </w:pPr>
      <w:r>
        <w:rPr>
          <w:rFonts w:ascii="Arial" w:cs="Arial" w:eastAsia="Arial" w:hAnsi="Arial"/>
          <w:sz w:val="17"/>
          <w:szCs w:val="17"/>
          <w:b w:val="1"/>
          <w:bCs w:val="1"/>
          <w:u w:val="single" w:color="auto"/>
          <w:color w:val="auto"/>
        </w:rPr>
        <w:t>MERS Mortgage Loan</w:t>
      </w:r>
      <w:r>
        <w:rPr>
          <w:rFonts w:ascii="Arial" w:cs="Arial" w:eastAsia="Arial" w:hAnsi="Arial"/>
          <w:sz w:val="17"/>
          <w:szCs w:val="17"/>
          <w:color w:val="auto"/>
        </w:rPr>
        <w:t>: A Mortgage Loan registered with MERS that either designates MERS as original mortgagee or is assigned to MERS.</w:t>
      </w:r>
    </w:p>
    <w:p>
      <w:pPr>
        <w:spacing w:after="0" w:line="202" w:lineRule="exact"/>
        <w:rPr>
          <w:sz w:val="20"/>
          <w:szCs w:val="20"/>
          <w:color w:val="auto"/>
        </w:rPr>
      </w:pPr>
    </w:p>
    <w:p>
      <w:pPr>
        <w:ind w:left="549"/>
        <w:spacing w:after="0"/>
        <w:rPr>
          <w:sz w:val="20"/>
          <w:szCs w:val="20"/>
          <w:color w:val="auto"/>
        </w:rPr>
      </w:pPr>
      <w:r>
        <w:rPr>
          <w:rFonts w:ascii="Arial" w:cs="Arial" w:eastAsia="Arial" w:hAnsi="Arial"/>
          <w:sz w:val="16"/>
          <w:szCs w:val="16"/>
          <w:b w:val="1"/>
          <w:bCs w:val="1"/>
          <w:u w:val="single" w:color="auto"/>
          <w:color w:val="auto"/>
        </w:rPr>
        <w:t>Monthly Payment</w:t>
      </w:r>
      <w:r>
        <w:rPr>
          <w:rFonts w:ascii="Arial" w:cs="Arial" w:eastAsia="Arial" w:hAnsi="Arial"/>
          <w:sz w:val="16"/>
          <w:szCs w:val="16"/>
          <w:color w:val="auto"/>
        </w:rPr>
        <w:t>: The scheduled monthly payment on a Mortgage Loan due on any due date pursuant to the terms of the related Mortgage Note.</w:t>
      </w:r>
    </w:p>
    <w:p>
      <w:pPr>
        <w:spacing w:after="0" w:line="213" w:lineRule="exact"/>
        <w:rPr>
          <w:sz w:val="20"/>
          <w:szCs w:val="20"/>
          <w:color w:val="auto"/>
        </w:rPr>
      </w:pPr>
    </w:p>
    <w:p>
      <w:pPr>
        <w:jc w:val="both"/>
        <w:ind w:left="9" w:firstLine="545"/>
        <w:spacing w:after="0" w:line="261" w:lineRule="auto"/>
        <w:rPr>
          <w:sz w:val="20"/>
          <w:szCs w:val="20"/>
          <w:color w:val="auto"/>
        </w:rPr>
      </w:pPr>
      <w:r>
        <w:rPr>
          <w:rFonts w:ascii="Arial" w:cs="Arial" w:eastAsia="Arial" w:hAnsi="Arial"/>
          <w:sz w:val="18"/>
          <w:szCs w:val="18"/>
          <w:b w:val="1"/>
          <w:bCs w:val="1"/>
          <w:u w:val="single" w:color="auto"/>
          <w:color w:val="auto"/>
        </w:rPr>
        <w:t>Mortgage</w:t>
      </w:r>
      <w:r>
        <w:rPr>
          <w:rFonts w:ascii="Arial" w:cs="Arial" w:eastAsia="Arial" w:hAnsi="Arial"/>
          <w:sz w:val="18"/>
          <w:szCs w:val="18"/>
          <w:color w:val="auto"/>
        </w:rPr>
        <w:t>: The mortgage, deed of trust or other instrument securing a Mortgage Note which creates a first lien on an unsubordinated estate in fee</w:t>
      </w:r>
      <w:r>
        <w:rPr>
          <w:rFonts w:ascii="Arial" w:cs="Arial" w:eastAsia="Arial" w:hAnsi="Arial"/>
          <w:sz w:val="18"/>
          <w:szCs w:val="18"/>
          <w:b w:val="1"/>
          <w:bCs w:val="1"/>
          <w:color w:val="auto"/>
        </w:rPr>
        <w:t xml:space="preserve"> </w:t>
      </w:r>
      <w:r>
        <w:rPr>
          <w:rFonts w:ascii="Arial" w:cs="Arial" w:eastAsia="Arial" w:hAnsi="Arial"/>
          <w:sz w:val="18"/>
          <w:szCs w:val="18"/>
          <w:color w:val="auto"/>
        </w:rPr>
        <w:t>simple in real property securing the Mortgage Note, except that with respect to real property located in jurisdictions in which the use of leasehold estates for residential properties is a widely-accepted practice, the mortgage, deed of trust or other instrument securing the Mortgage Note may secure and create a first lien upon a leasehold estate of the Mortgagor.</w:t>
      </w:r>
    </w:p>
    <w:p>
      <w:pPr>
        <w:spacing w:after="0" w:line="143" w:lineRule="exact"/>
        <w:rPr>
          <w:sz w:val="20"/>
          <w:szCs w:val="20"/>
          <w:color w:val="auto"/>
        </w:rPr>
      </w:pPr>
    </w:p>
    <w:p>
      <w:pPr>
        <w:jc w:val="both"/>
        <w:ind w:left="9" w:right="20" w:firstLine="545"/>
        <w:spacing w:after="0" w:line="283" w:lineRule="auto"/>
        <w:rPr>
          <w:sz w:val="20"/>
          <w:szCs w:val="20"/>
          <w:color w:val="auto"/>
        </w:rPr>
      </w:pPr>
      <w:r>
        <w:rPr>
          <w:rFonts w:ascii="Arial" w:cs="Arial" w:eastAsia="Arial" w:hAnsi="Arial"/>
          <w:sz w:val="18"/>
          <w:szCs w:val="18"/>
          <w:b w:val="1"/>
          <w:bCs w:val="1"/>
          <w:u w:val="single" w:color="auto"/>
          <w:color w:val="auto"/>
        </w:rPr>
        <w:t>Mortgage Escrow Payments</w:t>
      </w:r>
      <w:r>
        <w:rPr>
          <w:rFonts w:ascii="Arial" w:cs="Arial" w:eastAsia="Arial" w:hAnsi="Arial"/>
          <w:sz w:val="18"/>
          <w:szCs w:val="18"/>
          <w:color w:val="auto"/>
        </w:rPr>
        <w:t>: The portion, if any, of the Monthly Payment in connection with a Mortgage Loan that relates to funds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taxes, assessments, insurance premiums, ground rents and similar charges, and other mortgage escrow amounts.</w:t>
      </w:r>
    </w:p>
    <w:p>
      <w:pPr>
        <w:spacing w:after="0" w:line="125" w:lineRule="exact"/>
        <w:rPr>
          <w:sz w:val="20"/>
          <w:szCs w:val="20"/>
          <w:color w:val="auto"/>
        </w:rPr>
      </w:pPr>
    </w:p>
    <w:p>
      <w:pPr>
        <w:ind w:left="549"/>
        <w:spacing w:after="0"/>
        <w:rPr>
          <w:sz w:val="20"/>
          <w:szCs w:val="20"/>
          <w:color w:val="auto"/>
        </w:rPr>
      </w:pPr>
      <w:r>
        <w:rPr>
          <w:rFonts w:ascii="Arial" w:cs="Arial" w:eastAsia="Arial" w:hAnsi="Arial"/>
          <w:sz w:val="17"/>
          <w:szCs w:val="17"/>
          <w:b w:val="1"/>
          <w:bCs w:val="1"/>
          <w:u w:val="single" w:color="auto"/>
          <w:color w:val="auto"/>
        </w:rPr>
        <w:t>Mortgage File</w:t>
      </w:r>
      <w:r>
        <w:rPr>
          <w:rFonts w:ascii="Arial" w:cs="Arial" w:eastAsia="Arial" w:hAnsi="Arial"/>
          <w:sz w:val="17"/>
          <w:szCs w:val="17"/>
          <w:color w:val="auto"/>
        </w:rPr>
        <w:t>: With respect to each Mortgage Loan, the Collateral File and the Servicing File, including the Mortgage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9"/>
          </w:cols>
          <w:pgMar w:left="311" w:top="1217" w:right="319" w:bottom="1440" w:gutter="0" w:footer="0" w:header="0"/>
        </w:sectPr>
      </w:pPr>
    </w:p>
    <w:bookmarkStart w:id="127" w:name="page128"/>
    <w:bookmarkEnd w:id="127"/>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Mortgage Interest Rate</w:t>
      </w:r>
      <w:r>
        <w:rPr>
          <w:rFonts w:ascii="Arial" w:cs="Arial" w:eastAsia="Arial" w:hAnsi="Arial"/>
          <w:sz w:val="18"/>
          <w:szCs w:val="18"/>
          <w:color w:val="auto"/>
        </w:rPr>
        <w:t>: The annual rate at which interest accrues on any Mortgage Loan in accordance with the provisions of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Note.</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Mortgage Loan Documents</w:t>
      </w:r>
      <w:r>
        <w:rPr>
          <w:rFonts w:ascii="Arial" w:cs="Arial" w:eastAsia="Arial" w:hAnsi="Arial"/>
          <w:sz w:val="18"/>
          <w:szCs w:val="18"/>
          <w:color w:val="auto"/>
        </w:rPr>
        <w:t>: The Mortgages and Mortgage Notes.</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Mortgage Loans</w:t>
      </w:r>
      <w:r>
        <w:rPr>
          <w:rFonts w:ascii="Arial" w:cs="Arial" w:eastAsia="Arial" w:hAnsi="Arial"/>
          <w:sz w:val="18"/>
          <w:szCs w:val="18"/>
          <w:color w:val="auto"/>
        </w:rPr>
        <w:t>: The eligible, one-to-four family residential mortgage loans sold to or securitized by an Investor as to which Seller is the owner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Servicing Rights, as listed on the Mortgage Loan Schedule.</w:t>
      </w:r>
    </w:p>
    <w:p>
      <w:pPr>
        <w:spacing w:after="0" w:line="125" w:lineRule="exact"/>
        <w:rPr>
          <w:sz w:val="20"/>
          <w:szCs w:val="20"/>
          <w:color w:val="auto"/>
        </w:rPr>
      </w:pPr>
    </w:p>
    <w:p>
      <w:pPr>
        <w:jc w:val="both"/>
        <w:ind w:firstLine="545"/>
        <w:spacing w:after="0" w:line="256" w:lineRule="auto"/>
        <w:rPr>
          <w:sz w:val="20"/>
          <w:szCs w:val="20"/>
          <w:color w:val="auto"/>
        </w:rPr>
      </w:pPr>
      <w:r>
        <w:rPr>
          <w:rFonts w:ascii="Arial" w:cs="Arial" w:eastAsia="Arial" w:hAnsi="Arial"/>
          <w:sz w:val="18"/>
          <w:szCs w:val="18"/>
          <w:b w:val="1"/>
          <w:bCs w:val="1"/>
          <w:u w:val="single" w:color="auto"/>
          <w:color w:val="auto"/>
        </w:rPr>
        <w:t>Mortgage Loan Schedule</w:t>
      </w:r>
      <w:r>
        <w:rPr>
          <w:rFonts w:ascii="Arial" w:cs="Arial" w:eastAsia="Arial" w:hAnsi="Arial"/>
          <w:sz w:val="18"/>
          <w:szCs w:val="18"/>
          <w:color w:val="auto"/>
        </w:rPr>
        <w:t>: As applicable, the preliminary schedule delivered by Seller to Purchaser contemporaneously with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in the electronic file entitled “Tape_PHH_0430.xlsx” to be provided by email simultaneously with the distribution of an executed copy of this Agreement, which will identify all Mortgage Loans for which Servicing Rights are intended for sale hereunder as of the Sale Date, or the final schedule of Mortgage Loans referenced in the Bill of Sale, or otherwise agreed to by the Parties, such schedule setting forth the information with respect to each Mortgage Loan and the related Servicing Rights, including but not limited to the information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as the same may be corrected or updated by the Parties after the Sale Date by their written agreement.</w:t>
      </w:r>
    </w:p>
    <w:p>
      <w:pPr>
        <w:spacing w:after="0" w:line="150"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u w:val="single" w:color="auto"/>
          <w:color w:val="auto"/>
        </w:rPr>
        <w:t>Mortgage Note</w:t>
      </w:r>
      <w:r>
        <w:rPr>
          <w:rFonts w:ascii="Arial" w:cs="Arial" w:eastAsia="Arial" w:hAnsi="Arial"/>
          <w:sz w:val="18"/>
          <w:szCs w:val="18"/>
          <w:color w:val="auto"/>
        </w:rPr>
        <w:t>: The promissory note executed by a Mortgagor and secured by a Mortgage evidencing the indebtedness of the Mortgagor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Loan.</w:t>
      </w:r>
    </w:p>
    <w:p>
      <w:pPr>
        <w:spacing w:after="0" w:line="125"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u w:val="single" w:color="auto"/>
          <w:color w:val="auto"/>
        </w:rPr>
        <w:t>Mortgaged Property</w:t>
      </w:r>
      <w:r>
        <w:rPr>
          <w:rFonts w:ascii="Arial" w:cs="Arial" w:eastAsia="Arial" w:hAnsi="Arial"/>
          <w:sz w:val="18"/>
          <w:szCs w:val="18"/>
          <w:color w:val="auto"/>
        </w:rPr>
        <w:t>: The one- to four-family residential real property that is encumbered by a Mortgage, including all buildings and fixtures</w:t>
      </w:r>
      <w:r>
        <w:rPr>
          <w:rFonts w:ascii="Arial" w:cs="Arial" w:eastAsia="Arial" w:hAnsi="Arial"/>
          <w:sz w:val="18"/>
          <w:szCs w:val="18"/>
          <w:b w:val="1"/>
          <w:bCs w:val="1"/>
          <w:color w:val="auto"/>
        </w:rPr>
        <w:t xml:space="preserve"> </w:t>
      </w:r>
      <w:r>
        <w:rPr>
          <w:rFonts w:ascii="Arial" w:cs="Arial" w:eastAsia="Arial" w:hAnsi="Arial"/>
          <w:sz w:val="18"/>
          <w:szCs w:val="18"/>
          <w:color w:val="auto"/>
        </w:rPr>
        <w:t>thereon.</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Mortgagor</w:t>
      </w:r>
      <w:r>
        <w:rPr>
          <w:rFonts w:ascii="Arial" w:cs="Arial" w:eastAsia="Arial" w:hAnsi="Arial"/>
          <w:sz w:val="18"/>
          <w:szCs w:val="18"/>
          <w:color w:val="auto"/>
        </w:rPr>
        <w:t>: Any obligor under a Mortgage Note and Mortgage.</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Offering Information</w:t>
      </w:r>
      <w:r>
        <w:rPr>
          <w:rFonts w:ascii="Arial" w:cs="Arial" w:eastAsia="Arial" w:hAnsi="Arial"/>
          <w:sz w:val="18"/>
          <w:szCs w:val="18"/>
          <w:color w:val="auto"/>
        </w:rPr>
        <w:t>: The written information and loan level data, tapes, and/or written statements provided to Purchaser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Seller in the preparation of Purchaser’s bid with respect to the Servicing Rights.</w:t>
      </w:r>
    </w:p>
    <w:p>
      <w:pPr>
        <w:spacing w:after="0" w:line="125"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u w:val="single" w:color="auto"/>
          <w:color w:val="auto"/>
        </w:rPr>
        <w:t>Originator</w:t>
      </w:r>
      <w:r>
        <w:rPr>
          <w:rFonts w:ascii="Arial" w:cs="Arial" w:eastAsia="Arial" w:hAnsi="Arial"/>
          <w:sz w:val="18"/>
          <w:szCs w:val="18"/>
          <w:color w:val="auto"/>
        </w:rPr>
        <w:t>: With respect to any Mortgage Loan, the Person(s) that performed one or more of the following functions: (i) took the loan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(ii) processed the loan application, (iii) underwrote the loan application, and/or (iv) closed or funded the Mortgage Loan.</w:t>
      </w:r>
    </w:p>
    <w:p>
      <w:pPr>
        <w:spacing w:after="0" w:line="125" w:lineRule="exact"/>
        <w:rPr>
          <w:sz w:val="20"/>
          <w:szCs w:val="20"/>
          <w:color w:val="auto"/>
        </w:rPr>
      </w:pPr>
    </w:p>
    <w:p>
      <w:pPr>
        <w:jc w:val="both"/>
        <w:ind w:firstLine="545"/>
        <w:spacing w:after="0" w:line="289" w:lineRule="auto"/>
        <w:rPr>
          <w:sz w:val="20"/>
          <w:szCs w:val="20"/>
          <w:color w:val="auto"/>
        </w:rPr>
      </w:pPr>
      <w:r>
        <w:rPr>
          <w:rFonts w:ascii="Arial" w:cs="Arial" w:eastAsia="Arial" w:hAnsi="Arial"/>
          <w:sz w:val="17"/>
          <w:szCs w:val="17"/>
          <w:b w:val="1"/>
          <w:bCs w:val="1"/>
          <w:u w:val="single" w:color="auto"/>
          <w:color w:val="auto"/>
        </w:rPr>
        <w:t>P &amp; I Advances</w:t>
      </w:r>
      <w:r>
        <w:rPr>
          <w:rFonts w:ascii="Arial" w:cs="Arial" w:eastAsia="Arial" w:hAnsi="Arial"/>
          <w:sz w:val="17"/>
          <w:szCs w:val="17"/>
          <w:color w:val="auto"/>
        </w:rPr>
        <w:t>: With respect to the servicing of a Mortgage Loan, any principal and interest amounts required to be advanced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the related Servicing Agreement in connection with delinquent Monthly Payments (net of prepaid principal and interest, as applicable), and reimbursable in accordance with such Servicing Agreement (other than Corporate Advances and T &amp; I Advances).</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Seller and Purchaser.</w:t>
      </w:r>
    </w:p>
    <w:p>
      <w:pPr>
        <w:spacing w:after="0" w:line="190"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An individual, a corporation, a partnership, a limited liability company, a joint venture, a trust, an unincorporated association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 government body, agency or instrumentality or any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1217" w:right="319" w:bottom="1440" w:gutter="0" w:footer="0" w:header="0"/>
        </w:sectPr>
      </w:pPr>
    </w:p>
    <w:bookmarkStart w:id="128" w:name="page129"/>
    <w:bookmarkEnd w:id="128"/>
    <w:p>
      <w:pPr>
        <w:ind w:left="540"/>
        <w:spacing w:after="0"/>
        <w:rPr>
          <w:sz w:val="20"/>
          <w:szCs w:val="20"/>
          <w:color w:val="auto"/>
        </w:rPr>
      </w:pPr>
      <w:r>
        <w:rPr>
          <w:rFonts w:ascii="Arial" w:cs="Arial" w:eastAsia="Arial" w:hAnsi="Arial"/>
          <w:sz w:val="18"/>
          <w:szCs w:val="18"/>
          <w:b w:val="1"/>
          <w:bCs w:val="1"/>
          <w:u w:val="single" w:color="auto"/>
          <w:color w:val="auto"/>
        </w:rPr>
        <w:t>PMI Policy</w:t>
      </w:r>
      <w:r>
        <w:rPr>
          <w:rFonts w:ascii="Arial" w:cs="Arial" w:eastAsia="Arial" w:hAnsi="Arial"/>
          <w:sz w:val="18"/>
          <w:szCs w:val="18"/>
          <w:color w:val="auto"/>
        </w:rPr>
        <w:t>: With respect to a Mortgage Loan, the policy of primary mortgage insurance satisfying Applicable Requirements.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Pool</w:t>
      </w:r>
      <w:r>
        <w:rPr>
          <w:rFonts w:ascii="Arial" w:cs="Arial" w:eastAsia="Arial" w:hAnsi="Arial"/>
          <w:sz w:val="18"/>
          <w:szCs w:val="18"/>
          <w:color w:val="auto"/>
        </w:rPr>
        <w:t>: One or more Mortgage Loans that have been aggregated pursuant to the requirements of an Investor.</w:t>
      </w:r>
    </w:p>
    <w:p>
      <w:pPr>
        <w:spacing w:after="0" w:line="19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Prior Servicer</w:t>
      </w:r>
      <w:r>
        <w:rPr>
          <w:rFonts w:ascii="Arial" w:cs="Arial" w:eastAsia="Arial" w:hAnsi="Arial"/>
          <w:sz w:val="18"/>
          <w:szCs w:val="18"/>
          <w:color w:val="auto"/>
        </w:rPr>
        <w:t>: Any Person that was a Servicer or subservicer of any Mortgage Loan before Seller became the Servicer of the Mortgage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subservicer who has performed subservicing of the Mortgage Loans for Seller.</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total amount to be paid by Purchaser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to acquire the Servicing Rights.</w:t>
      </w:r>
    </w:p>
    <w:p>
      <w:pPr>
        <w:spacing w:after="0" w:line="190"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u w:val="single" w:color="auto"/>
          <w:color w:val="auto"/>
        </w:rPr>
        <w:t>Purchase Price Percentage</w:t>
      </w:r>
      <w:r>
        <w:rPr>
          <w:rFonts w:ascii="Arial" w:cs="Arial" w:eastAsia="Arial" w:hAnsi="Arial"/>
          <w:sz w:val="18"/>
          <w:szCs w:val="18"/>
          <w:color w:val="auto"/>
        </w:rPr>
        <w:t>: The applicable percentage by which the unpaid principal balance of the Mortgage Loans, or an applicable subset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thereof, is multiplied in determining the Purchase Price for the related Servicing Rights, as provided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As defined in the introductory phrase of this Agreement.</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Qualified Appraiser</w:t>
      </w:r>
      <w:r>
        <w:rPr>
          <w:rFonts w:ascii="Arial" w:cs="Arial" w:eastAsia="Arial" w:hAnsi="Arial"/>
          <w:sz w:val="18"/>
          <w:szCs w:val="18"/>
          <w:color w:val="auto"/>
        </w:rPr>
        <w:t>: An appraiser who meets an Investor’s eligibility requirements.</w:t>
      </w:r>
    </w:p>
    <w:p>
      <w:pPr>
        <w:spacing w:after="0" w:line="190"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u w:val="single" w:color="auto"/>
          <w:color w:val="auto"/>
        </w:rPr>
        <w:t>Qualified Insurer</w:t>
      </w:r>
      <w:r>
        <w:rPr>
          <w:rFonts w:ascii="Arial" w:cs="Arial" w:eastAsia="Arial" w:hAnsi="Arial"/>
          <w:sz w:val="18"/>
          <w:szCs w:val="18"/>
          <w:color w:val="auto"/>
        </w:rPr>
        <w:t>: An Insurer duly qualified as such under the laws of the states in which the Mortgaged Properties are located,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and licensed in such states to transact the applicable insurance business and to write the insurance provided, acceptable as an insurer by the related Investor.</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Recipient</w:t>
      </w:r>
      <w:r>
        <w:rPr>
          <w:rFonts w:ascii="Arial" w:cs="Arial" w:eastAsia="Arial" w:hAnsi="Arial"/>
          <w:sz w:val="18"/>
          <w:szCs w:val="18"/>
          <w:color w:val="auto"/>
        </w:rPr>
        <w:t>: A Party receiving Confidential Information.</w:t>
      </w:r>
    </w:p>
    <w:p>
      <w:pPr>
        <w:spacing w:after="0" w:line="190" w:lineRule="exact"/>
        <w:rPr>
          <w:sz w:val="20"/>
          <w:szCs w:val="20"/>
          <w:color w:val="auto"/>
        </w:rPr>
      </w:pPr>
    </w:p>
    <w:p>
      <w:pPr>
        <w:jc w:val="both"/>
        <w:ind w:firstLine="545"/>
        <w:spacing w:after="0" w:line="255" w:lineRule="auto"/>
        <w:rPr>
          <w:sz w:val="20"/>
          <w:szCs w:val="20"/>
          <w:color w:val="auto"/>
        </w:rPr>
      </w:pPr>
      <w:r>
        <w:rPr>
          <w:rFonts w:ascii="Arial" w:cs="Arial" w:eastAsia="Arial" w:hAnsi="Arial"/>
          <w:sz w:val="18"/>
          <w:szCs w:val="18"/>
          <w:b w:val="1"/>
          <w:bCs w:val="1"/>
          <w:u w:val="single" w:color="auto"/>
          <w:color w:val="auto"/>
        </w:rPr>
        <w:t>Recourse Obligation</w:t>
      </w:r>
      <w:r>
        <w:rPr>
          <w:rFonts w:ascii="Arial" w:cs="Arial" w:eastAsia="Arial" w:hAnsi="Arial"/>
          <w:sz w:val="18"/>
          <w:szCs w:val="18"/>
          <w:color w:val="auto"/>
        </w:rPr>
        <w:t>: With respect to any Mortgage Loan, any obligation or liability (actual or contingent) of the Servicer (a) for losses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Foreclosure or other disposition of such Mortgage Loan (including losses relating to loss mitigation or obtaining deeds in lieu of Foreclosure); (b) to repurchase such Mortgage Loan in the event that the Mortgagor of such Mortgage Loan, or such Mortgage Loan, is in bankruptcy, in Foreclosure or in litigation; or (c) to repurchase such Mortgage Loan in the event of a delinquency or other payment default thereunder by the Mortgagor. Notwithstanding the foregoing, a Mortgage Loan shall not be considered subject to a Recourse Obligation merely because the Servicer retains a contingent liability to repurchase a Mortgage Loan that is determined to have been ineligible for sale to an Investor due to a breach of one or more representations and warranties.</w:t>
      </w:r>
    </w:p>
    <w:p>
      <w:pPr>
        <w:spacing w:after="0" w:line="151"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Refinanced Mortgage Loan</w:t>
      </w:r>
      <w:r>
        <w:rPr>
          <w:rFonts w:ascii="Arial" w:cs="Arial" w:eastAsia="Arial" w:hAnsi="Arial"/>
          <w:sz w:val="18"/>
          <w:szCs w:val="18"/>
          <w:color w:val="auto"/>
        </w:rPr>
        <w:t>: A Mortgage Loan which was made to a Mortgagor who owned the Mortgaged Property prior to the origination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Mortgage Loan.</w:t>
      </w:r>
    </w:p>
    <w:p>
      <w:pPr>
        <w:spacing w:after="0" w:line="125" w:lineRule="exact"/>
        <w:rPr>
          <w:sz w:val="20"/>
          <w:szCs w:val="20"/>
          <w:color w:val="auto"/>
        </w:rPr>
      </w:pPr>
    </w:p>
    <w:p>
      <w:pPr>
        <w:jc w:val="both"/>
        <w:ind w:right="20" w:firstLine="545"/>
        <w:spacing w:after="0" w:line="314" w:lineRule="auto"/>
        <w:rPr>
          <w:sz w:val="20"/>
          <w:szCs w:val="20"/>
          <w:color w:val="auto"/>
        </w:rPr>
      </w:pPr>
      <w:r>
        <w:rPr>
          <w:rFonts w:ascii="Arial" w:cs="Arial" w:eastAsia="Arial" w:hAnsi="Arial"/>
          <w:sz w:val="17"/>
          <w:szCs w:val="17"/>
          <w:b w:val="1"/>
          <w:bCs w:val="1"/>
          <w:u w:val="single" w:color="auto"/>
          <w:color w:val="auto"/>
        </w:rPr>
        <w:t>REO Property</w:t>
      </w:r>
      <w:r>
        <w:rPr>
          <w:rFonts w:ascii="Arial" w:cs="Arial" w:eastAsia="Arial" w:hAnsi="Arial"/>
          <w:sz w:val="17"/>
          <w:szCs w:val="17"/>
          <w:color w:val="auto"/>
        </w:rPr>
        <w:t>: With respect to a Mortgage Loan the real property to which Servicer or an Investor, or another Person acting on Servicer’s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Investor’s behalf, has taken ownership as a result of Foreclosure or acceptance of a deed in lieu of Foreclosure with respect to a Mortgaged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1217" w:right="319" w:bottom="1440" w:gutter="0" w:footer="0" w:header="0"/>
        </w:sectPr>
      </w:pPr>
    </w:p>
    <w:bookmarkStart w:id="129" w:name="page130"/>
    <w:bookmarkEnd w:id="129"/>
    <w:p>
      <w:pPr>
        <w:jc w:val="both"/>
        <w:ind w:firstLine="545"/>
        <w:spacing w:after="0" w:line="256" w:lineRule="auto"/>
        <w:rPr>
          <w:sz w:val="20"/>
          <w:szCs w:val="20"/>
          <w:color w:val="auto"/>
        </w:rPr>
      </w:pPr>
      <w:r>
        <w:rPr>
          <w:rFonts w:ascii="Arial" w:cs="Arial" w:eastAsia="Arial" w:hAnsi="Arial"/>
          <w:sz w:val="18"/>
          <w:szCs w:val="18"/>
          <w:b w:val="1"/>
          <w:bCs w:val="1"/>
          <w:u w:val="single" w:color="auto"/>
          <w:color w:val="auto"/>
        </w:rPr>
        <w:t>Repurchase Price</w:t>
      </w:r>
      <w:r>
        <w:rPr>
          <w:rFonts w:ascii="Arial" w:cs="Arial" w:eastAsia="Arial" w:hAnsi="Arial"/>
          <w:sz w:val="18"/>
          <w:szCs w:val="18"/>
          <w:color w:val="auto"/>
        </w:rPr>
        <w:t>: With respect to the Servicing Rights related to any Mortgage Loan or REO Property, the sum of (a) the product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Repurchase Price Percentage and the then-outstanding unpaid principal balance of such Mortgage Loan, or with respect to REO Property, the unpaid principal balance of the related Mortgage Loan at the time of conversion to REO Property, and (b) any unreimbursed Advances and reasonable and documented out-of-pocket costs and expenses incurred by Purchaser in connection with such Mortgage Loan and the transfer of the Servicing Rights to Seller, and if applicable, repurchase and transfer of the related Mortgage Loan from an Investor and to Seller, including reasonable out-of-pocket attorneys’ fees and costs.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Repurchase Price Percentage</w:t>
      </w:r>
      <w:r>
        <w:rPr>
          <w:rFonts w:ascii="Arial" w:cs="Arial" w:eastAsia="Arial" w:hAnsi="Arial"/>
          <w:sz w:val="18"/>
          <w:szCs w:val="18"/>
          <w:color w:val="auto"/>
        </w:rPr>
        <w:t>: The related Purchase Price Percentage,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times</w:t>
      </w:r>
      <w:r>
        <w:rPr>
          <w:rFonts w:ascii="Arial" w:cs="Arial" w:eastAsia="Arial" w:hAnsi="Arial"/>
          <w:sz w:val="18"/>
          <w:szCs w:val="18"/>
          <w:b w:val="1"/>
          <w:bCs w:val="1"/>
          <w:color w:val="auto"/>
        </w:rPr>
        <w:t xml:space="preserve"> </w:t>
      </w:r>
      <w:r>
        <w:rPr>
          <w:rFonts w:ascii="Arial" w:cs="Arial" w:eastAsia="Arial" w:hAnsi="Arial"/>
          <w:sz w:val="18"/>
          <w:szCs w:val="18"/>
          <w:color w:val="auto"/>
        </w:rPr>
        <w:t>the Stepdown Percentage.</w:t>
      </w:r>
    </w:p>
    <w:p>
      <w:pPr>
        <w:spacing w:after="0" w:line="190"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u w:val="single" w:color="auto"/>
          <w:color w:val="auto"/>
        </w:rPr>
        <w:t>Sale Date</w:t>
      </w:r>
      <w:r>
        <w:rPr>
          <w:rFonts w:ascii="Arial" w:cs="Arial" w:eastAsia="Arial" w:hAnsi="Arial"/>
          <w:sz w:val="18"/>
          <w:szCs w:val="18"/>
          <w:color w:val="auto"/>
        </w:rPr>
        <w:t>: June 30, 2021 or such other date(s) as may be mutually agreed upon by the Parties and which shall be indicated in the related Bill of</w:t>
      </w:r>
      <w:r>
        <w:rPr>
          <w:rFonts w:ascii="Arial" w:cs="Arial" w:eastAsia="Arial" w:hAnsi="Arial"/>
          <w:sz w:val="18"/>
          <w:szCs w:val="18"/>
          <w:b w:val="1"/>
          <w:bCs w:val="1"/>
          <w:color w:val="auto"/>
        </w:rPr>
        <w:t xml:space="preserve"> </w:t>
      </w:r>
      <w:r>
        <w:rPr>
          <w:rFonts w:ascii="Arial" w:cs="Arial" w:eastAsia="Arial" w:hAnsi="Arial"/>
          <w:sz w:val="18"/>
          <w:szCs w:val="18"/>
          <w:color w:val="auto"/>
        </w:rPr>
        <w:t>Sale and subject, in each case, to the completion of due diligence review satisfactory in Purchaser’s sole discretion, and to the conditions precedent set forth in this Agreement, on which Purchaser shall acquire all economic and legal right, title and interest in and to the Servicing Rights sold by Seller pursuant to this Agreement on such date.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Seller</w:t>
      </w:r>
      <w:r>
        <w:rPr>
          <w:rFonts w:ascii="Arial" w:cs="Arial" w:eastAsia="Arial" w:hAnsi="Arial"/>
          <w:sz w:val="18"/>
          <w:szCs w:val="18"/>
          <w:color w:val="auto"/>
        </w:rPr>
        <w:t>: As defined in the introductory phrase of this Agreement.</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Servicer</w:t>
      </w:r>
      <w:r>
        <w:rPr>
          <w:rFonts w:ascii="Arial" w:cs="Arial" w:eastAsia="Arial" w:hAnsi="Arial"/>
          <w:sz w:val="18"/>
          <w:szCs w:val="18"/>
          <w:color w:val="auto"/>
        </w:rPr>
        <w:t>: The Person contractually obligated, at any time, to administer the Servicing Rights under the Servicing Agreements.</w:t>
      </w:r>
    </w:p>
    <w:p>
      <w:pPr>
        <w:spacing w:after="0" w:line="190"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u w:val="single" w:color="auto"/>
          <w:color w:val="auto"/>
        </w:rPr>
        <w:t>Servicing Agreements</w:t>
      </w:r>
      <w:r>
        <w:rPr>
          <w:rFonts w:ascii="Arial" w:cs="Arial" w:eastAsia="Arial" w:hAnsi="Arial"/>
          <w:sz w:val="18"/>
          <w:szCs w:val="18"/>
          <w:color w:val="auto"/>
        </w:rPr>
        <w:t>: The contracts (including any pooling agreement, servicing agreement, custodial agreement or other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the applicable Guides, and all other applicable rules, regulations, procedures, manuals and guidelines of an Investor, defining the rights and obligations of an Investor and Servicer, with respect to the Mortgage Loans.</w:t>
      </w:r>
    </w:p>
    <w:p>
      <w:pPr>
        <w:spacing w:after="0" w:line="140"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u w:val="single" w:color="auto"/>
          <w:color w:val="auto"/>
        </w:rPr>
        <w:t>Servicing Fee</w:t>
      </w:r>
      <w:r>
        <w:rPr>
          <w:rFonts w:ascii="Arial" w:cs="Arial" w:eastAsia="Arial" w:hAnsi="Arial"/>
          <w:sz w:val="18"/>
          <w:szCs w:val="18"/>
          <w:color w:val="auto"/>
        </w:rPr>
        <w:t>: The amount payable to Servicer under the applicable Servicing Agreement related to a Mortgage Loan as consideration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the Mortgage Loan, net of the guaranty fee payable to an Investor, any lender paid mortgage insurance premium and any securitized excess servicing interest-only cash flows.</w:t>
      </w:r>
    </w:p>
    <w:p>
      <w:pPr>
        <w:spacing w:after="0" w:line="140"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u w:val="single" w:color="auto"/>
          <w:color w:val="auto"/>
        </w:rPr>
        <w:t>Servicing File</w:t>
      </w:r>
      <w:r>
        <w:rPr>
          <w:rFonts w:ascii="Arial" w:cs="Arial" w:eastAsia="Arial" w:hAnsi="Arial"/>
          <w:sz w:val="18"/>
          <w:szCs w:val="18"/>
          <w:color w:val="auto"/>
        </w:rPr>
        <w:t>: With respect to each Mortgage Loan, all documents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G</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or required to be held by the Servicer</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Requirements, whether in hard copy, computer record, microfiche or any other format, evidencing and pertaining to a particular Mortgage Loan and relating to the processing, origination, servicing, collection, payment and Foreclosure of such Mortgage Loan.</w:t>
      </w:r>
    </w:p>
    <w:p>
      <w:pPr>
        <w:spacing w:after="0" w:line="140" w:lineRule="exact"/>
        <w:rPr>
          <w:sz w:val="20"/>
          <w:szCs w:val="20"/>
          <w:color w:val="auto"/>
        </w:rPr>
      </w:pPr>
    </w:p>
    <w:p>
      <w:pPr>
        <w:jc w:val="both"/>
        <w:ind w:right="20" w:firstLine="545"/>
        <w:spacing w:after="0" w:line="266" w:lineRule="auto"/>
        <w:rPr>
          <w:sz w:val="20"/>
          <w:szCs w:val="20"/>
          <w:color w:val="auto"/>
        </w:rPr>
      </w:pPr>
      <w:r>
        <w:rPr>
          <w:rFonts w:ascii="Arial" w:cs="Arial" w:eastAsia="Arial" w:hAnsi="Arial"/>
          <w:sz w:val="18"/>
          <w:szCs w:val="18"/>
          <w:b w:val="1"/>
          <w:bCs w:val="1"/>
          <w:u w:val="single" w:color="auto"/>
          <w:color w:val="auto"/>
        </w:rPr>
        <w:t>Servicing Rights</w:t>
      </w:r>
      <w:r>
        <w:rPr>
          <w:rFonts w:ascii="Arial" w:cs="Arial" w:eastAsia="Arial" w:hAnsi="Arial"/>
          <w:sz w:val="18"/>
          <w:szCs w:val="18"/>
          <w:color w:val="auto"/>
        </w:rPr>
        <w:t>: The rights and obligations of Servicer to administer, collect the payments for the reduction of principal and application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collect payments on account of taxes and insurance, pay taxes and insurance, remit collected payments, provide foreclosure services, provide full escrow administration and any other obligations required by an Investor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320" w:top="1217" w:right="319" w:bottom="1440" w:gutter="0" w:footer="0" w:header="0"/>
        </w:sectPr>
      </w:pPr>
    </w:p>
    <w:bookmarkStart w:id="130" w:name="page131"/>
    <w:bookmarkEnd w:id="130"/>
    <w:p>
      <w:pPr>
        <w:jc w:val="both"/>
        <w:ind w:right="20"/>
        <w:spacing w:after="0" w:line="309" w:lineRule="auto"/>
        <w:rPr>
          <w:sz w:val="20"/>
          <w:szCs w:val="20"/>
          <w:color w:val="auto"/>
        </w:rPr>
      </w:pPr>
      <w:r>
        <w:rPr>
          <w:rFonts w:ascii="Arial" w:cs="Arial" w:eastAsia="Arial" w:hAnsi="Arial"/>
          <w:sz w:val="17"/>
          <w:szCs w:val="17"/>
          <w:color w:val="auto"/>
        </w:rPr>
        <w:t>Insurer in, of, for or in connection with the Mortgage Loans pursuant to the Servicing Agreements, together with the right to receive the Servicing Fee and any Ancillary Fees arising from or connected to the Mortgage Loans, and all rights, powers and privileges incident to any of the foregoing.</w:t>
      </w:r>
    </w:p>
    <w:p>
      <w:pPr>
        <w:spacing w:after="0" w:line="105"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u w:val="single" w:color="auto"/>
          <w:color w:val="auto"/>
        </w:rPr>
        <w:t>Servicing Transfer Instructions</w:t>
      </w:r>
      <w:r>
        <w:rPr>
          <w:rFonts w:ascii="Arial" w:cs="Arial" w:eastAsia="Arial" w:hAnsi="Arial"/>
          <w:sz w:val="18"/>
          <w:szCs w:val="18"/>
          <w:color w:val="auto"/>
        </w:rPr>
        <w:t>: The instructions,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detailing the procedures pursuant to which Seller shall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the Servicing Rights, the Advances, the Custodial Funds, and the Mortgage Files to Purchaser.</w:t>
      </w:r>
    </w:p>
    <w:p>
      <w:pPr>
        <w:spacing w:after="0" w:line="125"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u w:val="single" w:color="auto"/>
          <w:color w:val="auto"/>
        </w:rPr>
        <w:t>Stepdown Percentage</w:t>
      </w:r>
      <w:r>
        <w:rPr>
          <w:rFonts w:ascii="Arial" w:cs="Arial" w:eastAsia="Arial" w:hAnsi="Arial"/>
          <w:sz w:val="18"/>
          <w:szCs w:val="18"/>
          <w:color w:val="auto"/>
        </w:rPr>
        <w:t>: With respect to any Mortgage Loan and the determination of the related Repurchase Price Percentage, such percentage as</w:t>
      </w:r>
      <w:r>
        <w:rPr>
          <w:rFonts w:ascii="Arial" w:cs="Arial" w:eastAsia="Arial" w:hAnsi="Arial"/>
          <w:sz w:val="18"/>
          <w:szCs w:val="18"/>
          <w:b w:val="1"/>
          <w:bCs w:val="1"/>
          <w:color w:val="auto"/>
        </w:rPr>
        <w:t xml:space="preserve"> </w:t>
      </w:r>
      <w:r>
        <w:rPr>
          <w:rFonts w:ascii="Arial" w:cs="Arial" w:eastAsia="Arial" w:hAnsi="Arial"/>
          <w:sz w:val="18"/>
          <w:szCs w:val="18"/>
          <w:color w:val="auto"/>
        </w:rPr>
        <w:t>when multiplied by the related Purchase Price Percentage shall reduce the Repurchase Price Percentage monthly, on a straightline basis, until the Repurchase Price Percentage is reduced to zero percent (0%) at the end of sixty (60) months after the Sale Date.</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6"/>
          <w:szCs w:val="16"/>
          <w:b w:val="1"/>
          <w:bCs w:val="1"/>
          <w:u w:val="single" w:color="auto"/>
          <w:color w:val="auto"/>
        </w:rPr>
        <w:t>Termination Date</w:t>
      </w:r>
      <w:r>
        <w:rPr>
          <w:rFonts w:ascii="Arial" w:cs="Arial" w:eastAsia="Arial" w:hAnsi="Arial"/>
          <w:sz w:val="16"/>
          <w:szCs w:val="16"/>
          <w:color w:val="auto"/>
        </w:rPr>
        <w:t>: August 2, 2021 or such other date as mutually agreed upon by the Parties provided that the Termination Date is before the Sale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0"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u w:val="single" w:color="auto"/>
          <w:color w:val="auto"/>
        </w:rPr>
        <w:t>T &amp; I Advances</w:t>
      </w:r>
      <w:r>
        <w:rPr>
          <w:rFonts w:ascii="Arial" w:cs="Arial" w:eastAsia="Arial" w:hAnsi="Arial"/>
          <w:sz w:val="18"/>
          <w:szCs w:val="18"/>
          <w:color w:val="auto"/>
        </w:rPr>
        <w:t>: With respect to the servicing of a Mortgage Loan, amounts required to be advanced in accordance with the terms of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Agreement in connection with the payment of taxes, insurance, ground rents, assessments and similar amounts due related to the Mortgage Loans, in accordance such Servicing Agreement and reimbursable in accordance with such Servicing Agreement (other than P &amp; I Advances and Corporate Advances).</w:t>
      </w:r>
    </w:p>
    <w:p>
      <w:pPr>
        <w:spacing w:after="0" w:line="143" w:lineRule="exact"/>
        <w:rPr>
          <w:sz w:val="20"/>
          <w:szCs w:val="20"/>
          <w:color w:val="auto"/>
        </w:rPr>
      </w:pPr>
    </w:p>
    <w:p>
      <w:pPr>
        <w:jc w:val="both"/>
        <w:ind w:right="20" w:firstLine="545"/>
        <w:spacing w:after="0" w:line="348" w:lineRule="auto"/>
        <w:rPr>
          <w:sz w:val="20"/>
          <w:szCs w:val="20"/>
          <w:color w:val="auto"/>
        </w:rPr>
      </w:pPr>
      <w:r>
        <w:rPr>
          <w:rFonts w:ascii="Arial" w:cs="Arial" w:eastAsia="Arial" w:hAnsi="Arial"/>
          <w:sz w:val="16"/>
          <w:szCs w:val="16"/>
          <w:b w:val="1"/>
          <w:bCs w:val="1"/>
          <w:u w:val="single" w:color="auto"/>
          <w:color w:val="auto"/>
        </w:rPr>
        <w:t>Transaction</w:t>
      </w:r>
      <w:r>
        <w:rPr>
          <w:rFonts w:ascii="Arial" w:cs="Arial" w:eastAsia="Arial" w:hAnsi="Arial"/>
          <w:sz w:val="16"/>
          <w:szCs w:val="16"/>
          <w:color w:val="auto"/>
        </w:rPr>
        <w:t>: The sale by Seller to Purchaser, and the purchase by Purchaser from Seller, of Servicing Rights on the Sale Date, the transfer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Rights on the Transfer Date, and the performance of the Parties’ respective obligations in connection therewith as provided in this Agreement.</w:t>
      </w:r>
    </w:p>
    <w:p>
      <w:pPr>
        <w:spacing w:after="0" w:line="79" w:lineRule="exact"/>
        <w:rPr>
          <w:sz w:val="20"/>
          <w:szCs w:val="20"/>
          <w:color w:val="auto"/>
        </w:rPr>
      </w:pPr>
    </w:p>
    <w:p>
      <w:pPr>
        <w:jc w:val="both"/>
        <w:ind w:firstLine="545"/>
        <w:spacing w:after="0" w:line="281" w:lineRule="auto"/>
        <w:rPr>
          <w:sz w:val="20"/>
          <w:szCs w:val="20"/>
          <w:color w:val="auto"/>
        </w:rPr>
      </w:pPr>
      <w:r>
        <w:rPr>
          <w:rFonts w:ascii="Arial" w:cs="Arial" w:eastAsia="Arial" w:hAnsi="Arial"/>
          <w:sz w:val="17"/>
          <w:szCs w:val="17"/>
          <w:b w:val="1"/>
          <w:bCs w:val="1"/>
          <w:u w:val="single" w:color="auto"/>
          <w:color w:val="auto"/>
        </w:rPr>
        <w:t>Transfer Date</w:t>
      </w:r>
      <w:r>
        <w:rPr>
          <w:rFonts w:ascii="Arial" w:cs="Arial" w:eastAsia="Arial" w:hAnsi="Arial"/>
          <w:sz w:val="17"/>
          <w:szCs w:val="17"/>
          <w:color w:val="auto"/>
        </w:rPr>
        <w:t>: With respect to any Mortgage Loan, the date on which the transfer of the related Servicing Rights from Seller to Purchaser is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on the records of the applicable Investor, which date shall be September 1, 2021, or such date(s) as mutually agreed upon by the Parties, subject to receipt of Investor Consents and approval of the Federal Housing Finance Agency. The actual Transfer Date(s) to be used for this Transaction shall be indicated in the Investor Consents and/or in the approval received from the Federal Housing Finance Agency.</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USDA</w:t>
      </w:r>
      <w:r>
        <w:rPr>
          <w:rFonts w:ascii="Arial" w:cs="Arial" w:eastAsia="Arial" w:hAnsi="Arial"/>
          <w:sz w:val="18"/>
          <w:szCs w:val="18"/>
          <w:color w:val="auto"/>
        </w:rPr>
        <w:t>: The United States Department of Agriculture and any successor thereto.</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VA</w:t>
      </w:r>
      <w:r>
        <w:rPr>
          <w:rFonts w:ascii="Arial" w:cs="Arial" w:eastAsia="Arial" w:hAnsi="Arial"/>
          <w:sz w:val="18"/>
          <w:szCs w:val="18"/>
          <w:color w:val="auto"/>
          <w:highlight w:val="white"/>
        </w:rPr>
        <w:t>: The United States Department of Veterans Affairs and any successor thereto.</w:t>
      </w:r>
    </w:p>
    <w:p>
      <w:pPr>
        <w:spacing w:after="0" w:line="190"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color w:val="auto"/>
        </w:rPr>
        <w:t xml:space="preserve">Section I.3 </w:t>
      </w:r>
      <w:r>
        <w:rPr>
          <w:rFonts w:ascii="Arial" w:cs="Arial" w:eastAsia="Arial" w:hAnsi="Arial"/>
          <w:sz w:val="18"/>
          <w:szCs w:val="18"/>
          <w:b w:val="1"/>
          <w:bCs w:val="1"/>
          <w:u w:val="single" w:color="auto"/>
          <w:color w:val="auto"/>
        </w:rPr>
        <w:t>General Interpretive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except as otherwise expressly provided or unless the context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requires:</w:t>
      </w:r>
    </w:p>
    <w:p>
      <w:pPr>
        <w:spacing w:after="0" w:line="129" w:lineRule="exact"/>
        <w:rPr>
          <w:sz w:val="20"/>
          <w:szCs w:val="20"/>
          <w:color w:val="auto"/>
        </w:rPr>
      </w:pPr>
    </w:p>
    <w:p>
      <w:pPr>
        <w:ind w:firstLine="1080"/>
        <w:spacing w:after="0" w:line="278" w:lineRule="auto"/>
        <w:tabs>
          <w:tab w:leader="none" w:pos="163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Terms used in this Agreement have the meanings assigned to them in this Agreement, and include the plural as well as the singular, and the use of any gender herein shall be deemed to include the other gender.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1221" w:right="319" w:bottom="1440" w:gutter="0" w:footer="0" w:header="0"/>
        </w:sectPr>
      </w:pPr>
    </w:p>
    <w:bookmarkStart w:id="131" w:name="page132"/>
    <w:bookmarkEnd w:id="131"/>
    <w:p>
      <w:pPr>
        <w:ind w:left="1629" w:hanging="540"/>
        <w:spacing w:after="0"/>
        <w:tabs>
          <w:tab w:leader="none" w:pos="1629"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Accounting terms not otherwise defined herein have the meanings assigned to them in accordance with generally accepted</w:t>
      </w:r>
    </w:p>
    <w:p>
      <w:pPr>
        <w:spacing w:after="0" w:line="36"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accounting principles.</w:t>
      </w:r>
    </w:p>
    <w:p>
      <w:pPr>
        <w:spacing w:after="0" w:line="174" w:lineRule="exact"/>
        <w:rPr>
          <w:rFonts w:ascii="Arial" w:cs="Arial" w:eastAsia="Arial" w:hAnsi="Arial"/>
          <w:sz w:val="17"/>
          <w:szCs w:val="17"/>
          <w:color w:val="auto"/>
        </w:rPr>
      </w:pPr>
    </w:p>
    <w:p>
      <w:pPr>
        <w:ind w:left="1629" w:hanging="540"/>
        <w:spacing w:after="0"/>
        <w:tabs>
          <w:tab w:leader="none" w:pos="1629"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References herein to a “section” shall be to the specified section(s) of this Agreement and shall include all subsections of such</w:t>
      </w:r>
    </w:p>
    <w:p>
      <w:pPr>
        <w:spacing w:after="0" w:line="36"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section(s).</w:t>
      </w:r>
    </w:p>
    <w:p>
      <w:pPr>
        <w:spacing w:after="0" w:line="174" w:lineRule="exact"/>
        <w:rPr>
          <w:rFonts w:ascii="Arial" w:cs="Arial" w:eastAsia="Arial" w:hAnsi="Arial"/>
          <w:sz w:val="17"/>
          <w:szCs w:val="17"/>
          <w:color w:val="auto"/>
        </w:rPr>
      </w:pPr>
    </w:p>
    <w:p>
      <w:pPr>
        <w:ind w:left="1629" w:hanging="540"/>
        <w:spacing w:after="0"/>
        <w:tabs>
          <w:tab w:leader="none" w:pos="1629"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words “herein,” “hereof,” “hereunder” and other words of similar import refer to this Agreement as a whole and not to any</w:t>
      </w:r>
    </w:p>
    <w:p>
      <w:pPr>
        <w:spacing w:after="0" w:line="36"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particular provisions.</w:t>
      </w:r>
    </w:p>
    <w:p>
      <w:pPr>
        <w:spacing w:after="0" w:line="174" w:lineRule="exact"/>
        <w:rPr>
          <w:rFonts w:ascii="Arial" w:cs="Arial" w:eastAsia="Arial" w:hAnsi="Arial"/>
          <w:sz w:val="17"/>
          <w:szCs w:val="17"/>
          <w:color w:val="auto"/>
        </w:rPr>
      </w:pPr>
    </w:p>
    <w:p>
      <w:pPr>
        <w:ind w:left="1629" w:hanging="540"/>
        <w:spacing w:after="0"/>
        <w:tabs>
          <w:tab w:leader="none" w:pos="162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term “include” or “including” shall mean without limitation by reason of enumeration.</w:t>
      </w:r>
    </w:p>
    <w:p>
      <w:pPr>
        <w:spacing w:after="0" w:line="190" w:lineRule="exact"/>
        <w:rPr>
          <w:rFonts w:ascii="Arial" w:cs="Arial" w:eastAsia="Arial" w:hAnsi="Arial"/>
          <w:sz w:val="18"/>
          <w:szCs w:val="18"/>
          <w:color w:val="auto"/>
        </w:rPr>
      </w:pPr>
    </w:p>
    <w:p>
      <w:pPr>
        <w:ind w:left="9" w:firstLine="1080"/>
        <w:spacing w:after="0" w:line="278" w:lineRule="auto"/>
        <w:tabs>
          <w:tab w:leader="none" w:pos="16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Section headings and other similar headings are not to be considered part of this Agreement, are solely for convenience of reference, and shall not affect the meaning or interpretation of this Agreement or any of its provisions.</w:t>
      </w:r>
    </w:p>
    <w:p>
      <w:pPr>
        <w:spacing w:after="0" w:line="133" w:lineRule="exact"/>
        <w:rPr>
          <w:rFonts w:ascii="Arial" w:cs="Arial" w:eastAsia="Arial" w:hAnsi="Arial"/>
          <w:sz w:val="18"/>
          <w:szCs w:val="18"/>
          <w:color w:val="auto"/>
        </w:rPr>
      </w:pPr>
    </w:p>
    <w:p>
      <w:pPr>
        <w:ind w:left="1629" w:hanging="540"/>
        <w:spacing w:after="0"/>
        <w:tabs>
          <w:tab w:leader="none" w:pos="1629" w:val="left"/>
        </w:tabs>
        <w:numPr>
          <w:ilvl w:val="0"/>
          <w:numId w:val="86"/>
        </w:numPr>
        <w:rPr>
          <w:rFonts w:ascii="Arial" w:cs="Arial" w:eastAsia="Arial" w:hAnsi="Arial"/>
          <w:sz w:val="17"/>
          <w:szCs w:val="17"/>
          <w:color w:val="auto"/>
        </w:rPr>
      </w:pPr>
      <w:r>
        <w:rPr>
          <w:rFonts w:ascii="Arial" w:cs="Arial" w:eastAsia="Arial" w:hAnsi="Arial"/>
          <w:sz w:val="17"/>
          <w:szCs w:val="17"/>
          <w:color w:val="auto"/>
        </w:rPr>
        <w:t>Each reference to any federal, state or local statute or law shall be deemed also to refer to all rules and regulations promulgated</w:t>
      </w:r>
    </w:p>
    <w:p>
      <w:pPr>
        <w:spacing w:after="0" w:line="36"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386" w:lineRule="exact"/>
        <w:rPr>
          <w:sz w:val="20"/>
          <w:szCs w:val="20"/>
          <w:color w:val="auto"/>
        </w:rPr>
      </w:pPr>
    </w:p>
    <w:p>
      <w:pPr>
        <w:ind w:left="5269"/>
        <w:spacing w:after="0"/>
        <w:rPr>
          <w:sz w:val="20"/>
          <w:szCs w:val="20"/>
          <w:color w:val="auto"/>
        </w:rPr>
      </w:pPr>
      <w:r>
        <w:rPr>
          <w:rFonts w:ascii="Arial" w:cs="Arial" w:eastAsia="Arial" w:hAnsi="Arial"/>
          <w:sz w:val="18"/>
          <w:szCs w:val="18"/>
          <w:b w:val="1"/>
          <w:bCs w:val="1"/>
          <w:color w:val="auto"/>
        </w:rPr>
        <w:t>Article II</w:t>
      </w:r>
    </w:p>
    <w:p>
      <w:pPr>
        <w:spacing w:after="0" w:line="190" w:lineRule="exact"/>
        <w:rPr>
          <w:sz w:val="20"/>
          <w:szCs w:val="20"/>
          <w:color w:val="auto"/>
        </w:rPr>
      </w:pPr>
    </w:p>
    <w:p>
      <w:pPr>
        <w:ind w:left="3489"/>
        <w:spacing w:after="0"/>
        <w:rPr>
          <w:sz w:val="20"/>
          <w:szCs w:val="20"/>
          <w:color w:val="auto"/>
        </w:rPr>
      </w:pPr>
      <w:r>
        <w:rPr>
          <w:rFonts w:ascii="Arial" w:cs="Arial" w:eastAsia="Arial" w:hAnsi="Arial"/>
          <w:sz w:val="18"/>
          <w:szCs w:val="18"/>
          <w:b w:val="1"/>
          <w:bCs w:val="1"/>
          <w:color w:val="auto"/>
        </w:rPr>
        <w:t>SALE OF SERVICING RIGHTS AND RELATED ITEMS</w:t>
      </w:r>
    </w:p>
    <w:p>
      <w:pPr>
        <w:spacing w:after="0" w:line="213" w:lineRule="exact"/>
        <w:rPr>
          <w:sz w:val="20"/>
          <w:szCs w:val="20"/>
          <w:color w:val="auto"/>
        </w:rPr>
      </w:pPr>
    </w:p>
    <w:p>
      <w:pPr>
        <w:jc w:val="both"/>
        <w:ind w:left="9" w:firstLine="545"/>
        <w:spacing w:after="0" w:line="289" w:lineRule="auto"/>
        <w:rPr>
          <w:sz w:val="20"/>
          <w:szCs w:val="20"/>
          <w:color w:val="auto"/>
        </w:rPr>
      </w:pPr>
      <w:r>
        <w:rPr>
          <w:rFonts w:ascii="Arial" w:cs="Arial" w:eastAsia="Arial" w:hAnsi="Arial"/>
          <w:sz w:val="16"/>
          <w:szCs w:val="16"/>
          <w:b w:val="1"/>
          <w:bCs w:val="1"/>
          <w:color w:val="auto"/>
        </w:rPr>
        <w:t xml:space="preserve">Section II.1 </w:t>
      </w:r>
      <w:r>
        <w:rPr>
          <w:rFonts w:ascii="Arial" w:cs="Arial" w:eastAsia="Arial" w:hAnsi="Arial"/>
          <w:sz w:val="16"/>
          <w:szCs w:val="16"/>
          <w:b w:val="1"/>
          <w:bCs w:val="1"/>
          <w:u w:val="single" w:color="auto"/>
          <w:color w:val="auto"/>
        </w:rPr>
        <w:t>Items to be Sold, Transferred and 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terms and subject to the conditions of this Agreement, and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Requirements, Seller shall, on and as of the Sale Date, sell, transfer and assign to Purchaser, and Purchaser shall purchase and assume from Seller, all of Seller’s legal and beneficial right, title and interest in and to the applicable (a) Servicing Rights, (b) Advances, (c) Custodial Funds and (d) Mortgage Files. Purchaser shall have the right to decline to purchase the Servicing Rights that do not conform to the terms, conditions, representations, warranties and covenants in this Agreement. It is expressly understood and agreed that the economics of the ownership of the Servicing Rights shall accrue to the benefit of Purchaser as of the Sale Date and Purchaser shall be entitled to receive all of the Servicing Fees payable under the Servicing Agreements after the Cut-off Date, including without limitation any accrued and unpaid Servicing Fees as of the Cut-off Date, subject to Seller’s rights to compensation as interim servicer pursuant to the Interim Servicing Requirements. On and after the Transfer Date, Purchaser shall have the exclusive right to receive all, and to enter into arrangements that generate, Ancillary Fees with respect to the Mortgage Loans.</w:t>
      </w:r>
    </w:p>
    <w:p>
      <w:pPr>
        <w:spacing w:after="0" w:line="128" w:lineRule="exact"/>
        <w:rPr>
          <w:sz w:val="20"/>
          <w:szCs w:val="20"/>
          <w:color w:val="auto"/>
        </w:rPr>
      </w:pPr>
    </w:p>
    <w:p>
      <w:pPr>
        <w:jc w:val="both"/>
        <w:ind w:left="9" w:firstLine="545"/>
        <w:spacing w:after="0" w:line="276" w:lineRule="auto"/>
        <w:rPr>
          <w:sz w:val="20"/>
          <w:szCs w:val="20"/>
          <w:color w:val="auto"/>
        </w:rPr>
      </w:pPr>
      <w:r>
        <w:rPr>
          <w:rFonts w:ascii="Arial" w:cs="Arial" w:eastAsia="Arial" w:hAnsi="Arial"/>
          <w:sz w:val="17"/>
          <w:szCs w:val="17"/>
          <w:b w:val="1"/>
          <w:bCs w:val="1"/>
          <w:color w:val="auto"/>
        </w:rPr>
        <w:t xml:space="preserve">Section II.2 </w:t>
      </w:r>
      <w:r>
        <w:rPr>
          <w:rFonts w:ascii="Arial" w:cs="Arial" w:eastAsia="Arial" w:hAnsi="Arial"/>
          <w:sz w:val="17"/>
          <w:szCs w:val="17"/>
          <w:b w:val="1"/>
          <w:bCs w:val="1"/>
          <w:u w:val="single" w:color="auto"/>
          <w:color w:val="auto"/>
        </w:rPr>
        <w:t>Assumption of Liabilities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sale and transfer of Servicing Rights contemplated herein, Purchaser will</w:t>
      </w:r>
      <w:r>
        <w:rPr>
          <w:rFonts w:ascii="Arial" w:cs="Arial" w:eastAsia="Arial" w:hAnsi="Arial"/>
          <w:sz w:val="17"/>
          <w:szCs w:val="17"/>
          <w:b w:val="1"/>
          <w:bCs w:val="1"/>
          <w:color w:val="auto"/>
        </w:rPr>
        <w:t xml:space="preserve"> </w:t>
      </w:r>
      <w:r>
        <w:rPr>
          <w:rFonts w:ascii="Arial" w:cs="Arial" w:eastAsia="Arial" w:hAnsi="Arial"/>
          <w:sz w:val="17"/>
          <w:szCs w:val="17"/>
          <w:color w:val="auto"/>
        </w:rPr>
        <w:t>assume only those duties, obligations and liabilities of Seller with respect to the Servicing Rights under the applicable Servicing Agreements that</w:t>
      </w:r>
    </w:p>
    <w:p>
      <w:pPr>
        <w:spacing w:after="0" w:line="2" w:lineRule="exact"/>
        <w:rPr>
          <w:sz w:val="20"/>
          <w:szCs w:val="20"/>
          <w:color w:val="auto"/>
        </w:rPr>
      </w:pPr>
    </w:p>
    <w:p>
      <w:pPr>
        <w:jc w:val="both"/>
        <w:ind w:left="9" w:hanging="9"/>
        <w:spacing w:after="0" w:line="255" w:lineRule="auto"/>
        <w:tabs>
          <w:tab w:leader="none" w:pos="2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accrue after the Sale Date or, with respect the servicing of the Mortgage Loans, accrue after the Transfer Date; and (b) directly arise in connection with Purchaser’s acquisition, ownership and use of the applicable Servicing Rights. Subject to the related Servicing Agreement, Purchaser will not assume or otherwise be responsible for in any way whatsoever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9"/>
          </w:cols>
          <w:pgMar w:left="311" w:top="1221" w:right="319" w:bottom="1440" w:gutter="0" w:footer="0" w:header="0"/>
        </w:sectPr>
      </w:pPr>
    </w:p>
    <w:bookmarkStart w:id="132" w:name="page133"/>
    <w:bookmarkEnd w:id="132"/>
    <w:p>
      <w:pPr>
        <w:jc w:val="both"/>
        <w:spacing w:after="0" w:line="264" w:lineRule="auto"/>
        <w:rPr>
          <w:sz w:val="20"/>
          <w:szCs w:val="20"/>
          <w:color w:val="auto"/>
        </w:rPr>
      </w:pPr>
      <w:r>
        <w:rPr>
          <w:rFonts w:ascii="Arial" w:cs="Arial" w:eastAsia="Arial" w:hAnsi="Arial"/>
          <w:sz w:val="18"/>
          <w:szCs w:val="18"/>
          <w:color w:val="auto"/>
        </w:rPr>
        <w:t>other duties, obligations or liabilities of, or claims against, Seller or Seller’s equity holders (or any of their respective agents, officers, directors, trustees, or affiliates) with respect to the Servicing Rights or otherwise, that accrue or otherwise relate to the period prior to the Sale Date or, with respect the servicing of the Mortgage Loans, prior to the Transfer Date.</w:t>
      </w:r>
    </w:p>
    <w:p>
      <w:pPr>
        <w:spacing w:after="0" w:line="141" w:lineRule="exact"/>
        <w:rPr>
          <w:sz w:val="20"/>
          <w:szCs w:val="20"/>
          <w:color w:val="auto"/>
        </w:rPr>
      </w:pPr>
    </w:p>
    <w:p>
      <w:pPr>
        <w:jc w:val="both"/>
        <w:ind w:firstLine="545"/>
        <w:spacing w:after="0" w:line="281" w:lineRule="auto"/>
        <w:rPr>
          <w:sz w:val="20"/>
          <w:szCs w:val="20"/>
          <w:color w:val="auto"/>
        </w:rPr>
      </w:pPr>
      <w:r>
        <w:rPr>
          <w:rFonts w:ascii="Arial" w:cs="Arial" w:eastAsia="Arial" w:hAnsi="Arial"/>
          <w:sz w:val="17"/>
          <w:szCs w:val="17"/>
          <w:b w:val="1"/>
          <w:bCs w:val="1"/>
          <w:color w:val="auto"/>
        </w:rPr>
        <w:t xml:space="preserve">Section II.3 </w:t>
      </w:r>
      <w:r>
        <w:rPr>
          <w:rFonts w:ascii="Arial" w:cs="Arial" w:eastAsia="Arial" w:hAnsi="Arial"/>
          <w:sz w:val="17"/>
          <w:szCs w:val="17"/>
          <w:b w:val="1"/>
          <w:bCs w:val="1"/>
          <w:u w:val="single" w:color="auto"/>
          <w:color w:val="auto"/>
        </w:rPr>
        <w:t>Evidence of Sale</w:t>
      </w:r>
      <w:r>
        <w:rPr>
          <w:rFonts w:ascii="Arial" w:cs="Arial" w:eastAsia="Arial" w:hAnsi="Arial"/>
          <w:sz w:val="17"/>
          <w:szCs w:val="17"/>
          <w:b w:val="1"/>
          <w:bCs w:val="1"/>
          <w:color w:val="auto"/>
        </w:rPr>
        <w:t xml:space="preserve">. </w:t>
      </w:r>
      <w:r>
        <w:rPr>
          <w:rFonts w:ascii="Arial" w:cs="Arial" w:eastAsia="Arial" w:hAnsi="Arial"/>
          <w:sz w:val="17"/>
          <w:szCs w:val="17"/>
          <w:color w:val="auto"/>
        </w:rPr>
        <w:t>On the Sale Date, Seller shall deliver to Purchaser a Bill of Sale to transfer and convey the Servicing Rights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Prior to the Transfer Date, Purchaser and Seller shall execute and deliver the documents required by an Investor in connection with the transfer of the Servicing Rights hereunder, in form and substance reasonably satisfactory to Purchaser and Seller, and shall execute and deliver such other instruments or documents as Purchaser and Seller shall reasonably determine are necessary or appropriate to evidence the Transaction.</w:t>
      </w:r>
    </w:p>
    <w:p>
      <w:pPr>
        <w:spacing w:after="0" w:line="128" w:lineRule="exact"/>
        <w:rPr>
          <w:sz w:val="20"/>
          <w:szCs w:val="20"/>
          <w:color w:val="auto"/>
        </w:rPr>
      </w:pPr>
    </w:p>
    <w:p>
      <w:pPr>
        <w:jc w:val="both"/>
        <w:ind w:firstLine="545"/>
        <w:spacing w:after="0" w:line="256" w:lineRule="auto"/>
        <w:rPr>
          <w:sz w:val="20"/>
          <w:szCs w:val="20"/>
          <w:color w:val="auto"/>
        </w:rPr>
      </w:pPr>
      <w:r>
        <w:rPr>
          <w:rFonts w:ascii="Arial" w:cs="Arial" w:eastAsia="Arial" w:hAnsi="Arial"/>
          <w:sz w:val="18"/>
          <w:szCs w:val="18"/>
          <w:b w:val="1"/>
          <w:bCs w:val="1"/>
          <w:color w:val="auto"/>
        </w:rPr>
        <w:t xml:space="preserve">Section II.4 </w:t>
      </w:r>
      <w:r>
        <w:rPr>
          <w:rFonts w:ascii="Arial" w:cs="Arial" w:eastAsia="Arial" w:hAnsi="Arial"/>
          <w:sz w:val="18"/>
          <w:szCs w:val="18"/>
          <w:b w:val="1"/>
          <w:bCs w:val="1"/>
          <w:u w:val="single" w:color="auto"/>
          <w:color w:val="auto"/>
        </w:rPr>
        <w:t>Servicing Transfer; Servicing Transfer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transfer of the Servicing Rights from Seller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pursuant to this Agreement, Seller shall comply with the Servicing Transfer Instructions and take all steps necessary or appropriate to effectuate and evidence the transfer of the servicing of the related Mortgage Loans to Purchaser. The Servicing Transfer Instructions may be modified from time to time by mutual agreement between Purchaser and Seller and the Parties agree to negotiate in good faith any changes that may be required due to operational requirements, data requirements or otherwise. In any instance in which the Servicing Transfer Instructions conflict with the terms of this Agreement, this Agreement shall control.</w:t>
      </w:r>
    </w:p>
    <w:p>
      <w:pPr>
        <w:spacing w:after="0" w:line="150"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II.5 </w:t>
      </w:r>
      <w:r>
        <w:rPr>
          <w:rFonts w:ascii="Arial" w:cs="Arial" w:eastAsia="Arial" w:hAnsi="Arial"/>
          <w:sz w:val="18"/>
          <w:szCs w:val="18"/>
          <w:b w:val="1"/>
          <w:bCs w:val="1"/>
          <w:u w:val="single" w:color="auto"/>
          <w:color w:val="auto"/>
        </w:rPr>
        <w:t>Transfer in Accordance with Applicable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transfer of the Servicing Rights from Seller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pursuant to this Agreement, Seller shall comply with all Applicable Requirements, including the requirements and guidelines of an Investor, any Agency, the Consumer Financial Protection Bureau and any other federal, state or local regulatory agency, body or authority with authority over Seller, Purchaser or the Transaction.</w:t>
      </w:r>
    </w:p>
    <w:p>
      <w:pPr>
        <w:spacing w:after="0" w:line="143" w:lineRule="exact"/>
        <w:rPr>
          <w:sz w:val="20"/>
          <w:szCs w:val="20"/>
          <w:color w:val="auto"/>
        </w:rPr>
      </w:pPr>
    </w:p>
    <w:p>
      <w:pPr>
        <w:jc w:val="both"/>
        <w:ind w:firstLine="545"/>
        <w:spacing w:after="0" w:line="294" w:lineRule="auto"/>
        <w:rPr>
          <w:sz w:val="20"/>
          <w:szCs w:val="20"/>
          <w:color w:val="auto"/>
        </w:rPr>
      </w:pPr>
      <w:r>
        <w:rPr>
          <w:rFonts w:ascii="Arial" w:cs="Arial" w:eastAsia="Arial" w:hAnsi="Arial"/>
          <w:sz w:val="16"/>
          <w:szCs w:val="16"/>
          <w:b w:val="1"/>
          <w:bCs w:val="1"/>
          <w:color w:val="auto"/>
        </w:rPr>
        <w:t xml:space="preserve">Section II.6 </w:t>
      </w:r>
      <w:r>
        <w:rPr>
          <w:rFonts w:ascii="Arial" w:cs="Arial" w:eastAsia="Arial" w:hAnsi="Arial"/>
          <w:sz w:val="16"/>
          <w:szCs w:val="16"/>
          <w:b w:val="1"/>
          <w:bCs w:val="1"/>
          <w:u w:val="single" w:color="auto"/>
          <w:color w:val="auto"/>
        </w:rPr>
        <w:t>Access to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period prior to the Sale Date, Seller shall provide to Purchaser reasonable access,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conducting due diligence reviews of the books, files and records relating to the Mortgage Loans and the related Servicing Rights to confirm, among other things, that (i) the Mortgage Loan Schedule, the Electronic Data Files and all other information provided by or on behalf of Seller is true and correct and without material errors or omissions and consistent in all material respects with the transaction information received from Seller and the requirements of this Agreement and (ii) the Mortgage Loans are in compliance with Applicable Requirements relating to the underwriting, origination and servicing thereof and that the related loan documents in the Collateral Files and the Mortgage Files are not missing or defective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320" w:top="1221" w:right="319" w:bottom="1440" w:gutter="0" w:footer="0" w:header="0"/>
        </w:sectPr>
      </w:pPr>
    </w:p>
    <w:bookmarkStart w:id="133" w:name="page134"/>
    <w:bookmarkEnd w:id="133"/>
    <w:p>
      <w:pPr>
        <w:ind w:left="5220"/>
        <w:spacing w:after="0"/>
        <w:rPr>
          <w:sz w:val="20"/>
          <w:szCs w:val="20"/>
          <w:color w:val="auto"/>
        </w:rPr>
      </w:pPr>
      <w:r>
        <w:rPr>
          <w:rFonts w:ascii="Arial" w:cs="Arial" w:eastAsia="Arial" w:hAnsi="Arial"/>
          <w:sz w:val="18"/>
          <w:szCs w:val="18"/>
          <w:b w:val="1"/>
          <w:bCs w:val="1"/>
          <w:color w:val="auto"/>
        </w:rPr>
        <w:t>Article III</w:t>
      </w:r>
    </w:p>
    <w:p>
      <w:pPr>
        <w:spacing w:after="0" w:line="1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PURCHASE PRICE AND RELATED MATTERS</w:t>
      </w:r>
    </w:p>
    <w:p>
      <w:pPr>
        <w:spacing w:after="0" w:line="213" w:lineRule="exact"/>
        <w:rPr>
          <w:sz w:val="20"/>
          <w:szCs w:val="20"/>
          <w:color w:val="auto"/>
        </w:rPr>
      </w:pPr>
    </w:p>
    <w:p>
      <w:pPr>
        <w:jc w:val="both"/>
        <w:ind w:right="20" w:firstLine="545"/>
        <w:spacing w:after="0" w:line="266" w:lineRule="auto"/>
        <w:rPr>
          <w:sz w:val="20"/>
          <w:szCs w:val="20"/>
          <w:color w:val="auto"/>
        </w:rPr>
      </w:pPr>
      <w:r>
        <w:rPr>
          <w:rFonts w:ascii="Arial" w:cs="Arial" w:eastAsia="Arial" w:hAnsi="Arial"/>
          <w:sz w:val="18"/>
          <w:szCs w:val="18"/>
          <w:b w:val="1"/>
          <w:bCs w:val="1"/>
          <w:color w:val="auto"/>
        </w:rPr>
        <w:t xml:space="preserve">Section III.1 </w:t>
      </w: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the transfer and sale contemplated herein of the Servicing Rights, Purchaser shall pay to</w:t>
      </w:r>
      <w:r>
        <w:rPr>
          <w:rFonts w:ascii="Arial" w:cs="Arial" w:eastAsia="Arial" w:hAnsi="Arial"/>
          <w:sz w:val="18"/>
          <w:szCs w:val="18"/>
          <w:b w:val="1"/>
          <w:bCs w:val="1"/>
          <w:color w:val="auto"/>
        </w:rPr>
        <w:t xml:space="preserve"> </w:t>
      </w:r>
      <w:r>
        <w:rPr>
          <w:rFonts w:ascii="Arial" w:cs="Arial" w:eastAsia="Arial" w:hAnsi="Arial"/>
          <w:sz w:val="18"/>
          <w:szCs w:val="18"/>
          <w:color w:val="auto"/>
        </w:rPr>
        <w:t>Seller in the manner, and subject to the adjustments, provided for in this Article III, an amount equal to the applicable Purchase Price Percentage multiplied by the aggregate actual outstanding principal balance of the Mortgage Loans as of the Cut-off Date.</w:t>
      </w:r>
    </w:p>
    <w:p>
      <w:pPr>
        <w:spacing w:after="0" w:line="140"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8"/>
          <w:szCs w:val="18"/>
          <w:b w:val="1"/>
          <w:bCs w:val="1"/>
          <w:color w:val="auto"/>
        </w:rPr>
        <w:t>Section III.2</w:t>
      </w:r>
      <w:r>
        <w:rPr>
          <w:sz w:val="20"/>
          <w:szCs w:val="20"/>
          <w:color w:val="auto"/>
        </w:rPr>
        <w:tab/>
      </w:r>
      <w:r>
        <w:rPr>
          <w:rFonts w:ascii="Arial" w:cs="Arial" w:eastAsia="Arial" w:hAnsi="Arial"/>
          <w:sz w:val="16"/>
          <w:szCs w:val="16"/>
          <w:b w:val="1"/>
          <w:bCs w:val="1"/>
          <w:u w:val="single" w:color="auto"/>
          <w:color w:val="auto"/>
        </w:rPr>
        <w:t>Verification of Purchase Price.</w:t>
      </w:r>
    </w:p>
    <w:p>
      <w:pPr>
        <w:spacing w:after="0" w:line="194" w:lineRule="exact"/>
        <w:rPr>
          <w:sz w:val="20"/>
          <w:szCs w:val="20"/>
          <w:color w:val="auto"/>
        </w:rPr>
      </w:pPr>
    </w:p>
    <w:p>
      <w:pPr>
        <w:jc w:val="both"/>
        <w:ind w:firstLine="1080"/>
        <w:spacing w:after="0" w:line="259" w:lineRule="auto"/>
        <w:tabs>
          <w:tab w:leader="none" w:pos="163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Pre-Sale Date</w:t>
      </w:r>
      <w:r>
        <w:rPr>
          <w:rFonts w:ascii="Arial" w:cs="Arial" w:eastAsia="Arial" w:hAnsi="Arial"/>
          <w:sz w:val="18"/>
          <w:szCs w:val="18"/>
          <w:color w:val="auto"/>
        </w:rPr>
        <w:t xml:space="preserve">. No later than five (5) Business Days prior to the Sale Date, Seller shall provide Purchaser with (i) a preliminary Mortgage Loan Schedule containing loan level information relating to the Servicing Rights as of an agreed upon date, including the aggregate actual outstanding principal balance of the Mortgage Loans as of such date and (ii) a completed Estimated Purchase Price Computation Worksheet in the form set forth on </w:t>
      </w:r>
      <w:r>
        <w:rPr>
          <w:rFonts w:ascii="Arial" w:cs="Arial" w:eastAsia="Arial" w:hAnsi="Arial"/>
          <w:sz w:val="18"/>
          <w:szCs w:val="18"/>
          <w:u w:val="single" w:color="auto"/>
          <w:color w:val="auto"/>
        </w:rPr>
        <w:t>Exhibit H1</w:t>
      </w:r>
      <w:r>
        <w:rPr>
          <w:rFonts w:ascii="Arial" w:cs="Arial" w:eastAsia="Arial" w:hAnsi="Arial"/>
          <w:sz w:val="18"/>
          <w:szCs w:val="18"/>
          <w:color w:val="auto"/>
        </w:rPr>
        <w:t>.</w:t>
      </w:r>
    </w:p>
    <w:p>
      <w:pPr>
        <w:spacing w:after="0" w:line="150" w:lineRule="exact"/>
        <w:rPr>
          <w:rFonts w:ascii="Arial" w:cs="Arial" w:eastAsia="Arial" w:hAnsi="Arial"/>
          <w:sz w:val="18"/>
          <w:szCs w:val="18"/>
          <w:color w:val="auto"/>
        </w:rPr>
      </w:pPr>
    </w:p>
    <w:p>
      <w:pPr>
        <w:jc w:val="both"/>
        <w:ind w:firstLine="1080"/>
        <w:spacing w:after="0" w:line="259" w:lineRule="auto"/>
        <w:tabs>
          <w:tab w:leader="none" w:pos="163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Post-Sale Date</w:t>
      </w:r>
      <w:r>
        <w:rPr>
          <w:rFonts w:ascii="Arial" w:cs="Arial" w:eastAsia="Arial" w:hAnsi="Arial"/>
          <w:sz w:val="18"/>
          <w:szCs w:val="18"/>
          <w:color w:val="auto"/>
        </w:rPr>
        <w:t xml:space="preserve">. Five (5) Business Days after the Sale Date, Seller shall provide Purchaser with (i) a final Mortgage Loan Schedule containing loan level information relating to the Servicing Rights as of the Cut-off Date, including the actual aggregate actual outstanding principal balance of the Mortgage Loans as of the Cut-off Date and (ii) a completed Purchase Price Computation Worksheet in the form set forth on </w:t>
      </w:r>
      <w:r>
        <w:rPr>
          <w:rFonts w:ascii="Arial" w:cs="Arial" w:eastAsia="Arial" w:hAnsi="Arial"/>
          <w:sz w:val="18"/>
          <w:szCs w:val="18"/>
          <w:u w:val="single" w:color="auto"/>
          <w:color w:val="auto"/>
        </w:rPr>
        <w:t>Exhibit H-2</w:t>
      </w:r>
      <w:r>
        <w:rPr>
          <w:rFonts w:ascii="Arial" w:cs="Arial" w:eastAsia="Arial" w:hAnsi="Arial"/>
          <w:sz w:val="18"/>
          <w:szCs w:val="18"/>
          <w:color w:val="auto"/>
        </w:rPr>
        <w:t>. The Parties agree that the final Mortgage Loan Schedule shall be appended to the Bill of Sale.</w:t>
      </w:r>
    </w:p>
    <w:p>
      <w:pPr>
        <w:spacing w:after="0" w:line="146"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III.3 </w:t>
      </w:r>
      <w:r>
        <w:rPr>
          <w:rFonts w:ascii="Arial" w:cs="Arial" w:eastAsia="Arial" w:hAnsi="Arial"/>
          <w:sz w:val="18"/>
          <w:szCs w:val="18"/>
          <w:b w:val="1"/>
          <w:bCs w:val="1"/>
          <w:u w:val="single" w:color="auto"/>
          <w:color w:val="auto"/>
        </w:rPr>
        <w:t>Payment of Purchase Price by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shall be paid by Purchaser to Seller as follows, subject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case to Seller’s performance of its obligations to be performed on or before the applicable date and satisfaction or waiver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44" w:lineRule="exact"/>
        <w:rPr>
          <w:sz w:val="20"/>
          <w:szCs w:val="20"/>
          <w:color w:val="auto"/>
        </w:rPr>
      </w:pPr>
    </w:p>
    <w:p>
      <w:pPr>
        <w:jc w:val="both"/>
        <w:ind w:firstLine="1080"/>
        <w:spacing w:after="0" w:line="254" w:lineRule="auto"/>
        <w:tabs>
          <w:tab w:leader="none" w:pos="163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Sale Date Payment</w:t>
      </w:r>
      <w:r>
        <w:rPr>
          <w:rFonts w:ascii="Arial" w:cs="Arial" w:eastAsia="Arial" w:hAnsi="Arial"/>
          <w:sz w:val="18"/>
          <w:szCs w:val="18"/>
          <w:color w:val="auto"/>
        </w:rPr>
        <w:t xml:space="preserve">. On the Sale Date, Seller shall be paid an amount equal to ninety percent (90%) of the applicable estimated Purchase Price, based upon the information delivered in accordance with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Within fifteen (15) Business Days after the Sale Date, Seller and Purchaser shall reconcile the Purchase Price based on a reconciliation of the estimated unpaid principal balance of the Mortgage Loans provided by Seller pursuant to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and the actual unpaid principal balance of the Mortgage Loans provided pursuant to </w:t>
      </w:r>
      <w:r>
        <w:rPr>
          <w:rFonts w:ascii="Arial" w:cs="Arial" w:eastAsia="Arial" w:hAnsi="Arial"/>
          <w:sz w:val="18"/>
          <w:szCs w:val="18"/>
          <w:u w:val="single" w:color="auto"/>
          <w:color w:val="auto"/>
        </w:rPr>
        <w:t>Section 3.2(b)</w:t>
      </w:r>
      <w:r>
        <w:rPr>
          <w:rFonts w:ascii="Arial" w:cs="Arial" w:eastAsia="Arial" w:hAnsi="Arial"/>
          <w:sz w:val="18"/>
          <w:szCs w:val="18"/>
          <w:color w:val="auto"/>
        </w:rPr>
        <w:t>. No later than ten (10) Business Days following such reconciliation, Seller shall pay to Purchaser, or Purchaser shall pay to Seller, as applicable, the portion of the Purchase Price based on such reconciliation due to either Seller or Purchaser to reflect ninety percent (90%) of the actual Purchase Price based on the actual unpaid principal balance of the Mortgage Loans as of the Cutoff Date.</w:t>
      </w:r>
    </w:p>
    <w:p>
      <w:pPr>
        <w:spacing w:after="0" w:line="157" w:lineRule="exact"/>
        <w:rPr>
          <w:rFonts w:ascii="Arial" w:cs="Arial" w:eastAsia="Arial" w:hAnsi="Arial"/>
          <w:sz w:val="18"/>
          <w:szCs w:val="18"/>
          <w:color w:val="auto"/>
        </w:rPr>
      </w:pPr>
    </w:p>
    <w:p>
      <w:pPr>
        <w:ind w:firstLine="1080"/>
        <w:spacing w:after="0" w:line="278" w:lineRule="auto"/>
        <w:tabs>
          <w:tab w:leader="none" w:pos="16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Transfer Date Related Payment</w:t>
      </w:r>
      <w:r>
        <w:rPr>
          <w:rFonts w:ascii="Arial" w:cs="Arial" w:eastAsia="Arial" w:hAnsi="Arial"/>
          <w:sz w:val="18"/>
          <w:szCs w:val="18"/>
          <w:color w:val="auto"/>
        </w:rPr>
        <w:t>. Within five (5) Business Days after the Transfer Date, Purchaser shall pay to Seller an amount equal to five percent (5%)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320" w:top="1433" w:right="319" w:bottom="1440" w:gutter="0" w:footer="0" w:header="0"/>
        </w:sectPr>
      </w:pPr>
    </w:p>
    <w:bookmarkStart w:id="134" w:name="page135"/>
    <w:bookmarkEnd w:id="134"/>
    <w:p>
      <w:pPr>
        <w:jc w:val="both"/>
        <w:spacing w:after="0" w:line="264" w:lineRule="auto"/>
        <w:rPr>
          <w:sz w:val="20"/>
          <w:szCs w:val="20"/>
          <w:color w:val="auto"/>
        </w:rPr>
      </w:pPr>
      <w:r>
        <w:rPr>
          <w:rFonts w:ascii="Arial" w:cs="Arial" w:eastAsia="Arial" w:hAnsi="Arial"/>
          <w:sz w:val="18"/>
          <w:szCs w:val="18"/>
          <w:color w:val="auto"/>
        </w:rPr>
        <w:t>Purchase Price, provided that Seller is in material compliance with its obligations under this Agreement and the Servicing Transfer Instructions. In the event that a determination has been made as to a material noncompliance with the above requirements, payment will be made once the noncompliance has been cured or resolved.</w:t>
      </w:r>
    </w:p>
    <w:p>
      <w:pPr>
        <w:spacing w:after="0" w:line="145" w:lineRule="exact"/>
        <w:rPr>
          <w:sz w:val="20"/>
          <w:szCs w:val="20"/>
          <w:color w:val="auto"/>
        </w:rPr>
      </w:pPr>
    </w:p>
    <w:p>
      <w:pPr>
        <w:jc w:val="both"/>
        <w:ind w:firstLine="1080"/>
        <w:spacing w:after="0" w:line="285" w:lineRule="auto"/>
        <w:tabs>
          <w:tab w:leader="none" w:pos="1676"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Holdback</w:t>
      </w:r>
      <w:r>
        <w:rPr>
          <w:rFonts w:ascii="Arial" w:cs="Arial" w:eastAsia="Arial" w:hAnsi="Arial"/>
          <w:sz w:val="16"/>
          <w:szCs w:val="16"/>
          <w:color w:val="auto"/>
        </w:rPr>
        <w:t>. Within thirty (30) days following the Transfer Date, and monthly thereafter, Purchaser shall provide Seller an exception report (“</w:t>
      </w:r>
      <w:r>
        <w:rPr>
          <w:rFonts w:ascii="Arial" w:cs="Arial" w:eastAsia="Arial" w:hAnsi="Arial"/>
          <w:sz w:val="16"/>
          <w:szCs w:val="16"/>
          <w:u w:val="single" w:color="auto"/>
          <w:color w:val="auto"/>
        </w:rPr>
        <w:t>Exception Report</w:t>
      </w:r>
      <w:r>
        <w:rPr>
          <w:rFonts w:ascii="Arial" w:cs="Arial" w:eastAsia="Arial" w:hAnsi="Arial"/>
          <w:sz w:val="16"/>
          <w:szCs w:val="16"/>
          <w:color w:val="auto"/>
        </w:rPr>
        <w:t>”) of all outstanding, incomplete, missing or defective documents from the Mortgage Files or Mortgage Files not yet reviewed (“</w:t>
      </w:r>
      <w:r>
        <w:rPr>
          <w:rFonts w:ascii="Arial" w:cs="Arial" w:eastAsia="Arial" w:hAnsi="Arial"/>
          <w:sz w:val="16"/>
          <w:szCs w:val="16"/>
          <w:u w:val="single" w:color="auto"/>
          <w:color w:val="auto"/>
        </w:rPr>
        <w:t>Holdback Exceptions</w:t>
      </w:r>
      <w:r>
        <w:rPr>
          <w:rFonts w:ascii="Arial" w:cs="Arial" w:eastAsia="Arial" w:hAnsi="Arial"/>
          <w:sz w:val="16"/>
          <w:szCs w:val="16"/>
          <w:color w:val="auto"/>
        </w:rPr>
        <w:t>”). The date on which each Exception Report is received by Seller will be an “Exception Determination Date.” On the tenth (10th) Business Day of the month following the third month in which an Exception Determination Date occurs (“</w:t>
      </w:r>
      <w:r>
        <w:rPr>
          <w:rFonts w:ascii="Arial" w:cs="Arial" w:eastAsia="Arial" w:hAnsi="Arial"/>
          <w:sz w:val="16"/>
          <w:szCs w:val="16"/>
          <w:u w:val="single" w:color="auto"/>
          <w:color w:val="auto"/>
        </w:rPr>
        <w:t>Holdback Payment Date</w:t>
      </w:r>
      <w:r>
        <w:rPr>
          <w:rFonts w:ascii="Arial" w:cs="Arial" w:eastAsia="Arial" w:hAnsi="Arial"/>
          <w:sz w:val="16"/>
          <w:szCs w:val="16"/>
          <w:color w:val="auto"/>
        </w:rPr>
        <w:t>”), Purchaser shall pay to Seller an amount equal to the remaining five percent (5%) of the Purchase Price (“</w:t>
      </w:r>
      <w:r>
        <w:rPr>
          <w:rFonts w:ascii="Arial" w:cs="Arial" w:eastAsia="Arial" w:hAnsi="Arial"/>
          <w:sz w:val="16"/>
          <w:szCs w:val="16"/>
          <w:u w:val="single" w:color="auto"/>
          <w:color w:val="auto"/>
        </w:rPr>
        <w:t>Holdback Amount</w:t>
      </w:r>
      <w:r>
        <w:rPr>
          <w:rFonts w:ascii="Arial" w:cs="Arial" w:eastAsia="Arial" w:hAnsi="Arial"/>
          <w:sz w:val="16"/>
          <w:szCs w:val="16"/>
          <w:color w:val="auto"/>
        </w:rPr>
        <w:t xml:space="preserve">”); provided, however, that no Holdback Amount shall be paid until Seller has delivered to Purchaser or its designee all related Mortgage Files in conformity with this Agreement, the Servicing Transfer Instructions and Applicable Requirements. If Purchaser determines in good faith that such conditions have not yet been satisfied, the Holdback Amount shall be paid to Seller in installments on subsequent Holdback Payment Dates. Each such installment payment shall be equal to (i) the Holdback Amount, multiplied by (ii) the percentage of Mortgage Loans that do not have any Holdback Exceptions or that have been paid off, liquidated or repurchased from the prior period to the current period to the extent that Seller has provided all documents required to satisfy and release the related Mortgage as required under Applicable Requirements. Notwithstanding the foregoing, once the Holdback Amount is equal to ten percent (10%) of the initial Holdback Amount, no further payments shall be made to Seller under this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unless and until no Holdback Exceptions are remaining; provided, however, that at the end of the 12-month period following the Transfer Date, if any Holdback Exceptions remain outstanding, Purchaser may (in its reasonable discretion) take steps to correct such Holdback Exceptions and deduct Purchaser’s reasonable and documented out-of-pocket costs relating to such corrections from the remaining Holdback Amount, and shall thereafter, release the remainder of the Holdback Amount to Seller.</w:t>
      </w:r>
    </w:p>
    <w:p>
      <w:pPr>
        <w:spacing w:after="0" w:line="137" w:lineRule="exact"/>
        <w:rPr>
          <w:rFonts w:ascii="Arial" w:cs="Arial" w:eastAsia="Arial" w:hAnsi="Arial"/>
          <w:sz w:val="16"/>
          <w:szCs w:val="16"/>
          <w:color w:val="auto"/>
        </w:rPr>
      </w:pPr>
    </w:p>
    <w:p>
      <w:pPr>
        <w:jc w:val="both"/>
        <w:ind w:firstLine="1080"/>
        <w:spacing w:after="0" w:line="269" w:lineRule="auto"/>
        <w:tabs>
          <w:tab w:leader="none" w:pos="163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Reimbursement of Advances</w:t>
      </w:r>
      <w:r>
        <w:rPr>
          <w:rFonts w:ascii="Arial" w:cs="Arial" w:eastAsia="Arial" w:hAnsi="Arial"/>
          <w:sz w:val="17"/>
          <w:szCs w:val="17"/>
          <w:color w:val="auto"/>
        </w:rPr>
        <w:t xml:space="preserve">. Subject to this Agreement, Purchaser shall reimburse Seller for the outstanding Advances (other than Advances funded from the amounts in the Custodial Account) as of the Transfer Date with respect to the Mortgage Loans, by wire transfer of immediately available funds, within five (5) Business Days after Purchaser’s verification of (i) loan level Advance balances as of the Transfer Date, (ii) information reflecting the date or period such Advances were made, (iii) loan level information related to the type (i.e., delinquency, tax, insurance, attorney fees, property inspection, etc.) and disbursement history of each Advance (which may be in electronic format), (iv) reasonable, customary and required documentation and support sufficient to reasonably enable Purchaser or Purchaser’s designee to make an assessment of the eligibility of the Advances for reimbursement by an Investor or Insurers pursuant to Applicable Requirements, (v) with respect to P &amp; I Advances, information necessary to confirm and reconcile the test of expected principal and interest and (vi) the documents in the related Mortgage File necessary to support such Advances. Notwithstanding the foregoing, Seller may net T &amp; I Advances from Custodial Funds representing escrow funds pursuant to </w:t>
      </w:r>
      <w:r>
        <w:rPr>
          <w:rFonts w:ascii="Arial" w:cs="Arial" w:eastAsia="Arial" w:hAnsi="Arial"/>
          <w:sz w:val="17"/>
          <w:szCs w:val="17"/>
          <w:u w:val="single" w:color="auto"/>
          <w:color w:val="auto"/>
        </w:rPr>
        <w:t>Section 3.4</w:t>
      </w:r>
      <w:r>
        <w:rPr>
          <w:rFonts w:ascii="Arial" w:cs="Arial" w:eastAsia="Arial" w:hAnsi="Arial"/>
          <w:sz w:val="17"/>
          <w:szCs w:val="17"/>
          <w:color w:val="auto"/>
        </w:rPr>
        <w:t>. Purchaser shall use reasonable efforts to complete such verification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320" w:top="1221" w:right="319" w:bottom="1440" w:gutter="0" w:footer="0" w:header="0"/>
        </w:sectPr>
      </w:pPr>
    </w:p>
    <w:bookmarkStart w:id="135" w:name="page136"/>
    <w:bookmarkEnd w:id="135"/>
    <w:p>
      <w:pPr>
        <w:jc w:val="both"/>
        <w:spacing w:after="0" w:line="273" w:lineRule="auto"/>
        <w:rPr>
          <w:sz w:val="20"/>
          <w:szCs w:val="20"/>
          <w:color w:val="auto"/>
        </w:rPr>
      </w:pPr>
      <w:r>
        <w:rPr>
          <w:rFonts w:ascii="Arial" w:cs="Arial" w:eastAsia="Arial" w:hAnsi="Arial"/>
          <w:sz w:val="17"/>
          <w:szCs w:val="17"/>
          <w:color w:val="auto"/>
        </w:rPr>
        <w:t>within thirty (30) days of receipt of such documentation from Seller. To the extent Seller subsequently recovers any Advances, Seller shall remit such recoveries to Purchaser within five (5) Business Days of receipt thereof. For the avoidance of doubt, Purchaser shall not have any obligation to reimburse Seller for any Advance or portion of any Advance except to the extent such Advance or portion of such Advance is reimbursable by or recoverable from the applicable Agency pursuant to Applicable Requirements. Notwithstanding any provisions in this Agreement to the contrary, Purchaser shall not reimburse Seller for any Corporate Advances for Mortgage Loans that are less than thirty (30) days delinquent as of the Transfer Date; provided, however, the foregoing shall not apply to Advances that are pending reimbursement from the related Investor as of the Transfer Date.</w:t>
      </w:r>
    </w:p>
    <w:p>
      <w:pPr>
        <w:spacing w:after="0" w:line="141" w:lineRule="exact"/>
        <w:rPr>
          <w:sz w:val="20"/>
          <w:szCs w:val="20"/>
          <w:color w:val="auto"/>
        </w:rPr>
      </w:pPr>
    </w:p>
    <w:p>
      <w:pPr>
        <w:jc w:val="both"/>
        <w:ind w:firstLine="1080"/>
        <w:spacing w:after="0" w:line="264" w:lineRule="auto"/>
        <w:tabs>
          <w:tab w:leader="none" w:pos="163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Investor Consent</w:t>
      </w:r>
      <w:r>
        <w:rPr>
          <w:rFonts w:ascii="Arial" w:cs="Arial" w:eastAsia="Arial" w:hAnsi="Arial"/>
          <w:sz w:val="18"/>
          <w:szCs w:val="18"/>
          <w:color w:val="auto"/>
        </w:rPr>
        <w:t xml:space="preserve">. Notwithstanding anything contained herein to the contrary, Purchaser shall have no obligation to make any payment under any subsection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with respect to any portion of the Servicing Rights for which an Investor has denied or not consented to Seller’s request to transfer the related Servicing Rights to Purchaser.</w:t>
      </w:r>
    </w:p>
    <w:p>
      <w:pPr>
        <w:spacing w:after="0" w:line="145" w:lineRule="exact"/>
        <w:rPr>
          <w:rFonts w:ascii="Arial" w:cs="Arial" w:eastAsia="Arial" w:hAnsi="Arial"/>
          <w:sz w:val="18"/>
          <w:szCs w:val="18"/>
          <w:color w:val="auto"/>
        </w:rPr>
      </w:pPr>
    </w:p>
    <w:p>
      <w:pPr>
        <w:jc w:val="both"/>
        <w:ind w:firstLine="1080"/>
        <w:spacing w:after="0" w:line="255" w:lineRule="auto"/>
        <w:tabs>
          <w:tab w:leader="none" w:pos="163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Set-off</w:t>
      </w:r>
      <w:r>
        <w:rPr>
          <w:rFonts w:ascii="Arial" w:cs="Arial" w:eastAsia="Arial" w:hAnsi="Arial"/>
          <w:sz w:val="18"/>
          <w:szCs w:val="18"/>
          <w:color w:val="auto"/>
        </w:rPr>
        <w:t>. Seller hereby grants Purchaser a right of set-off against the Holdback Amount (or any portion thereof) against Seller’s obligations to Purchaser under this Agreement, including obligations in respect of early payoff protection, repurchase of Servicing Rights or Mortgage Loans and indemnification; provided, that Purchaser has provided Seller written notice of Seller’s failure to pay any such amounts when due (including any applicable grace or cure periods pursuant to the terms of this Agreement) and Seller has not cured such failure within five (5) Business Days of Seller’s receipt of such notice. Seller further agrees that should Purchaser reimburse itself in such manner, such reimbursement shall not act as a limitation of any other right or remedy Purchaser may have under the law or this Agreement.</w:t>
      </w:r>
    </w:p>
    <w:p>
      <w:pPr>
        <w:spacing w:after="0" w:line="155" w:lineRule="exact"/>
        <w:rPr>
          <w:rFonts w:ascii="Arial" w:cs="Arial" w:eastAsia="Arial" w:hAnsi="Arial"/>
          <w:sz w:val="18"/>
          <w:szCs w:val="18"/>
          <w:color w:val="auto"/>
        </w:rPr>
      </w:pPr>
    </w:p>
    <w:p>
      <w:pPr>
        <w:jc w:val="both"/>
        <w:ind w:firstLine="1080"/>
        <w:spacing w:after="0" w:line="301" w:lineRule="auto"/>
        <w:tabs>
          <w:tab w:leader="none" w:pos="163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Prepayments</w:t>
      </w:r>
      <w:r>
        <w:rPr>
          <w:rFonts w:ascii="Arial" w:cs="Arial" w:eastAsia="Arial" w:hAnsi="Arial"/>
          <w:sz w:val="16"/>
          <w:szCs w:val="16"/>
          <w:color w:val="auto"/>
        </w:rPr>
        <w:t>. In the event that a Mortgage Loan prepays in full within ninety (90) days following the Sale Date to the extent such Mortgage Loan is in the High Pool and sixty (60) days following the Sale Date to the extent such Mortgage Loan is in the Low Pool (in either case, other than by a refinancing by Purchaser or any of its subsidiaries or affiliates), Seller shall refund to Purchaser, within thirty (30) days of receipt of demand thereof by Purchaser, the portion of the Purchase Price paid by Purchaser allocable to the Servicing Rights relating to such Mortgage Loan.</w:t>
      </w:r>
    </w:p>
    <w:p>
      <w:pPr>
        <w:spacing w:after="0" w:line="117"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8"/>
          <w:szCs w:val="18"/>
          <w:b w:val="1"/>
          <w:bCs w:val="1"/>
          <w:color w:val="auto"/>
        </w:rPr>
        <w:t>Section III.4</w:t>
      </w:r>
      <w:r>
        <w:rPr>
          <w:sz w:val="20"/>
          <w:szCs w:val="20"/>
          <w:color w:val="auto"/>
        </w:rPr>
        <w:tab/>
      </w:r>
      <w:r>
        <w:rPr>
          <w:rFonts w:ascii="Arial" w:cs="Arial" w:eastAsia="Arial" w:hAnsi="Arial"/>
          <w:sz w:val="16"/>
          <w:szCs w:val="16"/>
          <w:b w:val="1"/>
          <w:bCs w:val="1"/>
          <w:u w:val="single" w:color="auto"/>
          <w:color w:val="auto"/>
        </w:rPr>
        <w:t>Custodial Funds and Advances; Reconciliation.</w:t>
      </w:r>
    </w:p>
    <w:p>
      <w:pPr>
        <w:spacing w:after="0" w:line="194" w:lineRule="exact"/>
        <w:rPr>
          <w:sz w:val="20"/>
          <w:szCs w:val="20"/>
          <w:color w:val="auto"/>
        </w:rPr>
      </w:pPr>
    </w:p>
    <w:p>
      <w:pPr>
        <w:jc w:val="both"/>
        <w:ind w:firstLine="1080"/>
        <w:spacing w:after="0" w:line="254" w:lineRule="auto"/>
        <w:tabs>
          <w:tab w:leader="none" w:pos="1631"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Within five (5) Business Days (or such earlier date required by the applicable Investor) after the Transfer Date, all related Custodial Funds and all other funds and collections in connection with the Mortgage Loans held by or on behalf of Seller or, to the extent permitted under Applicable Requirements, previously used by or on behalf of Seller (or any Prior Servicer) to make Advances with respect to the Mortgage Loans and not previously reimbursed shall be remitted and delivered by Seller to Purchaser in compliance with all Applicable Requirements, provided, however, that Seller may net T &amp; I Advances from Custodial Funds representing escrow funds. Notwithstanding the foregoing, Seller shall retain Custodial Funds relating to principal and interest on the Mortgage Loans in Seller’s possession as of the Transfer Date that are due in Seller’s final remittances to the Investors. If there is a deficiency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1221" w:right="319" w:bottom="1440" w:gutter="0" w:footer="0" w:header="0"/>
        </w:sectPr>
      </w:pPr>
    </w:p>
    <w:bookmarkStart w:id="136" w:name="page137"/>
    <w:bookmarkEnd w:id="136"/>
    <w:p>
      <w:pPr>
        <w:jc w:val="both"/>
        <w:spacing w:after="0" w:line="296" w:lineRule="auto"/>
        <w:rPr>
          <w:sz w:val="20"/>
          <w:szCs w:val="20"/>
          <w:color w:val="auto"/>
        </w:rPr>
      </w:pPr>
      <w:r>
        <w:rPr>
          <w:rFonts w:ascii="Arial" w:cs="Arial" w:eastAsia="Arial" w:hAnsi="Arial"/>
          <w:sz w:val="16"/>
          <w:szCs w:val="16"/>
          <w:color w:val="auto"/>
        </w:rPr>
        <w:t>Custodial Funds required to satisfy the requirements to satisfy the required remittance amounts to the Investors, Purchaser shall wire an amount equal to such deficiency to Seller no later than one (1) Business Day prior to the date of Seller’s final remittances to the Investors. For the avoidance of doubt, prior to transferring the Custodial Funds to Purchaser, Seller shall fully fund the Custodial Account to take into account all prepaid principal, including prepayments in full and curtailments, and interest received with respect to the Mortgage Loans. Within five (5) Business Days following the Transfer Date, Seller shall provide to Purchaser a reconciliation, as of the Transfer Date, of the Custodial Funds held and Advances outstanding as of such date.</w:t>
      </w:r>
    </w:p>
    <w:p>
      <w:pPr>
        <w:spacing w:after="0" w:line="125" w:lineRule="exact"/>
        <w:rPr>
          <w:sz w:val="20"/>
          <w:szCs w:val="20"/>
          <w:color w:val="auto"/>
        </w:rPr>
      </w:pPr>
    </w:p>
    <w:p>
      <w:pPr>
        <w:jc w:val="both"/>
        <w:ind w:firstLine="1080"/>
        <w:spacing w:after="0" w:line="279" w:lineRule="auto"/>
        <w:tabs>
          <w:tab w:leader="none" w:pos="163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at any time Seller or Purchaser reasonably determines that any Advances acquired by Purchaser, including Advances previously funded by or on behalf of Seller or a Prior Servicer from amounts in the Custodial Account, are not reimbursable by the applicable Agency, or the reimbursements then due thereunder are less than the amount of such non-reimbursable Advances, the Party making such determination will notify the other Party in writing and such amounts shall be paid by Seller to Purchaser in immediately available funds within five (5) Business Days.</w:t>
      </w:r>
    </w:p>
    <w:p>
      <w:pPr>
        <w:spacing w:after="0" w:line="131" w:lineRule="exact"/>
        <w:rPr>
          <w:sz w:val="20"/>
          <w:szCs w:val="20"/>
          <w:color w:val="auto"/>
        </w:rPr>
      </w:pPr>
    </w:p>
    <w:p>
      <w:pPr>
        <w:jc w:val="both"/>
        <w:ind w:firstLine="545"/>
        <w:spacing w:after="0" w:line="272" w:lineRule="auto"/>
        <w:rPr>
          <w:sz w:val="20"/>
          <w:szCs w:val="20"/>
          <w:color w:val="auto"/>
        </w:rPr>
      </w:pPr>
      <w:r>
        <w:rPr>
          <w:rFonts w:ascii="Arial" w:cs="Arial" w:eastAsia="Arial" w:hAnsi="Arial"/>
          <w:sz w:val="17"/>
          <w:szCs w:val="17"/>
          <w:b w:val="1"/>
          <w:bCs w:val="1"/>
          <w:color w:val="auto"/>
        </w:rPr>
        <w:t xml:space="preserve">Section III.5 </w:t>
      </w:r>
      <w:r>
        <w:rPr>
          <w:rFonts w:ascii="Arial" w:cs="Arial" w:eastAsia="Arial" w:hAnsi="Arial"/>
          <w:sz w:val="17"/>
          <w:szCs w:val="17"/>
          <w:b w:val="1"/>
          <w:bCs w:val="1"/>
          <w:u w:val="single" w:color="auto"/>
          <w:color w:val="auto"/>
        </w:rPr>
        <w:t>Certain Adjustments and Refunds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one (1) year following the payment of any portion of the Purchase Price or</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for Advances, transfer of the Custodial Funds, or payment or transfer of any other amounts due under this Agreement to either Party, the Purchase Price, Advances, Custodial Funds or such other amounts are found to be in error, then within ten (10) Business Days after the receipt of information sufficient to provide notice that payment is due, the Party benefiting from the error shall (i) pay an amount sufficient to correct and reconcile the Purchase Price, Advances, Custodial Funds, or such other amounts, and (ii) provide a reconciliation statement and such other documentation reasonably sufficient to satisfy the other Party (in such other Party’s exercise of its reasonable discretion) concerning the accuracy of such reconciliation. Notwithstanding the foregoing, the one (1) year time restriction shall not apply to indemnification claims under Article 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Section III.6</w:t>
            </w:r>
          </w:p>
        </w:tc>
        <w:tc>
          <w:tcPr>
            <w:tcW w:w="954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 xml:space="preserve">Form of Payment to be Made. </w:t>
            </w:r>
            <w:r>
              <w:rPr>
                <w:rFonts w:ascii="Arial" w:cs="Arial" w:eastAsia="Arial" w:hAnsi="Arial"/>
                <w:sz w:val="18"/>
                <w:szCs w:val="18"/>
                <w:color w:val="auto"/>
                <w:w w:val="91"/>
              </w:rPr>
              <w:t>Unless otherwise agreed to by the Parties, all payments to be made by a Party to another Party, or</w:t>
            </w: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38"/>
        </w:trPr>
        <w:tc>
          <w:tcPr>
            <w:tcW w:w="11260" w:type="dxa"/>
            <w:vAlign w:val="bottom"/>
            <w:gridSpan w:val="6"/>
          </w:tcPr>
          <w:p>
            <w:pPr>
              <w:spacing w:after="0"/>
              <w:rPr>
                <w:sz w:val="20"/>
                <w:szCs w:val="20"/>
                <w:color w:val="auto"/>
              </w:rPr>
            </w:pPr>
            <w:r>
              <w:rPr>
                <w:rFonts w:ascii="Arial" w:cs="Arial" w:eastAsia="Arial" w:hAnsi="Arial"/>
                <w:sz w:val="18"/>
                <w:szCs w:val="18"/>
                <w:color w:val="auto"/>
                <w:w w:val="97"/>
              </w:rPr>
              <w:t>such other Party’s designee, shall be made by wiring immediately available funds to the accounts designated by the Party receiving the payment.</w:t>
            </w:r>
          </w:p>
        </w:tc>
      </w:tr>
      <w:tr>
        <w:trPr>
          <w:trHeight w:val="354"/>
        </w:trPr>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Section III.7</w:t>
            </w:r>
          </w:p>
        </w:tc>
        <w:tc>
          <w:tcPr>
            <w:tcW w:w="9540" w:type="dxa"/>
            <w:vAlign w:val="bottom"/>
            <w:gridSpan w:val="5"/>
          </w:tcPr>
          <w:p>
            <w:pPr>
              <w:jc w:val="right"/>
              <w:spacing w:after="0"/>
              <w:rPr>
                <w:sz w:val="20"/>
                <w:szCs w:val="20"/>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payment or acceptance of payment under this Article III (including retention of Holdback Amounts) shall</w:t>
            </w:r>
          </w:p>
        </w:tc>
      </w:tr>
      <w:tr>
        <w:trPr>
          <w:trHeight w:val="20"/>
        </w:trPr>
        <w:tc>
          <w:tcPr>
            <w:tcW w:w="1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constitute a waiver by Purchaser of, or otherwise limit or reduce, any of Purchaser’s other rights and remedies under this Agreement, at law, or equity, including Purchaser’s rights to indemnification or repurchase of Mortgage Loans and/or Servicing Rights, as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320" w:top="1221"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Article IV</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17" w:lineRule="exact"/>
        <w:rPr>
          <w:sz w:val="20"/>
          <w:szCs w:val="20"/>
          <w:color w:val="auto"/>
        </w:rPr>
      </w:pPr>
    </w:p>
    <w:p>
      <w:pPr>
        <w:jc w:val="both"/>
        <w:ind w:firstLine="545"/>
        <w:spacing w:after="0" w:line="259" w:lineRule="auto"/>
        <w:rPr>
          <w:sz w:val="20"/>
          <w:szCs w:val="20"/>
          <w:color w:val="auto"/>
        </w:rPr>
      </w:pPr>
      <w:r>
        <w:rPr>
          <w:rFonts w:ascii="Arial" w:cs="Arial" w:eastAsia="Arial" w:hAnsi="Arial"/>
          <w:sz w:val="18"/>
          <w:szCs w:val="18"/>
          <w:color w:val="auto"/>
        </w:rPr>
        <w:t xml:space="preserve">As an inducement to Purchaser to enter into this Agreement and to consummate the Transaction, Seller represents and warrants as follows (it being understood that, unless otherwise expressly provided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each such representation and warranty is made by Seller as of the Effective Date, the Sale Date and, other than with respect to </w:t>
      </w:r>
      <w:r>
        <w:rPr>
          <w:rFonts w:ascii="Arial" w:cs="Arial" w:eastAsia="Arial" w:hAnsi="Arial"/>
          <w:sz w:val="18"/>
          <w:szCs w:val="18"/>
          <w:u w:val="single" w:color="auto"/>
          <w:color w:val="auto"/>
        </w:rPr>
        <w:t>Sections 4.7</w:t>
      </w:r>
      <w:r>
        <w:rPr>
          <w:rFonts w:ascii="Arial" w:cs="Arial" w:eastAsia="Arial" w:hAnsi="Arial"/>
          <w:sz w:val="18"/>
          <w:szCs w:val="18"/>
          <w:color w:val="auto"/>
        </w:rPr>
        <w:t xml:space="preserve">, </w:t>
      </w:r>
      <w:r>
        <w:rPr>
          <w:rFonts w:ascii="Arial" w:cs="Arial" w:eastAsia="Arial" w:hAnsi="Arial"/>
          <w:sz w:val="18"/>
          <w:szCs w:val="18"/>
          <w:u w:val="single" w:color="auto"/>
          <w:color w:val="auto"/>
        </w:rPr>
        <w:t>4.9</w:t>
      </w:r>
      <w:r>
        <w:rPr>
          <w:rFonts w:ascii="Arial" w:cs="Arial" w:eastAsia="Arial" w:hAnsi="Arial"/>
          <w:sz w:val="18"/>
          <w:szCs w:val="18"/>
          <w:color w:val="auto"/>
        </w:rPr>
        <w:t xml:space="preserve">, </w:t>
      </w:r>
      <w:r>
        <w:rPr>
          <w:rFonts w:ascii="Arial" w:cs="Arial" w:eastAsia="Arial" w:hAnsi="Arial"/>
          <w:sz w:val="18"/>
          <w:szCs w:val="18"/>
          <w:u w:val="single" w:color="auto"/>
          <w:color w:val="auto"/>
        </w:rPr>
        <w:t>4.11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4.12</w:t>
      </w:r>
      <w:r>
        <w:rPr>
          <w:rFonts w:ascii="Arial" w:cs="Arial" w:eastAsia="Arial" w:hAnsi="Arial"/>
          <w:sz w:val="18"/>
          <w:szCs w:val="18"/>
          <w:color w:val="auto"/>
        </w:rPr>
        <w:t>, the Transfer Date, and all of the representations and warranties of Seller contained herein shall survive the Sale Date and the Transfer Date, as applicable):</w:t>
      </w:r>
    </w:p>
    <w:p>
      <w:pPr>
        <w:spacing w:after="0" w:line="146" w:lineRule="exact"/>
        <w:rPr>
          <w:sz w:val="20"/>
          <w:szCs w:val="20"/>
          <w:color w:val="auto"/>
        </w:rPr>
      </w:pPr>
    </w:p>
    <w:p>
      <w:pPr>
        <w:jc w:val="both"/>
        <w:ind w:firstLine="545"/>
        <w:spacing w:after="0" w:line="294" w:lineRule="auto"/>
        <w:rPr>
          <w:sz w:val="20"/>
          <w:szCs w:val="20"/>
          <w:color w:val="auto"/>
        </w:rPr>
      </w:pPr>
      <w:r>
        <w:rPr>
          <w:rFonts w:ascii="Arial" w:cs="Arial" w:eastAsia="Arial" w:hAnsi="Arial"/>
          <w:sz w:val="16"/>
          <w:szCs w:val="16"/>
          <w:b w:val="1"/>
          <w:bCs w:val="1"/>
          <w:color w:val="auto"/>
        </w:rPr>
        <w:t xml:space="preserve">Section IV.1 </w:t>
      </w:r>
      <w:r>
        <w:rPr>
          <w:rFonts w:ascii="Arial" w:cs="Arial" w:eastAsia="Arial" w:hAnsi="Arial"/>
          <w:sz w:val="16"/>
          <w:szCs w:val="16"/>
          <w:b w:val="1"/>
          <w:bCs w:val="1"/>
          <w:u w:val="single" w:color="auto"/>
          <w:color w:val="auto"/>
        </w:rPr>
        <w:t>Due Organization and Good 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Seller is a limited liability company, duly organized, validly existing, and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standing under the laws of the State of Delaware. Seller and its employees, agents and other personnel have, and at all relevant times have had, in full force and effect (without notice of possible suspension, revocation or impairment) all required qualifications, permits, approvals, licenses, and registrations to conduct all activities in all states in which their activities with respect to the Mortgage Loans or the related Servicing Rights require them to have such qualifications, permits, approvals, licenses, and registrations, except where the failure of Seller to possess such qualifications, permits, approvals, licenses, and registrations would not have a material adverse effect on Purchaser or Seller’s ability to perform any of its obligations hereunder.</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ind w:left="540"/>
              <w:spacing w:after="0"/>
              <w:rPr>
                <w:sz w:val="20"/>
                <w:szCs w:val="20"/>
                <w:color w:val="auto"/>
              </w:rPr>
            </w:pPr>
            <w:r>
              <w:rPr>
                <w:rFonts w:ascii="Arial" w:cs="Arial" w:eastAsia="Arial" w:hAnsi="Arial"/>
                <w:sz w:val="18"/>
                <w:szCs w:val="18"/>
                <w:b w:val="1"/>
                <w:bCs w:val="1"/>
                <w:color w:val="auto"/>
              </w:rPr>
              <w:t>Section IV.2</w:t>
            </w:r>
          </w:p>
        </w:tc>
        <w:tc>
          <w:tcPr>
            <w:tcW w:w="9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 xml:space="preserve">Authority and Capacity. </w:t>
            </w:r>
            <w:r>
              <w:rPr>
                <w:rFonts w:ascii="Arial" w:cs="Arial" w:eastAsia="Arial" w:hAnsi="Arial"/>
                <w:sz w:val="18"/>
                <w:szCs w:val="18"/>
                <w:color w:val="auto"/>
                <w:w w:val="96"/>
              </w:rPr>
              <w:t>Seller has all requisite limited liability company or other applicable power, authority and capacity to</w:t>
            </w:r>
          </w:p>
        </w:tc>
      </w:tr>
      <w:tr>
        <w:trPr>
          <w:trHeight w:val="20"/>
        </w:trPr>
        <w:tc>
          <w:tcPr>
            <w:tcW w:w="16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8"/>
        </w:trPr>
        <w:tc>
          <w:tcPr>
            <w:tcW w:w="11260" w:type="dxa"/>
            <w:vAlign w:val="bottom"/>
            <w:gridSpan w:val="4"/>
          </w:tcPr>
          <w:p>
            <w:pPr>
              <w:spacing w:after="0"/>
              <w:rPr>
                <w:sz w:val="20"/>
                <w:szCs w:val="20"/>
                <w:color w:val="auto"/>
              </w:rPr>
            </w:pPr>
            <w:r>
              <w:rPr>
                <w:rFonts w:ascii="Arial" w:cs="Arial" w:eastAsia="Arial" w:hAnsi="Arial"/>
                <w:sz w:val="18"/>
                <w:szCs w:val="18"/>
                <w:color w:val="auto"/>
              </w:rPr>
              <w:t>carry on its business as it is now being conducted, to execute and deliver this Agreement and to perform all of its obligations hereunder.</w:t>
            </w:r>
          </w:p>
        </w:tc>
      </w:tr>
      <w:tr>
        <w:trPr>
          <w:trHeight w:val="354"/>
        </w:trPr>
        <w:tc>
          <w:tcPr>
            <w:tcW w:w="1680" w:type="dxa"/>
            <w:vAlign w:val="bottom"/>
          </w:tcPr>
          <w:p>
            <w:pPr>
              <w:ind w:left="540"/>
              <w:spacing w:after="0"/>
              <w:rPr>
                <w:sz w:val="20"/>
                <w:szCs w:val="20"/>
                <w:color w:val="auto"/>
              </w:rPr>
            </w:pPr>
            <w:r>
              <w:rPr>
                <w:rFonts w:ascii="Arial" w:cs="Arial" w:eastAsia="Arial" w:hAnsi="Arial"/>
                <w:sz w:val="18"/>
                <w:szCs w:val="18"/>
                <w:b w:val="1"/>
                <w:bCs w:val="1"/>
                <w:color w:val="auto"/>
              </w:rPr>
              <w:t>Section IV.3</w:t>
            </w:r>
          </w:p>
        </w:tc>
        <w:tc>
          <w:tcPr>
            <w:tcW w:w="9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 xml:space="preserve">Effective Agreement. </w:t>
            </w:r>
            <w:r>
              <w:rPr>
                <w:rFonts w:ascii="Arial" w:cs="Arial" w:eastAsia="Arial" w:hAnsi="Arial"/>
                <w:sz w:val="18"/>
                <w:szCs w:val="18"/>
                <w:color w:val="auto"/>
                <w:w w:val="92"/>
              </w:rPr>
              <w:t>The execution, delivery and performance of this Agreement by Seller and consummation of the Transaction</w:t>
            </w:r>
          </w:p>
        </w:tc>
      </w:tr>
      <w:tr>
        <w:trPr>
          <w:trHeight w:val="20"/>
        </w:trPr>
        <w:tc>
          <w:tcPr>
            <w:tcW w:w="1680" w:type="dxa"/>
            <w:vAlign w:val="bottom"/>
            <w:tcBorders>
              <w:right w:val="single" w:sz="8" w:color="auto"/>
            </w:tcBorders>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has been duly and validly authorized by all necessary corporate or other action; this Agreement has been duly and validly executed and delivered by Seller, and this Agreement is a valid and legally binding agreement of Seller enforceable against Seller in accordance with its terms, subject to bankruptcy, insolvency and similar laws affecting generally the enforcement of creditors’ rights and the discretion of a court to grant specific performance.</w:t>
      </w:r>
    </w:p>
    <w:p>
      <w:pPr>
        <w:spacing w:after="0" w:line="107" w:lineRule="exact"/>
        <w:rPr>
          <w:sz w:val="20"/>
          <w:szCs w:val="20"/>
          <w:color w:val="auto"/>
        </w:rPr>
      </w:pPr>
    </w:p>
    <w:p>
      <w:pPr>
        <w:jc w:val="both"/>
        <w:ind w:firstLine="545"/>
        <w:spacing w:after="0" w:line="255" w:lineRule="auto"/>
        <w:rPr>
          <w:sz w:val="20"/>
          <w:szCs w:val="20"/>
          <w:color w:val="auto"/>
        </w:rPr>
      </w:pPr>
      <w:r>
        <w:rPr>
          <w:rFonts w:ascii="Arial" w:cs="Arial" w:eastAsia="Arial" w:hAnsi="Arial"/>
          <w:sz w:val="18"/>
          <w:szCs w:val="18"/>
          <w:b w:val="1"/>
          <w:bCs w:val="1"/>
          <w:color w:val="auto"/>
        </w:rPr>
        <w:t xml:space="preserve">Section IV.4 </w:t>
      </w:r>
      <w:r>
        <w:rPr>
          <w:rFonts w:ascii="Arial" w:cs="Arial" w:eastAsia="Arial" w:hAnsi="Arial"/>
          <w:sz w:val="18"/>
          <w:szCs w:val="18"/>
          <w:b w:val="1"/>
          <w:bCs w:val="1"/>
          <w:u w:val="single" w:color="auto"/>
          <w:color w:val="auto"/>
        </w:rPr>
        <w:t>No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execution and delivery of this Agreement nor the consummation of the Transaction, nor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terms and conditions, shall (a) violate, conflict with, result in the breach of, constitute a default under, be prohibited by, or require any additional approval (except as shall have been obtained or made as of the Transfer Date) under any of the terms, conditions or provisions of (i) the certificate of formation, the limited liability company agreement and other organizational documents of Seller, (ii) any mortgage, indenture, deed of trust, loan or credit agreement or other agreement or instrument to which Seller is now a party or by which Seller is bound, or (iii) any law, ordinance, rule or regulation of any governmental authority applicable to Seller, or any order, judgment or decree of any court or governmental authority applicable to Seller, except as would not have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320" w:top="1433" w:right="319" w:bottom="1440" w:gutter="0" w:footer="0" w:header="0"/>
        </w:sectPr>
      </w:pPr>
    </w:p>
    <w:bookmarkStart w:id="138" w:name="page139"/>
    <w:bookmarkEnd w:id="138"/>
    <w:p>
      <w:pPr>
        <w:jc w:val="both"/>
        <w:spacing w:after="0" w:line="309" w:lineRule="auto"/>
        <w:rPr>
          <w:sz w:val="20"/>
          <w:szCs w:val="20"/>
          <w:color w:val="auto"/>
        </w:rPr>
      </w:pPr>
      <w:r>
        <w:rPr>
          <w:rFonts w:ascii="Arial" w:cs="Arial" w:eastAsia="Arial" w:hAnsi="Arial"/>
          <w:sz w:val="17"/>
          <w:szCs w:val="17"/>
          <w:color w:val="auto"/>
        </w:rPr>
        <w:t>adverse effect on the Mortgage Loans, taken as a whole, or the value of the Servicing Rights, taken as a whole; or (b) result in the creation or imposition of any lien, charge or encumbrance of any nature upon, the Servicing Rights or any of the Mortgage Loans except as created hereby.</w:t>
      </w:r>
    </w:p>
    <w:p>
      <w:pPr>
        <w:spacing w:after="0" w:line="105" w:lineRule="exact"/>
        <w:rPr>
          <w:sz w:val="20"/>
          <w:szCs w:val="20"/>
          <w:color w:val="auto"/>
        </w:rPr>
      </w:pPr>
    </w:p>
    <w:p>
      <w:pPr>
        <w:jc w:val="both"/>
        <w:ind w:firstLine="545"/>
        <w:spacing w:after="0" w:line="256" w:lineRule="auto"/>
        <w:rPr>
          <w:sz w:val="20"/>
          <w:szCs w:val="20"/>
          <w:color w:val="auto"/>
        </w:rPr>
      </w:pPr>
      <w:r>
        <w:rPr>
          <w:rFonts w:ascii="Arial" w:cs="Arial" w:eastAsia="Arial" w:hAnsi="Arial"/>
          <w:sz w:val="18"/>
          <w:szCs w:val="18"/>
          <w:b w:val="1"/>
          <w:bCs w:val="1"/>
          <w:color w:val="auto"/>
        </w:rPr>
        <w:t xml:space="preserve">Section IV.5 </w:t>
      </w:r>
      <w:r>
        <w:rPr>
          <w:rFonts w:ascii="Arial" w:cs="Arial" w:eastAsia="Arial" w:hAnsi="Arial"/>
          <w:sz w:val="18"/>
          <w:szCs w:val="18"/>
          <w:b w:val="1"/>
          <w:bCs w:val="1"/>
          <w:u w:val="single" w:color="auto"/>
          <w:color w:val="auto"/>
        </w:rPr>
        <w:t>Consents, Approvals and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Investor Consents, there is no requirement applicable to Seller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with, or to obtain any permit, authorization, consent or approval of, any Person as a condition to the lawful performance by Seller of its obligations hereunder. Seller is approved and in good standing as a seller and servicer with the Investors, and is in good standing with each Insurer relating to a PMI Policy. Seller is in compliance with, and is not in default under, any law, ordinance, requirement, regulation, rule, or order applicable to its business or properties, the violation of which would reasonably be expected to materially and adversely affect the Servicing Rights, the operations or financial condition of Seller or its ability to perform its obligations hereunder.</w:t>
      </w:r>
    </w:p>
    <w:p>
      <w:pPr>
        <w:spacing w:after="0" w:line="150"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IV.6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no litigation, claim, demand, proceeding or governmental investigation existing, pending or, to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threatened, or any order, injunction or decree outstanding, against or relating to Seller that would reasonably be expected to materially and adversely affect the Servicing Rights, the Mortgage Loans or the performance by Seller of its obligations under the Servicing Agreements or the performance by Seller of its obligations under this Agreement.</w:t>
      </w:r>
    </w:p>
    <w:p>
      <w:pPr>
        <w:spacing w:after="0" w:line="143"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IV.7 </w:t>
      </w:r>
      <w:r>
        <w:rPr>
          <w:rFonts w:ascii="Arial" w:cs="Arial" w:eastAsia="Arial" w:hAnsi="Arial"/>
          <w:sz w:val="18"/>
          <w:szCs w:val="18"/>
          <w:b w:val="1"/>
          <w:bCs w:val="1"/>
          <w:u w:val="single" w:color="auto"/>
          <w:color w:val="auto"/>
        </w:rPr>
        <w:t>Bulk Sales</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 assignment and conveyance of the Servicing Rights by Seller pursuant to this Agreement is not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Hart-Scott-Rodino Antitrust Improvements Act, or the bulk transfer or any similar statutory provisions in effect in any jurisdiction, the laws of which apply to such transfer, assignment and conveyance.</w:t>
      </w:r>
    </w:p>
    <w:p>
      <w:pPr>
        <w:spacing w:after="0" w:line="140"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IV.8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Errors and omissions and fidelity insurance coverage, in amounts as required by Applicable Requirements, are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Seller and will be maintained until the Transfer Date contemplated by this Agreement has been consummated in accordance with terms hereof.</w:t>
      </w:r>
    </w:p>
    <w:p>
      <w:pPr>
        <w:spacing w:after="0" w:line="140" w:lineRule="exact"/>
        <w:rPr>
          <w:sz w:val="20"/>
          <w:szCs w:val="20"/>
          <w:color w:val="auto"/>
        </w:rPr>
      </w:pPr>
    </w:p>
    <w:p>
      <w:pPr>
        <w:jc w:val="both"/>
        <w:ind w:firstLine="545"/>
        <w:spacing w:after="0" w:line="258" w:lineRule="auto"/>
        <w:rPr>
          <w:sz w:val="20"/>
          <w:szCs w:val="20"/>
          <w:color w:val="auto"/>
        </w:rPr>
      </w:pPr>
      <w:r>
        <w:rPr>
          <w:rFonts w:ascii="Arial" w:cs="Arial" w:eastAsia="Arial" w:hAnsi="Arial"/>
          <w:sz w:val="18"/>
          <w:szCs w:val="18"/>
          <w:b w:val="1"/>
          <w:bCs w:val="1"/>
          <w:color w:val="auto"/>
        </w:rPr>
        <w:t xml:space="preserve">Section IV.9 </w:t>
      </w: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All financial statements provided by Seller to Purchaser fairly present the pertinent results of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financial position at the end of each such period of Seller and its subsidiaries and have been prepared in accordance with generally accepted accounting principles consistently applied throughout the periods involved, except as set forth in the notes thereto. There has been no change in the business, operations, financial condition, properties or assets of Seller since the date of Seller’s financial statements that would have a material adverse effect on its ability to perform its obligations under this Agreement.</w:t>
      </w:r>
    </w:p>
    <w:p>
      <w:pPr>
        <w:spacing w:after="0" w:line="147"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IV.10 </w:t>
      </w:r>
      <w:r>
        <w:rPr>
          <w:rFonts w:ascii="Arial" w:cs="Arial" w:eastAsia="Arial" w:hAnsi="Arial"/>
          <w:sz w:val="18"/>
          <w:szCs w:val="18"/>
          <w:b w:val="1"/>
          <w:bCs w:val="1"/>
          <w:u w:val="single" w:color="auto"/>
          <w:color w:val="auto"/>
        </w:rPr>
        <w:t>Ability to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condition of Seller is adequate to support the performance by Seller on a timely basis of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indemnification, repurchase and other obligations under this Agreement. Seller does not believe, nor does it have any reason or cause to believe, that it cannot perform each and every covenant contained in this Agreement. Seller is solvent and the sale of the Servicing Rights will not cause Seller to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320" w:top="1221" w:right="3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insolvent. The sale of the Servicing Rights is not undertaken to hinder, delay or defraud any of Seller’s creditors.</w:t>
      </w:r>
    </w:p>
    <w:p>
      <w:pPr>
        <w:spacing w:after="0" w:line="186"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color w:val="auto"/>
        </w:rPr>
        <w:t xml:space="preserve">Section IV.11 </w:t>
      </w:r>
      <w:r>
        <w:rPr>
          <w:rFonts w:ascii="Arial" w:cs="Arial" w:eastAsia="Arial" w:hAnsi="Arial"/>
          <w:sz w:val="18"/>
          <w:szCs w:val="18"/>
          <w:b w:val="1"/>
          <w:bCs w:val="1"/>
          <w:u w:val="single" w:color="auto"/>
          <w:color w:val="auto"/>
        </w:rPr>
        <w:t>Sale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Seller intends that the disposition of the Servicing Rights pursuant to this Agreement will be afforded sale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for accounting and tax purposes.</w:t>
      </w:r>
    </w:p>
    <w:p>
      <w:pPr>
        <w:spacing w:after="0" w:line="125"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IV.12 </w:t>
      </w:r>
      <w:r>
        <w:rPr>
          <w:rFonts w:ascii="Arial" w:cs="Arial" w:eastAsia="Arial" w:hAnsi="Arial"/>
          <w:sz w:val="18"/>
          <w:szCs w:val="18"/>
          <w:b w:val="1"/>
          <w:bCs w:val="1"/>
          <w:u w:val="single" w:color="auto"/>
          <w:color w:val="auto"/>
        </w:rPr>
        <w:t>Fair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consideration received by Seller upon the sale of the Servicing Rights under this Agreement constitutes</w:t>
      </w:r>
      <w:r>
        <w:rPr>
          <w:rFonts w:ascii="Arial" w:cs="Arial" w:eastAsia="Arial" w:hAnsi="Arial"/>
          <w:sz w:val="18"/>
          <w:szCs w:val="18"/>
          <w:b w:val="1"/>
          <w:bCs w:val="1"/>
          <w:color w:val="auto"/>
        </w:rPr>
        <w:t xml:space="preserve"> </w:t>
      </w:r>
      <w:r>
        <w:rPr>
          <w:rFonts w:ascii="Arial" w:cs="Arial" w:eastAsia="Arial" w:hAnsi="Arial"/>
          <w:sz w:val="18"/>
          <w:szCs w:val="18"/>
          <w:color w:val="auto"/>
        </w:rPr>
        <w:t>fair consideration and reasonably equivalent value for the Servicing Rights.</w:t>
      </w:r>
    </w:p>
    <w:p>
      <w:pPr>
        <w:spacing w:after="0" w:line="125"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IV.13 </w:t>
      </w:r>
      <w:r>
        <w:rPr>
          <w:rFonts w:ascii="Arial" w:cs="Arial" w:eastAsia="Arial" w:hAnsi="Arial"/>
          <w:sz w:val="18"/>
          <w:szCs w:val="18"/>
          <w:b w:val="1"/>
          <w:bCs w:val="1"/>
          <w:u w:val="single" w:color="auto"/>
          <w:color w:val="auto"/>
        </w:rPr>
        <w:t>No Accrued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accrued liabilities of Seller with respect to the Mortgage Loans, the Servicing Rights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or circumstances under which such accrued liabilities will arise against Purchaser as successor to the Servicing Rights or the Servicing, with respect to defaults of Seller’s obligations prior to the Sale Date.</w:t>
      </w:r>
    </w:p>
    <w:p>
      <w:pPr>
        <w:spacing w:after="0" w:line="140"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IV.14 </w:t>
      </w:r>
      <w:r>
        <w:rPr>
          <w:rFonts w:ascii="Arial" w:cs="Arial" w:eastAsia="Arial" w:hAnsi="Arial"/>
          <w:sz w:val="18"/>
          <w:szCs w:val="18"/>
          <w:b w:val="1"/>
          <w:bCs w:val="1"/>
          <w:u w:val="single" w:color="auto"/>
          <w:color w:val="auto"/>
        </w:rPr>
        <w:t>Audits</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date that is three (3) years prior to the Effective Date, Seller has not been the subject of an audit by an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any Agency, or any Insurer, which audit found a material failure to comply with Applicable Requirements and which such failure would have a material and adverse effect on the Servicing Rights or Mortgage Loans.</w:t>
      </w:r>
    </w:p>
    <w:p>
      <w:pPr>
        <w:spacing w:after="0" w:line="140"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IV.15 </w:t>
      </w:r>
      <w:r>
        <w:rPr>
          <w:rFonts w:ascii="Arial" w:cs="Arial" w:eastAsia="Arial" w:hAnsi="Arial"/>
          <w:sz w:val="18"/>
          <w:szCs w:val="18"/>
          <w:b w:val="1"/>
          <w:bCs w:val="1"/>
          <w:u w:val="single" w:color="auto"/>
          <w:color w:val="auto"/>
        </w:rPr>
        <w:t>No Regulatory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Sale Date, there are no contracts, settlement agreements, stipulations, awards, or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orders entered into with or issued by any governmental authority or other party affecting the Servicing Rights or the servicing of the Mortgage Loans to which Purchaser is or will be bound by or to nor shall Seller enter into any such contracts, settlement agreements, stipulations, awards, or consent orders to which Purchaser will be bound by or to following the Sale Date without the consent of Purchaser.</w:t>
      </w:r>
    </w:p>
    <w:p>
      <w:pPr>
        <w:spacing w:after="0" w:line="143"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IV.16 </w:t>
      </w:r>
      <w:r>
        <w:rPr>
          <w:rFonts w:ascii="Arial" w:cs="Arial" w:eastAsia="Arial" w:hAnsi="Arial"/>
          <w:sz w:val="18"/>
          <w:szCs w:val="18"/>
          <w:b w:val="1"/>
          <w:bCs w:val="1"/>
          <w:u w:val="single" w:color="auto"/>
          <w:color w:val="auto"/>
        </w:rPr>
        <w:t>Facts and Omissions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No representation, warranty or written statement made by Seller in this Agreement, in any Exhibit or</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to this Agreement, in the Electronic Data Files and Mortgage Loan Schedules provided by Seller to Purchaser hereunder, contains or will contain any material misstatement of fact or will omit to state a material fact necessary in order to make the statements in light of the circumstances in which they are made not misleading.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REPRESENTATIONS AND WARRANTIES OF SELLER REGARDING THE MORTGAGE LOANS AND SERVICING RIGHTS</w:t>
      </w:r>
    </w:p>
    <w:p>
      <w:pPr>
        <w:spacing w:after="0" w:line="217" w:lineRule="exact"/>
        <w:rPr>
          <w:sz w:val="20"/>
          <w:szCs w:val="20"/>
          <w:color w:val="auto"/>
        </w:rPr>
      </w:pPr>
    </w:p>
    <w:p>
      <w:pPr>
        <w:jc w:val="both"/>
        <w:ind w:firstLine="545"/>
        <w:spacing w:after="0" w:line="259" w:lineRule="auto"/>
        <w:rPr>
          <w:sz w:val="20"/>
          <w:szCs w:val="20"/>
          <w:color w:val="auto"/>
        </w:rPr>
      </w:pPr>
      <w:r>
        <w:rPr>
          <w:rFonts w:ascii="Arial" w:cs="Arial" w:eastAsia="Arial" w:hAnsi="Arial"/>
          <w:sz w:val="18"/>
          <w:szCs w:val="18"/>
          <w:color w:val="auto"/>
        </w:rPr>
        <w:t xml:space="preserve">As an inducement to Purchaser to enter into this Agreement and to consummate the Transaction, Seller represents and warrants as follows as of the Sale Date, or such other date as expressly provided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in the case of the representations and warranties in </w:t>
      </w:r>
      <w:r>
        <w:rPr>
          <w:rFonts w:ascii="Arial" w:cs="Arial" w:eastAsia="Arial" w:hAnsi="Arial"/>
          <w:sz w:val="18"/>
          <w:szCs w:val="18"/>
          <w:u w:val="single" w:color="auto"/>
          <w:color w:val="auto"/>
        </w:rPr>
        <w:t>Sections 5.1(b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(cc)</w:t>
      </w:r>
      <w:r>
        <w:rPr>
          <w:rFonts w:ascii="Arial" w:cs="Arial" w:eastAsia="Arial" w:hAnsi="Arial"/>
          <w:sz w:val="18"/>
          <w:szCs w:val="18"/>
          <w:color w:val="auto"/>
        </w:rPr>
        <w:t xml:space="preserve">, </w:t>
      </w:r>
      <w:r>
        <w:rPr>
          <w:rFonts w:ascii="Arial" w:cs="Arial" w:eastAsia="Arial" w:hAnsi="Arial"/>
          <w:sz w:val="18"/>
          <w:szCs w:val="18"/>
          <w:u w:val="single" w:color="auto"/>
          <w:color w:val="auto"/>
        </w:rPr>
        <w:t>(dd)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(oo)</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only, as of the Transfer Date, and all of the representations and warranties of Seller contained herein shall survive the Sale Date and the Transfer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320" w:top="1221" w:right="319" w:bottom="1440" w:gutter="0" w:footer="0" w:header="0"/>
        </w:sectPr>
      </w:pPr>
    </w:p>
    <w:bookmarkStart w:id="140" w:name="page141"/>
    <w:bookmarkEnd w:id="140"/>
    <w:p>
      <w:pPr>
        <w:ind w:left="360"/>
        <w:spacing w:after="0"/>
        <w:tabs>
          <w:tab w:leader="none" w:pos="1460" w:val="left"/>
        </w:tabs>
        <w:rPr>
          <w:sz w:val="20"/>
          <w:szCs w:val="20"/>
          <w:color w:val="auto"/>
        </w:rPr>
      </w:pPr>
      <w:r>
        <w:rPr>
          <w:rFonts w:ascii="Arial" w:cs="Arial" w:eastAsia="Arial" w:hAnsi="Arial"/>
          <w:sz w:val="18"/>
          <w:szCs w:val="18"/>
          <w:b w:val="1"/>
          <w:bCs w:val="1"/>
          <w:color w:val="auto"/>
        </w:rPr>
        <w:t>Section V.1</w:t>
      </w:r>
      <w:r>
        <w:rPr>
          <w:sz w:val="20"/>
          <w:szCs w:val="20"/>
          <w:color w:val="auto"/>
        </w:rPr>
        <w:tab/>
      </w:r>
      <w:r>
        <w:rPr>
          <w:rFonts w:ascii="Arial" w:cs="Arial" w:eastAsia="Arial" w:hAnsi="Arial"/>
          <w:sz w:val="16"/>
          <w:szCs w:val="16"/>
          <w:b w:val="1"/>
          <w:bCs w:val="1"/>
          <w:u w:val="single" w:color="auto"/>
          <w:color w:val="auto"/>
        </w:rPr>
        <w:t>Mortgage Loans and Servicing Rights</w:t>
      </w:r>
      <w:r>
        <w:rPr>
          <w:rFonts w:ascii="Arial" w:cs="Arial" w:eastAsia="Arial" w:hAnsi="Arial"/>
          <w:sz w:val="16"/>
          <w:szCs w:val="16"/>
          <w:color w:val="auto"/>
        </w:rPr>
        <w:t>.</w:t>
      </w:r>
    </w:p>
    <w:p>
      <w:pPr>
        <w:spacing w:after="0" w:line="194" w:lineRule="exact"/>
        <w:rPr>
          <w:sz w:val="20"/>
          <w:szCs w:val="20"/>
          <w:color w:val="auto"/>
        </w:rPr>
      </w:pPr>
    </w:p>
    <w:p>
      <w:pPr>
        <w:jc w:val="both"/>
        <w:ind w:left="-180" w:firstLine="1080"/>
        <w:spacing w:after="0" w:line="254" w:lineRule="auto"/>
        <w:tabs>
          <w:tab w:leader="none" w:pos="145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General Compliance</w:t>
      </w:r>
      <w:r>
        <w:rPr>
          <w:rFonts w:ascii="Arial" w:cs="Arial" w:eastAsia="Arial" w:hAnsi="Arial"/>
          <w:sz w:val="18"/>
          <w:szCs w:val="18"/>
          <w:color w:val="auto"/>
        </w:rPr>
        <w:t>. Each Mortgage Loan and the related Servicing Rights conform in all material respects to Applicable Requirements, and each Mortgage Loan was eligible for sale to, insurance by, or pooling to back securities issued or guaranteed by, an Investor and applicable Agency, and/or Insurer upon such sale, issuance of insurance or pooling. Each Mortgage Loan has been originated, underwritten, closed, funded, sold, pooled and serviced in compliance with all Applicable Requirements. Seller is not otherwise in default with respect to Seller’s obligations under the applicable Servicing Agreement or Applicable Requirements. Each Servicing Agreement provides for non-recourse servicing and no Servicing Agreement contains any provisions that would reasonably be expected to impose upon the Servicer any obligations or restrictions, e.g., foreclosure or loan modification restrictions, in addition to those typically imposed upon servicers of standard Investor servicing rights that would apply to Purchaser as the transferee of the Servicing Rights.</w:t>
      </w:r>
    </w:p>
    <w:p>
      <w:pPr>
        <w:spacing w:after="0" w:line="153" w:lineRule="exact"/>
        <w:rPr>
          <w:rFonts w:ascii="Arial" w:cs="Arial" w:eastAsia="Arial" w:hAnsi="Arial"/>
          <w:sz w:val="18"/>
          <w:szCs w:val="18"/>
          <w:color w:val="auto"/>
        </w:rPr>
      </w:pPr>
    </w:p>
    <w:p>
      <w:pPr>
        <w:jc w:val="both"/>
        <w:ind w:left="-180" w:firstLine="1080"/>
        <w:spacing w:after="0" w:line="255" w:lineRule="auto"/>
        <w:tabs>
          <w:tab w:leader="none" w:pos="145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Mortgage Loans as Described</w:t>
      </w:r>
      <w:r>
        <w:rPr>
          <w:rFonts w:ascii="Arial" w:cs="Arial" w:eastAsia="Arial" w:hAnsi="Arial"/>
          <w:sz w:val="18"/>
          <w:szCs w:val="18"/>
          <w:color w:val="auto"/>
        </w:rPr>
        <w:t>. The information set forth in the Mortgage Loan Schedule and Offering Information, contained in each Mortgage File, or contained in any Electronic Data File, and all other information provided by or on behalf of Seller with respect to the Servicing Rights and the related Mortgage Loans, including all information regarding Advances, is true, correct and complete in all material respects, as of the date provided or indicated therein. The Servicing Rights and the related Mortgage Loans satisfy and are in conformance with the specifications, restrictions and assumptions contained in this Agreement. Except as identified on the Mortgage Loan Schedule, no Mortgage Loan is a Bankruptcy Loan, Foreclosure Loan, Litigation Loan or CARES Act Forbearance Loan.</w:t>
      </w:r>
    </w:p>
    <w:p>
      <w:pPr>
        <w:spacing w:after="0" w:line="155" w:lineRule="exact"/>
        <w:rPr>
          <w:rFonts w:ascii="Arial" w:cs="Arial" w:eastAsia="Arial" w:hAnsi="Arial"/>
          <w:sz w:val="18"/>
          <w:szCs w:val="18"/>
          <w:color w:val="auto"/>
        </w:rPr>
      </w:pPr>
    </w:p>
    <w:p>
      <w:pPr>
        <w:jc w:val="both"/>
        <w:ind w:left="-180" w:firstLine="1080"/>
        <w:spacing w:after="0" w:line="264" w:lineRule="auto"/>
        <w:tabs>
          <w:tab w:leader="none" w:pos="145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Payments Current</w:t>
      </w:r>
      <w:r>
        <w:rPr>
          <w:rFonts w:ascii="Arial" w:cs="Arial" w:eastAsia="Arial" w:hAnsi="Arial"/>
          <w:sz w:val="18"/>
          <w:szCs w:val="18"/>
          <w:color w:val="auto"/>
        </w:rPr>
        <w:t>. Except as set forth on the Mortgage Loan Schedule, all payments required to be made on or prior to the Sale Date for the Mortgage Loan under the terms of the Mortgage Note have been made and credited, and all monies received with respect to each Mortgage Loan have been properly accounted for, and if required under Applicable Requirements, applied.</w:t>
      </w:r>
    </w:p>
    <w:p>
      <w:pPr>
        <w:spacing w:after="0" w:line="145" w:lineRule="exact"/>
        <w:rPr>
          <w:rFonts w:ascii="Arial" w:cs="Arial" w:eastAsia="Arial" w:hAnsi="Arial"/>
          <w:sz w:val="18"/>
          <w:szCs w:val="18"/>
          <w:color w:val="auto"/>
        </w:rPr>
      </w:pPr>
    </w:p>
    <w:p>
      <w:pPr>
        <w:jc w:val="both"/>
        <w:ind w:left="-180" w:firstLine="1080"/>
        <w:spacing w:after="0" w:line="293" w:lineRule="auto"/>
        <w:tabs>
          <w:tab w:leader="none" w:pos="145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Outstanding Charges</w:t>
      </w:r>
      <w:r>
        <w:rPr>
          <w:rFonts w:ascii="Arial" w:cs="Arial" w:eastAsia="Arial" w:hAnsi="Arial"/>
          <w:sz w:val="16"/>
          <w:szCs w:val="16"/>
          <w:color w:val="auto"/>
        </w:rPr>
        <w:t>. All taxes, governmental assessments, insurance premiums, water, sewer and municipal charges, leasehold payments or ground rents which previously became due and owing have been paid or an escrow of funds has been established in an amount sufficient to pay for every such item which remains unpaid and which has been assessed but is not yet due and payable. Seller has not advanced funds, or induced, solicited or knowingly received any advance of funds by a party other than the Mortgagor, directly or indirectly, for the payment of any amount required under the Mortgage Loan, except for interest accruing from the date of the Mortgage Note or date of disbursement of the Mortgage Loan proceeds, whichever is earlier, to the day which precedes by one month the due date of the first installment of principal and interest.</w:t>
      </w:r>
    </w:p>
    <w:p>
      <w:pPr>
        <w:spacing w:after="0" w:line="127" w:lineRule="exact"/>
        <w:rPr>
          <w:rFonts w:ascii="Arial" w:cs="Arial" w:eastAsia="Arial" w:hAnsi="Arial"/>
          <w:sz w:val="16"/>
          <w:szCs w:val="16"/>
          <w:color w:val="auto"/>
        </w:rPr>
      </w:pPr>
    </w:p>
    <w:p>
      <w:pPr>
        <w:jc w:val="both"/>
        <w:ind w:left="-180" w:firstLine="1080"/>
        <w:spacing w:after="0" w:line="264" w:lineRule="auto"/>
        <w:tabs>
          <w:tab w:leader="none" w:pos="145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Original Terms Unmodified</w:t>
      </w:r>
      <w:r>
        <w:rPr>
          <w:rFonts w:ascii="Arial" w:cs="Arial" w:eastAsia="Arial" w:hAnsi="Arial"/>
          <w:sz w:val="18"/>
          <w:szCs w:val="18"/>
          <w:color w:val="auto"/>
        </w:rPr>
        <w:t>. The terms of the Mortgage Note and Mortgage have not been impaired, waived, altered or modified in any respect, except by a written instrument which has been recorded, if required by Applicable Requirements, and which is contained in the Collateral Files. The substance of any such waiver, alteration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500" w:top="1217" w:right="319" w:bottom="1440" w:gutter="0" w:footer="0" w:header="0"/>
        </w:sectPr>
      </w:pPr>
    </w:p>
    <w:bookmarkStart w:id="141" w:name="page142"/>
    <w:bookmarkEnd w:id="141"/>
    <w:p>
      <w:pPr>
        <w:jc w:val="both"/>
        <w:spacing w:after="0" w:line="259" w:lineRule="auto"/>
        <w:rPr>
          <w:sz w:val="20"/>
          <w:szCs w:val="20"/>
          <w:color w:val="auto"/>
        </w:rPr>
      </w:pPr>
      <w:r>
        <w:rPr>
          <w:rFonts w:ascii="Arial" w:cs="Arial" w:eastAsia="Arial" w:hAnsi="Arial"/>
          <w:sz w:val="18"/>
          <w:szCs w:val="18"/>
          <w:color w:val="auto"/>
        </w:rPr>
        <w:t>has been approved, if required under Applicable Requirements, by an Investor and the applicable Insurer, and its terms are reflected on the Mortgage Loan Schedule. No Mortgagor has been released, in whole or in part, except in connection with an assumption agreement approved by the applicable Insurer, and which assumption agreement is part of the Collateral File delivered to the Document Custodian and the terms of which are reflected in the Mortgage Loan Schedule.</w:t>
      </w:r>
    </w:p>
    <w:p>
      <w:pPr>
        <w:spacing w:after="0" w:line="150" w:lineRule="exact"/>
        <w:rPr>
          <w:sz w:val="20"/>
          <w:szCs w:val="20"/>
          <w:color w:val="auto"/>
        </w:rPr>
      </w:pPr>
    </w:p>
    <w:p>
      <w:pPr>
        <w:jc w:val="both"/>
        <w:ind w:firstLine="1080"/>
        <w:spacing w:after="0" w:line="301" w:lineRule="auto"/>
        <w:tabs>
          <w:tab w:leader="none" w:pos="1634"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No Defenses</w:t>
      </w:r>
      <w:r>
        <w:rPr>
          <w:rFonts w:ascii="Arial" w:cs="Arial" w:eastAsia="Arial" w:hAnsi="Arial"/>
          <w:sz w:val="16"/>
          <w:szCs w:val="16"/>
          <w:color w:val="auto"/>
        </w:rPr>
        <w:t>. The Mortgage Loan is not subject to any right of rescission, set-off, counterclaim or defense, including the defense of usury, nor will the operation of any of the terms of the Mortgage Note or the Mortgage, or the exercise of any right thereunder, render either the Mortgage Note or the Mortgage unenforceable, in whole or in part, and no such right of rescission, set-off, counterclaim or defense has been asserted with respect thereto, and no Mortgagor was a debtor in any state or federal bankruptcy or insolvency proceeding at the time the Mortgage Loan was originated.</w:t>
      </w:r>
    </w:p>
    <w:p>
      <w:pPr>
        <w:spacing w:after="0" w:line="120" w:lineRule="exact"/>
        <w:rPr>
          <w:rFonts w:ascii="Arial" w:cs="Arial" w:eastAsia="Arial" w:hAnsi="Arial"/>
          <w:sz w:val="16"/>
          <w:szCs w:val="16"/>
          <w:color w:val="auto"/>
        </w:rPr>
      </w:pPr>
    </w:p>
    <w:p>
      <w:pPr>
        <w:jc w:val="both"/>
        <w:ind w:firstLine="1080"/>
        <w:spacing w:after="0" w:line="285" w:lineRule="auto"/>
        <w:tabs>
          <w:tab w:leader="none" w:pos="163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Hazard Insurance</w:t>
      </w:r>
      <w:r>
        <w:rPr>
          <w:rFonts w:ascii="Arial" w:cs="Arial" w:eastAsia="Arial" w:hAnsi="Arial"/>
          <w:sz w:val="16"/>
          <w:szCs w:val="16"/>
          <w:color w:val="auto"/>
        </w:rPr>
        <w:t>. Pursuant to the terms of the Mortgage, all buildings or other improvements upon the Mortgaged Property are insured by a Qualified Insurer against loss by fire, hazards of extended coverage and such other hazards as are customary in the area where the Mortgaged Property is located pursuant to insurance policies conforming to the requirements of the Investors. If the Mortgaged Property is in an area identified in the Federal Register by the Federal Emergency Management Agency as having special flood hazards (and such flood insurance has been made available), a flood insurance policy meeting the requirements of the current guidelines of the federal Flood Insurance Administration is in effect, which policy conforms to all Applicable Requirements. All individual insurance policies contain a standard mortgagee clause naming Originator and its successors and assigns as mortgagee, and all premiums thereon have been paid. Each Mortgage obligates the Mortgagor thereunder to maintain the hazard insurance policy at the Mortgagor’s cost and expense, and on the Mortgagor’s failure to do so, authorizes the holder of the Mortgage to obtain and maintain such insurance at such Mortgagor’s cost and expense, and to seek reimbursement of such cost and expense from the Mortgagor. Where required by state law or regulation, each Mortgagor has been given an opportunity to choose the carrier of the required hazard insurance, provided the policy is not a “master” or “blanket” hazard insurance policy covering the common facilities of a planned unit development. Each hazard insurance policy is the valid and binding obligation of the related Insurer, is in full force and effect, and will be in full force and effect and inure to the benefit of Purchaser upon the consummation of the Transaction. Seller has not engaged in, and has no knowledge of any Mortgagor’s having engaged in, any act or omission that would impair the coverage of any such policy, the benefits of the endorsement provided for herein, or the validity and binding effect of either, including no unlawful fee, commission, kickback or other unlawful compensation or value of any kind has been or will be received, retained or realized by any attorney, firm or other person or entity, and no such unlawful items have been received, retained or realized by Seller.</w:t>
      </w:r>
    </w:p>
    <w:p>
      <w:pPr>
        <w:spacing w:after="0" w:line="134" w:lineRule="exact"/>
        <w:rPr>
          <w:rFonts w:ascii="Arial" w:cs="Arial" w:eastAsia="Arial" w:hAnsi="Arial"/>
          <w:sz w:val="16"/>
          <w:szCs w:val="16"/>
          <w:color w:val="auto"/>
        </w:rPr>
      </w:pPr>
    </w:p>
    <w:p>
      <w:pPr>
        <w:jc w:val="both"/>
        <w:ind w:firstLine="1080"/>
        <w:spacing w:after="0" w:line="264" w:lineRule="auto"/>
        <w:tabs>
          <w:tab w:leader="none" w:pos="163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Requirements</w:t>
      </w:r>
      <w:r>
        <w:rPr>
          <w:rFonts w:ascii="Arial" w:cs="Arial" w:eastAsia="Arial" w:hAnsi="Arial"/>
          <w:sz w:val="18"/>
          <w:szCs w:val="18"/>
          <w:color w:val="auto"/>
        </w:rPr>
        <w:t>. Seller and each Originator and Prior Servicer have complied with Applicable Requirements pertaining to the Mortgage Loans and related Servicing Rights, including the federal Fair Housing Act, federal Equal Credit Opportunity Act and Regulation B, federal Fair Credit Reporting Act, federal Truth in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320" w:top="1221" w:right="319" w:bottom="1440" w:gutter="0" w:footer="0" w:header="0"/>
        </w:sectPr>
      </w:pPr>
    </w:p>
    <w:bookmarkStart w:id="142" w:name="page143"/>
    <w:bookmarkEnd w:id="142"/>
    <w:p>
      <w:pPr>
        <w:jc w:val="both"/>
        <w:spacing w:after="0" w:line="254" w:lineRule="auto"/>
        <w:rPr>
          <w:sz w:val="20"/>
          <w:szCs w:val="20"/>
          <w:color w:val="auto"/>
        </w:rPr>
      </w:pPr>
      <w:r>
        <w:rPr>
          <w:rFonts w:ascii="Arial" w:cs="Arial" w:eastAsia="Arial" w:hAnsi="Arial"/>
          <w:sz w:val="18"/>
          <w:szCs w:val="18"/>
          <w:color w:val="auto"/>
        </w:rPr>
        <w:t>Act and Regulation Z, National Flood Insurance Act of 1968, federal Flood Disaster Protection Act of 1973, federal Real Estate Settlement Procedures Act and Regulation X, federal Fair Debt Collection Practices Act, federal Home Mortgage Disclosure Act, and state consumer credit and usury codes and laws. In addition, all Mortgage Loans have been originated with (and, in particular, the Mortgage Loan Documents contain) late fee provisions that fully comply with all applicable federal, state and local laws, regulations and Applicable Requirements and that are fully enforceable by Purchaser against each Mortgagor. Each Originator and Prior Servicer was (during the period in which they held and transferred such interest) qualified to do business, and had all requisite licenses, permits and approvals, in the jurisdictions in which the applicable Mortgaged Properties are located, except where the failure to possess such qualifications, licenses, permits and approvals would not materially and adversely affect the enforceability of the Mortgage Loan Documents by Purchaser or the liability of the Purchaser.</w:t>
      </w:r>
    </w:p>
    <w:p>
      <w:pPr>
        <w:spacing w:after="0" w:line="154" w:lineRule="exact"/>
        <w:rPr>
          <w:sz w:val="20"/>
          <w:szCs w:val="20"/>
          <w:color w:val="auto"/>
        </w:rPr>
      </w:pPr>
    </w:p>
    <w:p>
      <w:pPr>
        <w:jc w:val="both"/>
        <w:ind w:firstLine="1080"/>
        <w:spacing w:after="0" w:line="257" w:lineRule="auto"/>
        <w:tabs>
          <w:tab w:leader="none" w:pos="162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Satisfaction of Mortgage</w:t>
      </w:r>
      <w:r>
        <w:rPr>
          <w:rFonts w:ascii="Arial" w:cs="Arial" w:eastAsia="Arial" w:hAnsi="Arial"/>
          <w:sz w:val="18"/>
          <w:szCs w:val="18"/>
          <w:color w:val="auto"/>
        </w:rPr>
        <w:t>. Each Mortgage has not been satisfied, cancelled, subordinated or rescinded, in whole or in part, and the related Mortgaged Property has not been released from the lien of the Mortgage, in whole or, except as permitted under Applicable Requirements, in part, nor has any instrument been executed that would cause or result in any such release, cancellation, subordination or rescission. Seller has not waived the performance by the Mortgagor of any actions if the Mortgagor’s failure to perform such action would cause the Mortgagor to be in default, nor has Seller waived any default resulting from any action or inaction of the Mortgagor.</w:t>
      </w:r>
    </w:p>
    <w:p>
      <w:pPr>
        <w:spacing w:after="0" w:line="151" w:lineRule="exact"/>
        <w:rPr>
          <w:rFonts w:ascii="Arial" w:cs="Arial" w:eastAsia="Arial" w:hAnsi="Arial"/>
          <w:sz w:val="18"/>
          <w:szCs w:val="18"/>
          <w:color w:val="auto"/>
        </w:rPr>
      </w:pPr>
    </w:p>
    <w:p>
      <w:pPr>
        <w:jc w:val="both"/>
        <w:ind w:firstLine="1080"/>
        <w:spacing w:after="0" w:line="253" w:lineRule="auto"/>
        <w:tabs>
          <w:tab w:leader="none" w:pos="162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Location and Type of Mortgaged Property</w:t>
      </w:r>
      <w:r>
        <w:rPr>
          <w:rFonts w:ascii="Arial" w:cs="Arial" w:eastAsia="Arial" w:hAnsi="Arial"/>
          <w:sz w:val="18"/>
          <w:szCs w:val="18"/>
          <w:color w:val="auto"/>
        </w:rPr>
        <w:t>. The Mortgaged Property is a fee simple property located in the state identified in the Mortgage Loan Schedule and consists of a parcel of real property with a detached single family residence erected thereon, or a two- to four-family dwelling, or an individual condominium unit in a low-rise condominium project, or an individual unit in a planned unit development, provided, however, that any condominium project or planned unit development shall conform with an Investor requirements regarding such dwellings, and no residence or dwelling is a mobile home or a manufactured dwelling not affixed to a permanent structure or not titled as real property or otherwise not eligible under Applicable Requirements. No portion of the Mortgaged Property is used for commercial purposes. With respect to Mortgage Loans that are secured by a leasehold estate, (i) the lease is valid, in full force and effect, and conforms to all of Investor’s requirements for leasehold estates; (ii) all rents and other payments due under the lease have been paid; (iii) the lessee is not in default under any provision of the lease; (iv) the term of the lease exceeds the maturity date of the related Mortgage Loan by at least five years; and (v) the terms of the lease provide a mortgagee with an opportunity to cure any defaults.</w:t>
      </w:r>
    </w:p>
    <w:p>
      <w:pPr>
        <w:spacing w:after="0" w:line="155" w:lineRule="exact"/>
        <w:rPr>
          <w:rFonts w:ascii="Arial" w:cs="Arial" w:eastAsia="Arial" w:hAnsi="Arial"/>
          <w:sz w:val="18"/>
          <w:szCs w:val="18"/>
          <w:color w:val="auto"/>
        </w:rPr>
      </w:pPr>
    </w:p>
    <w:p>
      <w:pPr>
        <w:jc w:val="both"/>
        <w:ind w:firstLine="1080"/>
        <w:spacing w:after="0" w:line="259" w:lineRule="auto"/>
        <w:tabs>
          <w:tab w:leader="none" w:pos="163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Valid First Lien</w:t>
      </w:r>
      <w:r>
        <w:rPr>
          <w:rFonts w:ascii="Arial" w:cs="Arial" w:eastAsia="Arial" w:hAnsi="Arial"/>
          <w:sz w:val="18"/>
          <w:szCs w:val="18"/>
          <w:color w:val="auto"/>
        </w:rPr>
        <w:t>. The Mortgage is a valid, subsisting, enforceable and perfected first lien on the Mortgaged Property, including all buildings on the Mortgaged Property and all installations and mechanical, electrical, plumbing, heating and air conditioning systems located in or annexed to such buildings, and all additions, alterations and replacements made at any time with respect to the foregoing. The lien of the Mortgage is subject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320" w:top="1221" w:right="319" w:bottom="1440" w:gutter="0" w:footer="0" w:header="0"/>
        </w:sectPr>
      </w:pPr>
    </w:p>
    <w:bookmarkStart w:id="143" w:name="page144"/>
    <w:bookmarkEnd w:id="143"/>
    <w:p>
      <w:pPr>
        <w:ind w:left="2160" w:hanging="535"/>
        <w:spacing w:after="0"/>
        <w:tabs>
          <w:tab w:leader="none" w:pos="2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lien of current real property taxes and assessments not yet due and payable;</w:t>
      </w:r>
    </w:p>
    <w:p>
      <w:pPr>
        <w:spacing w:after="0" w:line="190" w:lineRule="exact"/>
        <w:rPr>
          <w:rFonts w:ascii="Arial" w:cs="Arial" w:eastAsia="Arial" w:hAnsi="Arial"/>
          <w:sz w:val="18"/>
          <w:szCs w:val="18"/>
          <w:color w:val="auto"/>
        </w:rPr>
      </w:pPr>
    </w:p>
    <w:p>
      <w:pPr>
        <w:jc w:val="both"/>
        <w:ind w:left="540" w:firstLine="1085"/>
        <w:spacing w:after="0" w:line="259" w:lineRule="auto"/>
        <w:tabs>
          <w:tab w:leader="none" w:pos="21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covenants, conditions and restrictions, rights of way, easements and other matters of the public record as of the date of recording acceptable to mortgage lending institutions generally and specifically referred to in the lender’s title insurance policy delivered to the Originator of the Mortgage Loan and (A) referred to or otherwise considered in the appraisal made for the Originator of the Mortgage Loan or (B) which do not adversely affect the Appraised Value of the Mortgaged Property set forth in such appraisal; and</w:t>
      </w:r>
    </w:p>
    <w:p>
      <w:pPr>
        <w:spacing w:after="0" w:line="150" w:lineRule="exact"/>
        <w:rPr>
          <w:rFonts w:ascii="Arial" w:cs="Arial" w:eastAsia="Arial" w:hAnsi="Arial"/>
          <w:sz w:val="18"/>
          <w:szCs w:val="18"/>
          <w:color w:val="auto"/>
        </w:rPr>
      </w:pPr>
    </w:p>
    <w:p>
      <w:pPr>
        <w:ind w:left="540" w:firstLine="1085"/>
        <w:spacing w:after="0" w:line="278" w:lineRule="auto"/>
        <w:tabs>
          <w:tab w:leader="none" w:pos="21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matters to which like properties are commonly subject which do not materially interfere with the benefits of the security intended to be provided by the mortgage or the use, enjoyment, value or marketability of the related Mortgaged Property.</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security agreement, chattel mortgage or equivalent document related to and delivered in connection with the Mortgage Loan establishes and creates a valid, subsisting and enforceable first lien and first priority security interest on the property described therein and Seller has full right to sell and assign the same to Purchaser.</w:t>
      </w:r>
    </w:p>
    <w:p>
      <w:pPr>
        <w:spacing w:after="0" w:line="145" w:lineRule="exact"/>
        <w:rPr>
          <w:sz w:val="20"/>
          <w:szCs w:val="20"/>
          <w:color w:val="auto"/>
        </w:rPr>
      </w:pPr>
    </w:p>
    <w:p>
      <w:pPr>
        <w:jc w:val="both"/>
        <w:ind w:firstLine="1080"/>
        <w:spacing w:after="0" w:line="259" w:lineRule="auto"/>
        <w:tabs>
          <w:tab w:leader="none" w:pos="162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Validity of Mortgage Documents</w:t>
      </w:r>
      <w:r>
        <w:rPr>
          <w:rFonts w:ascii="Arial" w:cs="Arial" w:eastAsia="Arial" w:hAnsi="Arial"/>
          <w:sz w:val="18"/>
          <w:szCs w:val="18"/>
          <w:color w:val="auto"/>
        </w:rPr>
        <w:t>. The Mortgage Note and the Mortgage are genuine, and each is the legal, valid and binding obligation of the maker thereof enforceable in accordance with its terms. All parties to the Mortgage Note and the Mortgage and any other related agreement had legal capacity to enter into the Mortgage Loan and to execute and deliver the Mortgage Note and the Mortgage and any other related agreement, and the Mortgage Note and the Mortgage have been duly and properly executed by such parties.</w:t>
      </w:r>
    </w:p>
    <w:p>
      <w:pPr>
        <w:spacing w:after="0" w:line="150" w:lineRule="exact"/>
        <w:rPr>
          <w:rFonts w:ascii="Arial" w:cs="Arial" w:eastAsia="Arial" w:hAnsi="Arial"/>
          <w:sz w:val="18"/>
          <w:szCs w:val="18"/>
          <w:color w:val="auto"/>
        </w:rPr>
      </w:pPr>
    </w:p>
    <w:p>
      <w:pPr>
        <w:jc w:val="both"/>
        <w:ind w:firstLine="1080"/>
        <w:spacing w:after="0" w:line="275" w:lineRule="auto"/>
        <w:tabs>
          <w:tab w:leader="none" w:pos="1623"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Full Disbursement of Proceeds</w:t>
      </w:r>
      <w:r>
        <w:rPr>
          <w:rFonts w:ascii="Arial" w:cs="Arial" w:eastAsia="Arial" w:hAnsi="Arial"/>
          <w:sz w:val="17"/>
          <w:szCs w:val="17"/>
          <w:color w:val="auto"/>
        </w:rPr>
        <w:t>. The Mortgage Loan has been closed and the proceeds of the Mortgage Loan, including any escrow for repairs or improvements, have been fully disbursed and there is no requirement for future advances thereunder, and any and all requirements as to completion of any on-site or off-site improvement and as to disbursements of any escrow funds therefore have been complied with in accordance with Applicable Requirements. All costs, fees and expenses incurred in making or closing the Mortgage Loan and the recording of the Mortgage were paid, and the Mortgagor is not entitled to any refund of any amounts paid or due under the Mortgage Note or Mortgage.</w:t>
      </w:r>
    </w:p>
    <w:p>
      <w:pPr>
        <w:spacing w:after="0" w:line="139" w:lineRule="exact"/>
        <w:rPr>
          <w:rFonts w:ascii="Arial" w:cs="Arial" w:eastAsia="Arial" w:hAnsi="Arial"/>
          <w:sz w:val="17"/>
          <w:szCs w:val="17"/>
          <w:color w:val="auto"/>
        </w:rPr>
      </w:pPr>
    </w:p>
    <w:p>
      <w:pPr>
        <w:jc w:val="both"/>
        <w:ind w:firstLine="1080"/>
        <w:spacing w:after="0" w:line="255" w:lineRule="auto"/>
        <w:tabs>
          <w:tab w:leader="none" w:pos="163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PMI Policy</w:t>
      </w:r>
      <w:r>
        <w:rPr>
          <w:rFonts w:ascii="Arial" w:cs="Arial" w:eastAsia="Arial" w:hAnsi="Arial"/>
          <w:sz w:val="18"/>
          <w:szCs w:val="18"/>
          <w:color w:val="auto"/>
        </w:rPr>
        <w:t>. Each Mortgage Loan, if required by an Investor or Applicable Requirements, is insured as to payment defaults by a PMI Policy in the amount required, and by a Qualified Insurer, and all provisions of such PMI Policy have been and are being complied with, such PMI Policy is in full force and effect and all premiums due thereunder have been paid. There has been no event or condition which may result in the revocation, cancellation or expiration of such coverage. There are no defenses, counterclaims, or rights of set-off against Seller or Prior Servicer affecting the validity or enforceability of any PMI Policy with respect to a Mortgage Loan. Any Mortgage Loan subject to a PMI policy obligates the Mortgagor thereunder to maintain the PMI policy and to pay all premiums and charges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1221" w:right="319" w:bottom="1440" w:gutter="0" w:footer="0" w:header="0"/>
        </w:sectPr>
      </w:pPr>
    </w:p>
    <w:bookmarkStart w:id="144" w:name="page145"/>
    <w:bookmarkEnd w:id="144"/>
    <w:p>
      <w:pPr>
        <w:spacing w:after="0" w:line="278" w:lineRule="auto"/>
        <w:rPr>
          <w:sz w:val="20"/>
          <w:szCs w:val="20"/>
          <w:color w:val="auto"/>
        </w:rPr>
      </w:pPr>
      <w:r>
        <w:rPr>
          <w:rFonts w:ascii="Arial" w:cs="Arial" w:eastAsia="Arial" w:hAnsi="Arial"/>
          <w:sz w:val="18"/>
          <w:szCs w:val="18"/>
          <w:color w:val="auto"/>
        </w:rPr>
        <w:t>connection therewith. No Mortgage Loan is subject to a lender paid mortgage insurance policy for which any premiums are payable as of or after the Sale Date.</w:t>
      </w:r>
    </w:p>
    <w:p>
      <w:pPr>
        <w:spacing w:after="0" w:line="133" w:lineRule="exact"/>
        <w:rPr>
          <w:sz w:val="20"/>
          <w:szCs w:val="20"/>
          <w:color w:val="auto"/>
        </w:rPr>
      </w:pPr>
    </w:p>
    <w:p>
      <w:pPr>
        <w:jc w:val="both"/>
        <w:ind w:firstLine="1080"/>
        <w:spacing w:after="0" w:line="285" w:lineRule="auto"/>
        <w:tabs>
          <w:tab w:leader="none" w:pos="163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Title Insurance</w:t>
      </w:r>
      <w:r>
        <w:rPr>
          <w:rFonts w:ascii="Arial" w:cs="Arial" w:eastAsia="Arial" w:hAnsi="Arial"/>
          <w:sz w:val="16"/>
          <w:szCs w:val="16"/>
          <w:color w:val="auto"/>
        </w:rPr>
        <w:t>. Each Mortgage Loan is covered by either (i) an attorney’s opinion of title and abstract of title the form and substance of which is acceptable to an Investor, or (ii) an American Land Title Association mortgagee title insurance policy or other generally acceptable form of policy of insurance acceptable to an Investor issued by a title insurer acceptable to an Investor, and qualified to do business in the jurisdiction where the related Mortgaged Property is located, insuring, subject only to the exceptions listed in Subsection (k) above, as to the first priority lien of the Mortgage in the original principal amount of the Mortgage Loan. If the Mortgaged Property is a condominium unit located in a state in which a title insurer will generally issue an endorsement, then the related title insurance policy contains an endorsement insuring the validity of the creation of the condominium form of ownership with respect to the project in which such unit is located. Where required by state law or regulation, the Mortgagor has been given the opportunity to choose the carrier of the required mortgage title insurance. Additionally, such mortgagee title insurance policy affirmatively insures ingress and egress, and against encroachments by or upon the Mortgaged Property or any interest therein. The Originator and its successors and assigns is the named insured and the sole insured of such mortgagee title insurance policy, the assignment to Purchaser of Seller’s interest in such mortgagee title insurance policy does not require the consent of or notification to the insurer (or if such consent or notification is required, such consent has been received, or such notification has been given), and such mortgagee title insurance policy is in full force and effect and will be in force and effect and will inure to the benefit of Purchaser upon the consummation of the Transaction. No claims have been made under such mortgagee title insurance policy, and no prior holder of the Mortgage, including Seller, has done, by act or omission, anything that would impair the coverage of such lender’s title insurance policy, including no unlawful fee, commission, kickback or other unlawful compensation or value of any kind has been or will be received, retained or realized by any attorney, firm or other person or entity, and no such unlawful items have been received, retained or realized by Seller.</w:t>
      </w:r>
    </w:p>
    <w:p>
      <w:pPr>
        <w:spacing w:after="0" w:line="134" w:lineRule="exact"/>
        <w:rPr>
          <w:rFonts w:ascii="Arial" w:cs="Arial" w:eastAsia="Arial" w:hAnsi="Arial"/>
          <w:sz w:val="16"/>
          <w:szCs w:val="16"/>
          <w:color w:val="auto"/>
        </w:rPr>
      </w:pPr>
    </w:p>
    <w:p>
      <w:pPr>
        <w:jc w:val="both"/>
        <w:ind w:firstLine="1080"/>
        <w:spacing w:after="0" w:line="259" w:lineRule="auto"/>
        <w:tabs>
          <w:tab w:leader="none" w:pos="163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Defaults</w:t>
      </w:r>
      <w:r>
        <w:rPr>
          <w:rFonts w:ascii="Arial" w:cs="Arial" w:eastAsia="Arial" w:hAnsi="Arial"/>
          <w:sz w:val="18"/>
          <w:szCs w:val="18"/>
          <w:color w:val="auto"/>
        </w:rPr>
        <w:t>. Except as disclosed on the Mortgage Loan Schedule, there is no default, breach, violation or event of acceleration existing under the Mortgage or the Mortgage Note and, to Seller’s knowledge, no event which, with the passage of time or with notice and the expiration of any grace or cure period, would constitute a default, breach, violation or event of acceleration, and neither Seller nor its predecessors have waived any default, breach, violation or event of acceleration.</w:t>
      </w:r>
    </w:p>
    <w:p>
      <w:pPr>
        <w:spacing w:after="0" w:line="150" w:lineRule="exact"/>
        <w:rPr>
          <w:rFonts w:ascii="Arial" w:cs="Arial" w:eastAsia="Arial" w:hAnsi="Arial"/>
          <w:sz w:val="18"/>
          <w:szCs w:val="18"/>
          <w:color w:val="auto"/>
        </w:rPr>
      </w:pPr>
    </w:p>
    <w:p>
      <w:pPr>
        <w:jc w:val="both"/>
        <w:ind w:firstLine="1080"/>
        <w:spacing w:after="0" w:line="264" w:lineRule="auto"/>
        <w:tabs>
          <w:tab w:leader="none" w:pos="163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Mechanics’ Liens</w:t>
      </w:r>
      <w:r>
        <w:rPr>
          <w:rFonts w:ascii="Arial" w:cs="Arial" w:eastAsia="Arial" w:hAnsi="Arial"/>
          <w:sz w:val="18"/>
          <w:szCs w:val="18"/>
          <w:color w:val="auto"/>
        </w:rPr>
        <w:t>. To Seller’s knowledge, there are no mechanics’ or similar liens or claims which have been filed for work, labor or material (and no rights are outstanding that under the law could give rise to such liens) affecting the related Mortgaged Property which are or may be liens prior to, or equal or coordinate with, the lien of the related Mortgage.</w:t>
      </w:r>
    </w:p>
    <w:p>
      <w:pPr>
        <w:spacing w:after="0" w:line="145" w:lineRule="exact"/>
        <w:rPr>
          <w:rFonts w:ascii="Arial" w:cs="Arial" w:eastAsia="Arial" w:hAnsi="Arial"/>
          <w:sz w:val="18"/>
          <w:szCs w:val="18"/>
          <w:color w:val="auto"/>
        </w:rPr>
      </w:pPr>
    </w:p>
    <w:p>
      <w:pPr>
        <w:ind w:firstLine="1080"/>
        <w:spacing w:after="0" w:line="278" w:lineRule="auto"/>
        <w:tabs>
          <w:tab w:leader="none" w:pos="163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Location of Improvements; No Encroachments</w:t>
      </w:r>
      <w:r>
        <w:rPr>
          <w:rFonts w:ascii="Arial" w:cs="Arial" w:eastAsia="Arial" w:hAnsi="Arial"/>
          <w:sz w:val="18"/>
          <w:szCs w:val="18"/>
          <w:color w:val="auto"/>
        </w:rPr>
        <w:t>. All improvements located on or being part of each Mortgaged Property lie wholly within the boundaries and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320" w:top="1221" w:right="319" w:bottom="1440" w:gutter="0" w:footer="0" w:header="0"/>
        </w:sectPr>
      </w:pPr>
    </w:p>
    <w:bookmarkStart w:id="145" w:name="page146"/>
    <w:bookmarkEnd w:id="145"/>
    <w:p>
      <w:pPr>
        <w:jc w:val="both"/>
        <w:spacing w:after="0" w:line="264" w:lineRule="auto"/>
        <w:rPr>
          <w:sz w:val="20"/>
          <w:szCs w:val="20"/>
          <w:color w:val="auto"/>
        </w:rPr>
      </w:pPr>
      <w:r>
        <w:rPr>
          <w:rFonts w:ascii="Arial" w:cs="Arial" w:eastAsia="Arial" w:hAnsi="Arial"/>
          <w:sz w:val="18"/>
          <w:szCs w:val="18"/>
          <w:color w:val="auto"/>
        </w:rPr>
        <w:t>restriction lines of such Mortgaged Property (and, if such Mortgaged Property is a condominium unit, such improvements lie wholly within the project) and no improvements on adjoining properties encroach upon such property. No improvement located on or being part of the Mortgaged Property is in violation of any applicable zoning law or regulation.</w:t>
      </w:r>
    </w:p>
    <w:p>
      <w:pPr>
        <w:spacing w:after="0" w:line="145" w:lineRule="exact"/>
        <w:rPr>
          <w:sz w:val="20"/>
          <w:szCs w:val="20"/>
          <w:color w:val="auto"/>
        </w:rPr>
      </w:pPr>
    </w:p>
    <w:p>
      <w:pPr>
        <w:jc w:val="both"/>
        <w:ind w:firstLine="1080"/>
        <w:spacing w:after="0" w:line="234" w:lineRule="auto"/>
        <w:tabs>
          <w:tab w:leader="none" w:pos="16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Payment Terms</w:t>
      </w:r>
      <w:r>
        <w:rPr>
          <w:rFonts w:ascii="Arial" w:cs="Arial" w:eastAsia="Arial" w:hAnsi="Arial"/>
          <w:sz w:val="18"/>
          <w:szCs w:val="18"/>
          <w:color w:val="auto"/>
        </w:rPr>
        <w:t>. The Mortgage Loans have an original term to maturity of not more than thirty (30) years, with interest payable in arrears on the first (1</w:t>
      </w:r>
      <w:r>
        <w:rPr>
          <w:rFonts w:ascii="Arial" w:cs="Arial" w:eastAsia="Arial" w:hAnsi="Arial"/>
          <w:sz w:val="23"/>
          <w:szCs w:val="23"/>
          <w:color w:val="auto"/>
          <w:vertAlign w:val="superscript"/>
        </w:rPr>
        <w:t>st</w:t>
      </w:r>
      <w:r>
        <w:rPr>
          <w:rFonts w:ascii="Arial" w:cs="Arial" w:eastAsia="Arial" w:hAnsi="Arial"/>
          <w:sz w:val="18"/>
          <w:szCs w:val="18"/>
          <w:color w:val="auto"/>
        </w:rPr>
        <w:t>) day of each month. No Mortgage Loan contains terms or provisions which would result in negative amortization. No Mortgage Loan is evidenced by a Mortgage Note providing for bi-weekly payments.</w:t>
      </w:r>
    </w:p>
    <w:p>
      <w:pPr>
        <w:spacing w:after="0" w:line="166" w:lineRule="exact"/>
        <w:rPr>
          <w:rFonts w:ascii="Arial" w:cs="Arial" w:eastAsia="Arial" w:hAnsi="Arial"/>
          <w:sz w:val="18"/>
          <w:szCs w:val="18"/>
          <w:color w:val="auto"/>
        </w:rPr>
      </w:pPr>
    </w:p>
    <w:p>
      <w:pPr>
        <w:jc w:val="both"/>
        <w:ind w:firstLine="1080"/>
        <w:spacing w:after="0" w:line="273" w:lineRule="auto"/>
        <w:tabs>
          <w:tab w:leader="none" w:pos="1623"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Customary Provisions</w:t>
      </w:r>
      <w:r>
        <w:rPr>
          <w:rFonts w:ascii="Arial" w:cs="Arial" w:eastAsia="Arial" w:hAnsi="Arial"/>
          <w:sz w:val="17"/>
          <w:szCs w:val="17"/>
          <w:color w:val="auto"/>
        </w:rPr>
        <w:t>. The Mortgage contains customary and enforceable provisions such as to render the rights and remedies of the holder thereof adequate for the realization against the Mortgaged Property of the benefits of the security provided thereby, including, (i) in the case of a Mortgage designated as a deed of trust, by trustee’s sale, and (ii) otherwise by judicial Foreclosure. Upon default by a Mortgagor on a Mortgage Loan and Foreclosure on, or trustee’s sale of, the Mortgaged Property pursuant to the proper procedures, the holder of the Mortgage Loan will be able to deliver good and merchantable title to the Mortgaged Property. There is no homestead or other exemption available to a Mortgagor which would interfere with the right to sell the Mortgaged Property at a trustee’s sale or the right to foreclose the Mortgage.</w:t>
      </w:r>
    </w:p>
    <w:p>
      <w:pPr>
        <w:spacing w:after="0" w:line="140" w:lineRule="exact"/>
        <w:rPr>
          <w:rFonts w:ascii="Arial" w:cs="Arial" w:eastAsia="Arial" w:hAnsi="Arial"/>
          <w:sz w:val="17"/>
          <w:szCs w:val="17"/>
          <w:color w:val="auto"/>
        </w:rPr>
      </w:pPr>
    </w:p>
    <w:p>
      <w:pPr>
        <w:jc w:val="both"/>
        <w:ind w:firstLine="1080"/>
        <w:spacing w:after="0" w:line="275" w:lineRule="auto"/>
        <w:tabs>
          <w:tab w:leader="none" w:pos="163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Occupancy of the Mortgaged Property</w:t>
      </w:r>
      <w:r>
        <w:rPr>
          <w:rFonts w:ascii="Arial" w:cs="Arial" w:eastAsia="Arial" w:hAnsi="Arial"/>
          <w:sz w:val="17"/>
          <w:szCs w:val="17"/>
          <w:color w:val="auto"/>
        </w:rPr>
        <w:t>. As of the Sale Date, the Mortgaged Property is lawfully occupied under applicable law and all inspections, licenses and certificates required to be made or issued with respect to all occupied portions of the Mortgaged Property and, with respect to the use and occupancy of the same, including certificates of occupancy and fire underwriting certificates, have been made or obtained from the appropriate authorities. To the extent required by Applicable Requirements, the Mortgagor represented at the time of origination of the Mortgage Loan that the Mortgagor would occupy the Mortgaged Property as the Mortgagor’s primary residence.</w:t>
      </w:r>
    </w:p>
    <w:p>
      <w:pPr>
        <w:spacing w:after="0" w:line="139" w:lineRule="exact"/>
        <w:rPr>
          <w:rFonts w:ascii="Arial" w:cs="Arial" w:eastAsia="Arial" w:hAnsi="Arial"/>
          <w:sz w:val="17"/>
          <w:szCs w:val="17"/>
          <w:color w:val="auto"/>
        </w:rPr>
      </w:pPr>
    </w:p>
    <w:p>
      <w:pPr>
        <w:ind w:right="20" w:firstLine="1080"/>
        <w:spacing w:after="0" w:line="309" w:lineRule="auto"/>
        <w:tabs>
          <w:tab w:leader="none" w:pos="163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No Additional Collateral</w:t>
      </w:r>
      <w:r>
        <w:rPr>
          <w:rFonts w:ascii="Arial" w:cs="Arial" w:eastAsia="Arial" w:hAnsi="Arial"/>
          <w:sz w:val="17"/>
          <w:szCs w:val="17"/>
          <w:color w:val="auto"/>
        </w:rPr>
        <w:t>. The Mortgage Note is not and has not been secured by any collateral except the lien of the corresponding Mortgage and the security interest of any applicable security agreement or chattel mortgage referred to in Subsection (k) above.</w:t>
      </w:r>
    </w:p>
    <w:p>
      <w:pPr>
        <w:spacing w:after="0" w:line="109" w:lineRule="exact"/>
        <w:rPr>
          <w:rFonts w:ascii="Arial" w:cs="Arial" w:eastAsia="Arial" w:hAnsi="Arial"/>
          <w:sz w:val="17"/>
          <w:szCs w:val="17"/>
          <w:color w:val="auto"/>
        </w:rPr>
      </w:pPr>
    </w:p>
    <w:p>
      <w:pPr>
        <w:jc w:val="both"/>
        <w:ind w:firstLine="1080"/>
        <w:spacing w:after="0" w:line="264" w:lineRule="auto"/>
        <w:tabs>
          <w:tab w:leader="none" w:pos="162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Deeds of Trust</w:t>
      </w:r>
      <w:r>
        <w:rPr>
          <w:rFonts w:ascii="Arial" w:cs="Arial" w:eastAsia="Arial" w:hAnsi="Arial"/>
          <w:sz w:val="18"/>
          <w:szCs w:val="18"/>
          <w:color w:val="auto"/>
        </w:rPr>
        <w:t>. In the event the Mortgage constitutes a deed of trust, a trustee, duly qualified under applicable law to serve as such, has been properly designated and currently so serves and is named in the Mortgage, and no fees or expenses are or will become payable by Purchaser to the trustee under the deed of trust, except in connection with a trustee’s sale after default by the Mortgagor.</w:t>
      </w:r>
    </w:p>
    <w:p>
      <w:pPr>
        <w:spacing w:after="0" w:line="145" w:lineRule="exact"/>
        <w:rPr>
          <w:rFonts w:ascii="Arial" w:cs="Arial" w:eastAsia="Arial" w:hAnsi="Arial"/>
          <w:sz w:val="18"/>
          <w:szCs w:val="18"/>
          <w:color w:val="auto"/>
        </w:rPr>
      </w:pPr>
    </w:p>
    <w:p>
      <w:pPr>
        <w:jc w:val="both"/>
        <w:ind w:firstLine="1080"/>
        <w:spacing w:after="0" w:line="312" w:lineRule="auto"/>
        <w:tabs>
          <w:tab w:leader="none" w:pos="163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Condominiums/Planned Unit Developments</w:t>
      </w:r>
      <w:r>
        <w:rPr>
          <w:rFonts w:ascii="Arial" w:cs="Arial" w:eastAsia="Arial" w:hAnsi="Arial"/>
          <w:sz w:val="16"/>
          <w:szCs w:val="16"/>
          <w:color w:val="auto"/>
        </w:rPr>
        <w:t xml:space="preserve">. If the Mortgaged Property is a condominium unit or a planned unit development (other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planned unit development) such condominium or planned unit development project meets an Investor eligibility requirements for sale to an Investor or is located in a condominium or planned unit development project that has received an Investor project approval, and the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320" w:top="1221" w:right="319" w:bottom="1440" w:gutter="0" w:footer="0" w:header="0"/>
        </w:sectPr>
      </w:pPr>
    </w:p>
    <w:bookmarkStart w:id="146" w:name="page147"/>
    <w:bookmarkEnd w:id="146"/>
    <w:p>
      <w:pPr>
        <w:spacing w:after="0" w:line="278" w:lineRule="auto"/>
        <w:rPr>
          <w:sz w:val="20"/>
          <w:szCs w:val="20"/>
          <w:color w:val="auto"/>
        </w:rPr>
      </w:pPr>
      <w:r>
        <w:rPr>
          <w:rFonts w:ascii="Arial" w:cs="Arial" w:eastAsia="Arial" w:hAnsi="Arial"/>
          <w:sz w:val="18"/>
          <w:szCs w:val="18"/>
          <w:color w:val="auto"/>
        </w:rPr>
        <w:t>warranties required by an Investor with respect to such condominium or planned unit development have been made and remain true and correct in all respects.</w:t>
      </w:r>
    </w:p>
    <w:p>
      <w:pPr>
        <w:spacing w:after="0" w:line="133" w:lineRule="exact"/>
        <w:rPr>
          <w:sz w:val="20"/>
          <w:szCs w:val="20"/>
          <w:color w:val="auto"/>
        </w:rPr>
      </w:pPr>
    </w:p>
    <w:p>
      <w:pPr>
        <w:jc w:val="both"/>
        <w:ind w:firstLine="1080"/>
        <w:spacing w:after="0" w:line="264" w:lineRule="auto"/>
        <w:tabs>
          <w:tab w:leader="none" w:pos="163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Due on Sale</w:t>
      </w:r>
      <w:r>
        <w:rPr>
          <w:rFonts w:ascii="Arial" w:cs="Arial" w:eastAsia="Arial" w:hAnsi="Arial"/>
          <w:sz w:val="18"/>
          <w:szCs w:val="18"/>
          <w:color w:val="auto"/>
        </w:rPr>
        <w:t>. Each Mortgage contains an enforceable provision (to the extent not prohibited by law) for the acceleration of the payment of the unpaid principal balance of the related Mortgage Loan in the event that the related Mortgaged Property is sold or transferred without the prior written consent of the Mortgagee thereunder.</w:t>
      </w:r>
    </w:p>
    <w:p>
      <w:pPr>
        <w:spacing w:after="0" w:line="145" w:lineRule="exact"/>
        <w:rPr>
          <w:rFonts w:ascii="Arial" w:cs="Arial" w:eastAsia="Arial" w:hAnsi="Arial"/>
          <w:sz w:val="18"/>
          <w:szCs w:val="18"/>
          <w:color w:val="auto"/>
        </w:rPr>
      </w:pPr>
    </w:p>
    <w:p>
      <w:pPr>
        <w:jc w:val="both"/>
        <w:ind w:firstLine="1080"/>
        <w:spacing w:after="0" w:line="275" w:lineRule="auto"/>
        <w:tabs>
          <w:tab w:leader="none" w:pos="1631"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No Buydown Provisions; No Graduated Payments or Contingent Interests</w:t>
      </w:r>
      <w:r>
        <w:rPr>
          <w:rFonts w:ascii="Arial" w:cs="Arial" w:eastAsia="Arial" w:hAnsi="Arial"/>
          <w:sz w:val="17"/>
          <w:szCs w:val="17"/>
          <w:color w:val="auto"/>
        </w:rPr>
        <w:t>. The Mortgage Loan does not contain provisions pursuant to which Monthly Payments are, or will in the future, be paid or partially paid with funds deposited in any separate account established by Seller, the Mortgagor or anyone on behalf of the Mortgagor, or paid by any source other than the Mortgagor nor does it contain any other similar provisions currently in effect which may constitute a “buydown” provision; no Mortgage Loan is a graduated payment loan, qualifying assumption loan or a reverse mortgage loan; no Mortgage Loan has a shared appreciation or other contingent interest feature.</w:t>
      </w:r>
    </w:p>
    <w:p>
      <w:pPr>
        <w:spacing w:after="0" w:line="139" w:lineRule="exact"/>
        <w:rPr>
          <w:sz w:val="20"/>
          <w:szCs w:val="20"/>
          <w:color w:val="auto"/>
        </w:rPr>
      </w:pPr>
    </w:p>
    <w:p>
      <w:pPr>
        <w:jc w:val="both"/>
        <w:ind w:firstLine="1080"/>
        <w:spacing w:after="0" w:line="257" w:lineRule="auto"/>
        <w:tabs>
          <w:tab w:leader="none" w:pos="163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Consolidation of Future Advances</w:t>
      </w:r>
      <w:r>
        <w:rPr>
          <w:rFonts w:ascii="Arial" w:cs="Arial" w:eastAsia="Arial" w:hAnsi="Arial"/>
          <w:sz w:val="18"/>
          <w:szCs w:val="18"/>
          <w:color w:val="auto"/>
        </w:rPr>
        <w:t>. Any advances of loan proceeds made have been consolidated with the outstanding principal amount secured by the Mortgage, and the secured principal amount, as consolidated, bears a single interest rate and single repayment term. The lien of the Mortgage securing the consolidated principal amount is expressly insured as having first lien priority by a title insurance policy, an endorsement to the policy insuring the mortgagee’s consolidated interest or by other title evidence acceptable to an Investor. The consolidated principal amount does not exceed the original principal amount of the Mortgage Loan.</w:t>
      </w:r>
    </w:p>
    <w:p>
      <w:pPr>
        <w:spacing w:after="0" w:line="151" w:lineRule="exact"/>
        <w:rPr>
          <w:sz w:val="20"/>
          <w:szCs w:val="20"/>
          <w:color w:val="auto"/>
        </w:rPr>
      </w:pPr>
    </w:p>
    <w:p>
      <w:pPr>
        <w:jc w:val="both"/>
        <w:ind w:firstLine="1089"/>
        <w:spacing w:after="0" w:line="271" w:lineRule="auto"/>
        <w:rPr>
          <w:sz w:val="20"/>
          <w:szCs w:val="20"/>
          <w:color w:val="auto"/>
        </w:rPr>
      </w:pPr>
      <w:r>
        <w:rPr>
          <w:rFonts w:ascii="Arial" w:cs="Arial" w:eastAsia="Arial" w:hAnsi="Arial"/>
          <w:sz w:val="17"/>
          <w:szCs w:val="17"/>
          <w:color w:val="auto"/>
        </w:rPr>
        <w:t xml:space="preserve">(ab) </w:t>
      </w:r>
      <w:r>
        <w:rPr>
          <w:rFonts w:ascii="Arial" w:cs="Arial" w:eastAsia="Arial" w:hAnsi="Arial"/>
          <w:sz w:val="17"/>
          <w:szCs w:val="17"/>
          <w:u w:val="single" w:color="auto"/>
          <w:color w:val="auto"/>
        </w:rPr>
        <w:t>Mortgaged Property Undamaged</w:t>
      </w:r>
      <w:r>
        <w:rPr>
          <w:rFonts w:ascii="Arial" w:cs="Arial" w:eastAsia="Arial" w:hAnsi="Arial"/>
          <w:sz w:val="17"/>
          <w:szCs w:val="17"/>
          <w:color w:val="auto"/>
        </w:rPr>
        <w:t>. There is no proceeding pending or, to Seller’s knowledge, threatened, for the total or partial condemnation of the Mortgaged Property. Except as disclosed on the Mortgage Loan Schedule, the Mortgaged Property is undamaged by waste, fire, earthquake or earth movement, windstorm, flood, tornado or other casualty so as to affect adversely the value of the Mortgaged Property as security for the Mortgage Loan or the use for which the premises were intended or for which the Servicer would have liability. With respect to any Mortgage Loan for which the related Mortgaged Property is located in a disaster area declared by any federal or state government in the twelve (12) months prior to the Sale Date, Seller has obtained a property inspection of the Mortgaged Property conducted following the disaster event and has been in contact with the Mortgagor regarding any material damage to such property and/or hardship to the Mortgagor resulting from such disaster to the extent required by the applicable Agency and has complied with all other disaster relief requirements of the applicable Agency.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1080"/>
              <w:spacing w:after="0"/>
              <w:rPr>
                <w:sz w:val="20"/>
                <w:szCs w:val="20"/>
                <w:color w:val="auto"/>
              </w:rPr>
            </w:pPr>
            <w:r>
              <w:rPr>
                <w:rFonts w:ascii="Arial" w:cs="Arial" w:eastAsia="Arial" w:hAnsi="Arial"/>
                <w:sz w:val="18"/>
                <w:szCs w:val="18"/>
                <w:color w:val="auto"/>
              </w:rPr>
              <w:t>(ac)</w:t>
            </w:r>
          </w:p>
        </w:tc>
        <w:tc>
          <w:tcPr>
            <w:tcW w:w="9620" w:type="dxa"/>
            <w:vAlign w:val="bottom"/>
            <w:gridSpan w:val="3"/>
          </w:tcPr>
          <w:p>
            <w:pPr>
              <w:spacing w:after="0"/>
              <w:rPr>
                <w:sz w:val="20"/>
                <w:szCs w:val="20"/>
                <w:color w:val="auto"/>
              </w:rPr>
            </w:pPr>
            <w:r>
              <w:rPr>
                <w:rFonts w:ascii="Arial" w:cs="Arial" w:eastAsia="Arial" w:hAnsi="Arial"/>
                <w:sz w:val="18"/>
                <w:szCs w:val="18"/>
                <w:color w:val="auto"/>
                <w:w w:val="93"/>
              </w:rPr>
              <w:t>Collection and Servicing Practices. The servicing and collection practices used with respect to each Mortgage Loan have been in</w:t>
            </w:r>
          </w:p>
        </w:tc>
      </w:tr>
      <w:tr>
        <w:trPr>
          <w:trHeight w:val="20"/>
        </w:trPr>
        <w:tc>
          <w:tcPr>
            <w:tcW w:w="1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8"/>
        </w:trPr>
        <w:tc>
          <w:tcPr>
            <w:tcW w:w="11260" w:type="dxa"/>
            <w:vAlign w:val="bottom"/>
            <w:gridSpan w:val="4"/>
          </w:tcPr>
          <w:p>
            <w:pPr>
              <w:spacing w:after="0"/>
              <w:rPr>
                <w:sz w:val="20"/>
                <w:szCs w:val="20"/>
                <w:color w:val="auto"/>
              </w:rPr>
            </w:pPr>
            <w:r>
              <w:rPr>
                <w:rFonts w:ascii="Arial" w:cs="Arial" w:eastAsia="Arial" w:hAnsi="Arial"/>
                <w:sz w:val="18"/>
                <w:szCs w:val="18"/>
                <w:color w:val="auto"/>
              </w:rPr>
              <w:t>accordance with Applicable Requirements in all material respects.</w:t>
            </w:r>
          </w:p>
        </w:tc>
      </w:tr>
      <w:tr>
        <w:trPr>
          <w:trHeight w:val="354"/>
        </w:trPr>
        <w:tc>
          <w:tcPr>
            <w:tcW w:w="1640" w:type="dxa"/>
            <w:vAlign w:val="bottom"/>
          </w:tcPr>
          <w:p>
            <w:pPr>
              <w:ind w:left="1080"/>
              <w:spacing w:after="0"/>
              <w:rPr>
                <w:sz w:val="20"/>
                <w:szCs w:val="20"/>
                <w:color w:val="auto"/>
              </w:rPr>
            </w:pPr>
            <w:r>
              <w:rPr>
                <w:rFonts w:ascii="Arial" w:cs="Arial" w:eastAsia="Arial" w:hAnsi="Arial"/>
                <w:sz w:val="18"/>
                <w:szCs w:val="18"/>
                <w:color w:val="auto"/>
              </w:rPr>
              <w:t>(ad)</w:t>
            </w:r>
          </w:p>
        </w:tc>
        <w:tc>
          <w:tcPr>
            <w:tcW w:w="9620" w:type="dxa"/>
            <w:vAlign w:val="bottom"/>
            <w:gridSpan w:val="3"/>
          </w:tcPr>
          <w:p>
            <w:pPr>
              <w:spacing w:after="0"/>
              <w:rPr>
                <w:sz w:val="20"/>
                <w:szCs w:val="20"/>
                <w:color w:val="auto"/>
              </w:rPr>
            </w:pPr>
            <w:r>
              <w:rPr>
                <w:rFonts w:ascii="Arial" w:cs="Arial" w:eastAsia="Arial" w:hAnsi="Arial"/>
                <w:sz w:val="18"/>
                <w:szCs w:val="18"/>
                <w:color w:val="auto"/>
                <w:w w:val="98"/>
              </w:rPr>
              <w:t>Escrow Deposits. All Mortgage Escrow Payments are in the possession of, or under the control of, Seller and there exist no</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deficiencies in connection therewith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320" w:top="1221" w:right="319" w:bottom="1440" w:gutter="0" w:footer="0" w:header="0"/>
        </w:sectPr>
      </w:pPr>
    </w:p>
    <w:bookmarkStart w:id="147" w:name="page148"/>
    <w:bookmarkEnd w:id="147"/>
    <w:p>
      <w:pPr>
        <w:jc w:val="both"/>
        <w:spacing w:after="0" w:line="293" w:lineRule="auto"/>
        <w:rPr>
          <w:sz w:val="20"/>
          <w:szCs w:val="20"/>
          <w:color w:val="auto"/>
        </w:rPr>
      </w:pPr>
      <w:r>
        <w:rPr>
          <w:rFonts w:ascii="Arial" w:cs="Arial" w:eastAsia="Arial" w:hAnsi="Arial"/>
          <w:sz w:val="16"/>
          <w:szCs w:val="16"/>
          <w:color w:val="auto"/>
        </w:rPr>
        <w:t>which customary arrangements for repayment thereof have not been made. All Mortgage Escrow Payments have been calculated, collected and maintained in compliance with Applicable Requirements. No escrow deposits or Mortgage Escrow Payments or other charges or payments have been capitalized under the Mortgage or the Mortgage Note except those that were done in accordance with Applicable Requirements. Seller or Prior Servicer has within the last twelve (12) months (unless such Mortgage was originated within such twelve (12) month period) analyzed the required Mortgage Escrow Payments for each Mortgage and adjusted the amount of such payments so that, assuming all required payments are timely made, any deficiency will be eliminated on or before the first anniversary of such analysis, or any overage will be refunded to the Mortgagor, in accordance with Applicable Requirements.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1080"/>
              <w:spacing w:after="0"/>
              <w:rPr>
                <w:sz w:val="20"/>
                <w:szCs w:val="20"/>
                <w:color w:val="auto"/>
              </w:rPr>
            </w:pPr>
            <w:r>
              <w:rPr>
                <w:rFonts w:ascii="Arial" w:cs="Arial" w:eastAsia="Arial" w:hAnsi="Arial"/>
                <w:sz w:val="18"/>
                <w:szCs w:val="18"/>
                <w:color w:val="auto"/>
              </w:rPr>
              <w:t>(ae)</w:t>
            </w:r>
          </w:p>
        </w:tc>
        <w:tc>
          <w:tcPr>
            <w:tcW w:w="9620" w:type="dxa"/>
            <w:vAlign w:val="bottom"/>
            <w:gridSpan w:val="3"/>
          </w:tcPr>
          <w:p>
            <w:pPr>
              <w:spacing w:after="0"/>
              <w:rPr>
                <w:sz w:val="20"/>
                <w:szCs w:val="20"/>
                <w:color w:val="auto"/>
              </w:rPr>
            </w:pPr>
            <w:r>
              <w:rPr>
                <w:rFonts w:ascii="Arial" w:cs="Arial" w:eastAsia="Arial" w:hAnsi="Arial"/>
                <w:sz w:val="18"/>
                <w:szCs w:val="18"/>
                <w:color w:val="auto"/>
                <w:w w:val="91"/>
              </w:rPr>
              <w:t>Servicemembers Civil Relief Act. Except as disclosed on the Mortgage Loan Schedule, the Mortgagor has not notified Seller of, and</w:t>
            </w:r>
          </w:p>
        </w:tc>
      </w:tr>
      <w:tr>
        <w:trPr>
          <w:trHeight w:val="20"/>
        </w:trPr>
        <w:tc>
          <w:tcPr>
            <w:tcW w:w="1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8"/>
        </w:trPr>
        <w:tc>
          <w:tcPr>
            <w:tcW w:w="11260" w:type="dxa"/>
            <w:vAlign w:val="bottom"/>
            <w:gridSpan w:val="4"/>
          </w:tcPr>
          <w:p>
            <w:pPr>
              <w:spacing w:after="0"/>
              <w:rPr>
                <w:sz w:val="20"/>
                <w:szCs w:val="20"/>
                <w:color w:val="auto"/>
              </w:rPr>
            </w:pPr>
            <w:r>
              <w:rPr>
                <w:rFonts w:ascii="Arial" w:cs="Arial" w:eastAsia="Arial" w:hAnsi="Arial"/>
                <w:sz w:val="18"/>
                <w:szCs w:val="18"/>
                <w:color w:val="auto"/>
              </w:rPr>
              <w:t>Seller has no knowledge of any relief requested or allowed to the Mortgagor under the Servicemembers Civil Relief Act.</w:t>
            </w:r>
          </w:p>
        </w:tc>
      </w:tr>
      <w:tr>
        <w:trPr>
          <w:trHeight w:val="354"/>
        </w:trPr>
        <w:tc>
          <w:tcPr>
            <w:tcW w:w="1640" w:type="dxa"/>
            <w:vAlign w:val="bottom"/>
          </w:tcPr>
          <w:p>
            <w:pPr>
              <w:ind w:left="1080"/>
              <w:spacing w:after="0"/>
              <w:rPr>
                <w:sz w:val="20"/>
                <w:szCs w:val="20"/>
                <w:color w:val="auto"/>
              </w:rPr>
            </w:pPr>
            <w:r>
              <w:rPr>
                <w:rFonts w:ascii="Arial" w:cs="Arial" w:eastAsia="Arial" w:hAnsi="Arial"/>
                <w:sz w:val="18"/>
                <w:szCs w:val="18"/>
                <w:color w:val="auto"/>
              </w:rPr>
              <w:t>(af)</w:t>
            </w:r>
          </w:p>
        </w:tc>
        <w:tc>
          <w:tcPr>
            <w:tcW w:w="9620" w:type="dxa"/>
            <w:vAlign w:val="bottom"/>
            <w:gridSpan w:val="3"/>
          </w:tcPr>
          <w:p>
            <w:pPr>
              <w:spacing w:after="0"/>
              <w:rPr>
                <w:sz w:val="20"/>
                <w:szCs w:val="20"/>
                <w:color w:val="auto"/>
              </w:rPr>
            </w:pPr>
            <w:r>
              <w:rPr>
                <w:rFonts w:ascii="Arial" w:cs="Arial" w:eastAsia="Arial" w:hAnsi="Arial"/>
                <w:sz w:val="18"/>
                <w:szCs w:val="18"/>
                <w:color w:val="auto"/>
                <w:w w:val="92"/>
              </w:rPr>
              <w:t>Appraisals. With respect to each Mortgage Loan, there is either (i) an automated property valuation report or (ii) an appraisal on an</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Investorapproved form (or a narrative residential appraisal) of the related Mortgaged Property that conforms to Applicable Requirements and that was signed prior to the approval of such Mortgage Loan application by a Qualified Appraiser, appointed by Seller or the Originator of such Mortgage Loan, as appropriate, who has no interest, direct or indirect, in the Mortgaged Property or in any loan made on the security thereof, and whose compensation is not affected by the approval or disapproval of such Mortgage Loan.</w:t>
      </w:r>
    </w:p>
    <w:p>
      <w:pPr>
        <w:spacing w:after="0" w:line="150" w:lineRule="exact"/>
        <w:rPr>
          <w:sz w:val="20"/>
          <w:szCs w:val="20"/>
          <w:color w:val="auto"/>
        </w:rPr>
      </w:pPr>
    </w:p>
    <w:p>
      <w:pPr>
        <w:jc w:val="both"/>
        <w:ind w:firstLine="1089"/>
        <w:spacing w:after="0" w:line="257" w:lineRule="auto"/>
        <w:rPr>
          <w:sz w:val="20"/>
          <w:szCs w:val="20"/>
          <w:color w:val="auto"/>
        </w:rPr>
      </w:pPr>
      <w:r>
        <w:rPr>
          <w:rFonts w:ascii="Arial" w:cs="Arial" w:eastAsia="Arial" w:hAnsi="Arial"/>
          <w:sz w:val="18"/>
          <w:szCs w:val="18"/>
          <w:color w:val="auto"/>
        </w:rPr>
        <w:t xml:space="preserve">(ag)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To Seller’s knowledge, the Mortgaged Property is free from any and all toxic or hazardous substances and there exists no violation of any local, state or federal environmental law, rule or regulation. There is no pending action or proceeding directly involving any Mortgaged Property of which Seller is aware in which compliance with any environmental law, rule or regulation is an issue; and to Seller’s knowledge, nothing further remains to be done to satisfy in full all requirements of each such law, rule or regulation consisting a prerequisite to use and enjoyment of said property.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1080"/>
              <w:spacing w:after="0"/>
              <w:rPr>
                <w:sz w:val="20"/>
                <w:szCs w:val="20"/>
                <w:color w:val="auto"/>
              </w:rPr>
            </w:pPr>
            <w:r>
              <w:rPr>
                <w:rFonts w:ascii="Arial" w:cs="Arial" w:eastAsia="Arial" w:hAnsi="Arial"/>
                <w:sz w:val="18"/>
                <w:szCs w:val="18"/>
                <w:color w:val="auto"/>
              </w:rPr>
              <w:t>(ah)</w:t>
            </w:r>
          </w:p>
        </w:tc>
        <w:tc>
          <w:tcPr>
            <w:tcW w:w="9620" w:type="dxa"/>
            <w:vAlign w:val="bottom"/>
            <w:gridSpan w:val="4"/>
          </w:tcPr>
          <w:p>
            <w:pPr>
              <w:spacing w:after="0"/>
              <w:rPr>
                <w:sz w:val="20"/>
                <w:szCs w:val="20"/>
                <w:color w:val="auto"/>
              </w:rPr>
            </w:pPr>
            <w:r>
              <w:rPr>
                <w:rFonts w:ascii="Arial" w:cs="Arial" w:eastAsia="Arial" w:hAnsi="Arial"/>
                <w:sz w:val="18"/>
                <w:szCs w:val="18"/>
                <w:color w:val="auto"/>
                <w:w w:val="97"/>
              </w:rPr>
              <w:t>No Construction Loans. No Mortgage Loan was made in connection with (i) the construction or rehabilitation of a Mortgaged</w:t>
            </w:r>
          </w:p>
        </w:tc>
      </w:tr>
      <w:tr>
        <w:trPr>
          <w:trHeight w:val="20"/>
        </w:trPr>
        <w:tc>
          <w:tcPr>
            <w:tcW w:w="1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38"/>
        </w:trPr>
        <w:tc>
          <w:tcPr>
            <w:tcW w:w="11260" w:type="dxa"/>
            <w:vAlign w:val="bottom"/>
            <w:gridSpan w:val="5"/>
          </w:tcPr>
          <w:p>
            <w:pPr>
              <w:spacing w:after="0"/>
              <w:rPr>
                <w:sz w:val="20"/>
                <w:szCs w:val="20"/>
                <w:color w:val="auto"/>
              </w:rPr>
            </w:pPr>
            <w:r>
              <w:rPr>
                <w:rFonts w:ascii="Arial" w:cs="Arial" w:eastAsia="Arial" w:hAnsi="Arial"/>
                <w:sz w:val="18"/>
                <w:szCs w:val="18"/>
                <w:color w:val="auto"/>
              </w:rPr>
              <w:t>Property or (ii) facilitating the trade-in or exchange of a Mortgaged Property.</w:t>
            </w:r>
          </w:p>
        </w:tc>
      </w:tr>
      <w:tr>
        <w:trPr>
          <w:trHeight w:val="354"/>
        </w:trPr>
        <w:tc>
          <w:tcPr>
            <w:tcW w:w="1640" w:type="dxa"/>
            <w:vAlign w:val="bottom"/>
          </w:tcPr>
          <w:p>
            <w:pPr>
              <w:ind w:left="1080"/>
              <w:spacing w:after="0"/>
              <w:rPr>
                <w:sz w:val="20"/>
                <w:szCs w:val="20"/>
                <w:color w:val="auto"/>
              </w:rPr>
            </w:pPr>
            <w:r>
              <w:rPr>
                <w:rFonts w:ascii="Arial" w:cs="Arial" w:eastAsia="Arial" w:hAnsi="Arial"/>
                <w:sz w:val="18"/>
                <w:szCs w:val="18"/>
                <w:color w:val="auto"/>
              </w:rPr>
              <w:t>(ai)</w:t>
            </w:r>
          </w:p>
        </w:tc>
        <w:tc>
          <w:tcPr>
            <w:tcW w:w="9620" w:type="dxa"/>
            <w:vAlign w:val="bottom"/>
            <w:gridSpan w:val="4"/>
          </w:tcPr>
          <w:p>
            <w:pPr>
              <w:spacing w:after="0"/>
              <w:rPr>
                <w:sz w:val="20"/>
                <w:szCs w:val="20"/>
                <w:color w:val="auto"/>
              </w:rPr>
            </w:pPr>
            <w:r>
              <w:rPr>
                <w:rFonts w:ascii="Arial" w:cs="Arial" w:eastAsia="Arial" w:hAnsi="Arial"/>
                <w:sz w:val="18"/>
                <w:szCs w:val="18"/>
                <w:color w:val="auto"/>
              </w:rPr>
              <w:t>[Reserved].</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377"/>
        </w:trPr>
        <w:tc>
          <w:tcPr>
            <w:tcW w:w="1640" w:type="dxa"/>
            <w:vAlign w:val="bottom"/>
          </w:tcPr>
          <w:p>
            <w:pPr>
              <w:ind w:left="1080"/>
              <w:spacing w:after="0"/>
              <w:rPr>
                <w:sz w:val="20"/>
                <w:szCs w:val="20"/>
                <w:color w:val="auto"/>
              </w:rPr>
            </w:pPr>
            <w:r>
              <w:rPr>
                <w:rFonts w:ascii="Arial" w:cs="Arial" w:eastAsia="Arial" w:hAnsi="Arial"/>
                <w:sz w:val="18"/>
                <w:szCs w:val="18"/>
                <w:color w:val="auto"/>
              </w:rPr>
              <w:t>(aj)</w:t>
            </w:r>
          </w:p>
        </w:tc>
        <w:tc>
          <w:tcPr>
            <w:tcW w:w="9620" w:type="dxa"/>
            <w:vAlign w:val="bottom"/>
            <w:gridSpan w:val="4"/>
          </w:tcPr>
          <w:p>
            <w:pPr>
              <w:spacing w:after="0"/>
              <w:rPr>
                <w:sz w:val="20"/>
                <w:szCs w:val="20"/>
                <w:color w:val="auto"/>
              </w:rPr>
            </w:pPr>
            <w:r>
              <w:rPr>
                <w:rFonts w:ascii="Arial" w:cs="Arial" w:eastAsia="Arial" w:hAnsi="Arial"/>
                <w:sz w:val="18"/>
                <w:szCs w:val="18"/>
                <w:color w:val="auto"/>
                <w:w w:val="94"/>
              </w:rPr>
              <w:t>Regarding the Mortgagor. The Mortgagor is one or more natural persons or is an eligible living trust acceptable under Applicable</w:t>
            </w:r>
          </w:p>
        </w:tc>
      </w:tr>
      <w:tr>
        <w:trPr>
          <w:trHeight w:val="238"/>
        </w:trPr>
        <w:tc>
          <w:tcPr>
            <w:tcW w:w="1640" w:type="dxa"/>
            <w:vAlign w:val="bottom"/>
          </w:tcPr>
          <w:p>
            <w:pPr>
              <w:spacing w:after="0"/>
              <w:rPr>
                <w:sz w:val="20"/>
                <w:szCs w:val="20"/>
                <w:color w:val="auto"/>
              </w:rPr>
            </w:pPr>
            <w:r>
              <w:rPr>
                <w:rFonts w:ascii="Arial" w:cs="Arial" w:eastAsia="Arial" w:hAnsi="Arial"/>
                <w:sz w:val="18"/>
                <w:szCs w:val="18"/>
                <w:color w:val="auto"/>
              </w:rPr>
              <w:t>Requirements.</w:t>
            </w:r>
          </w:p>
        </w:tc>
        <w:tc>
          <w:tcPr>
            <w:tcW w:w="7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780" w:type="dxa"/>
            <w:vAlign w:val="bottom"/>
          </w:tcPr>
          <w:p>
            <w:pPr>
              <w:spacing w:after="0"/>
              <w:rPr>
                <w:sz w:val="20"/>
                <w:szCs w:val="20"/>
                <w:color w:val="auto"/>
              </w:rPr>
            </w:pPr>
          </w:p>
        </w:tc>
      </w:tr>
      <w:tr>
        <w:trPr>
          <w:trHeight w:val="354"/>
        </w:trPr>
        <w:tc>
          <w:tcPr>
            <w:tcW w:w="1640" w:type="dxa"/>
            <w:vAlign w:val="bottom"/>
          </w:tcPr>
          <w:p>
            <w:pPr>
              <w:ind w:left="1080"/>
              <w:spacing w:after="0"/>
              <w:rPr>
                <w:sz w:val="20"/>
                <w:szCs w:val="20"/>
                <w:color w:val="auto"/>
              </w:rPr>
            </w:pPr>
            <w:r>
              <w:rPr>
                <w:rFonts w:ascii="Arial" w:cs="Arial" w:eastAsia="Arial" w:hAnsi="Arial"/>
                <w:sz w:val="18"/>
                <w:szCs w:val="18"/>
                <w:color w:val="auto"/>
              </w:rPr>
              <w:t>(ak)</w:t>
            </w:r>
          </w:p>
        </w:tc>
        <w:tc>
          <w:tcPr>
            <w:tcW w:w="9620" w:type="dxa"/>
            <w:vAlign w:val="bottom"/>
            <w:gridSpan w:val="4"/>
          </w:tcPr>
          <w:p>
            <w:pPr>
              <w:spacing w:after="0"/>
              <w:rPr>
                <w:sz w:val="20"/>
                <w:szCs w:val="20"/>
                <w:color w:val="auto"/>
              </w:rPr>
            </w:pPr>
            <w:r>
              <w:rPr>
                <w:rFonts w:ascii="Arial" w:cs="Arial" w:eastAsia="Arial" w:hAnsi="Arial"/>
                <w:sz w:val="18"/>
                <w:szCs w:val="18"/>
                <w:color w:val="auto"/>
              </w:rPr>
              <w:t>[Reserved].</w:t>
            </w:r>
          </w:p>
        </w:tc>
      </w:tr>
      <w:tr>
        <w:trPr>
          <w:trHeight w:val="20"/>
        </w:trPr>
        <w:tc>
          <w:tcPr>
            <w:tcW w:w="1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r>
      <w:tr>
        <w:trPr>
          <w:trHeight w:val="377"/>
        </w:trPr>
        <w:tc>
          <w:tcPr>
            <w:tcW w:w="1640" w:type="dxa"/>
            <w:vAlign w:val="bottom"/>
          </w:tcPr>
          <w:p>
            <w:pPr>
              <w:ind w:left="1080"/>
              <w:spacing w:after="0"/>
              <w:rPr>
                <w:sz w:val="20"/>
                <w:szCs w:val="20"/>
                <w:color w:val="auto"/>
              </w:rPr>
            </w:pPr>
            <w:r>
              <w:rPr>
                <w:rFonts w:ascii="Arial" w:cs="Arial" w:eastAsia="Arial" w:hAnsi="Arial"/>
                <w:sz w:val="18"/>
                <w:szCs w:val="18"/>
                <w:color w:val="auto"/>
              </w:rPr>
              <w:t>(al)</w:t>
            </w:r>
          </w:p>
        </w:tc>
        <w:tc>
          <w:tcPr>
            <w:tcW w:w="9620" w:type="dxa"/>
            <w:vAlign w:val="bottom"/>
            <w:gridSpan w:val="4"/>
          </w:tcPr>
          <w:p>
            <w:pPr>
              <w:spacing w:after="0"/>
              <w:rPr>
                <w:sz w:val="20"/>
                <w:szCs w:val="20"/>
                <w:color w:val="auto"/>
              </w:rPr>
            </w:pPr>
            <w:r>
              <w:rPr>
                <w:rFonts w:ascii="Arial" w:cs="Arial" w:eastAsia="Arial" w:hAnsi="Arial"/>
                <w:sz w:val="18"/>
                <w:szCs w:val="18"/>
                <w:color w:val="auto"/>
              </w:rPr>
              <w:t>[Reserved].</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320" w:top="1221" w:right="319" w:bottom="1440" w:gutter="0" w:footer="0" w:header="0"/>
        </w:sectPr>
      </w:pPr>
    </w:p>
    <w:bookmarkStart w:id="148" w:name="page149"/>
    <w:bookmarkEnd w:id="148"/>
    <w:p>
      <w:pPr>
        <w:jc w:val="both"/>
        <w:ind w:right="20" w:firstLine="1089"/>
        <w:spacing w:after="0" w:line="264" w:lineRule="auto"/>
        <w:rPr>
          <w:sz w:val="20"/>
          <w:szCs w:val="20"/>
          <w:color w:val="auto"/>
        </w:rPr>
      </w:pPr>
      <w:r>
        <w:rPr>
          <w:rFonts w:ascii="Arial" w:cs="Arial" w:eastAsia="Arial" w:hAnsi="Arial"/>
          <w:sz w:val="18"/>
          <w:szCs w:val="18"/>
          <w:color w:val="auto"/>
        </w:rPr>
        <w:t xml:space="preserve">(am) </w:t>
      </w:r>
      <w:r>
        <w:rPr>
          <w:rFonts w:ascii="Arial" w:cs="Arial" w:eastAsia="Arial" w:hAnsi="Arial"/>
          <w:sz w:val="18"/>
          <w:szCs w:val="18"/>
          <w:u w:val="single" w:color="auto"/>
          <w:color w:val="auto"/>
        </w:rPr>
        <w:t>Predatory Lending Regulations; High Cost Loans</w:t>
      </w:r>
      <w:r>
        <w:rPr>
          <w:rFonts w:ascii="Arial" w:cs="Arial" w:eastAsia="Arial" w:hAnsi="Arial"/>
          <w:sz w:val="18"/>
          <w:szCs w:val="18"/>
          <w:color w:val="auto"/>
        </w:rPr>
        <w:t>. None of the Mortgage Loans are classified as (a) “high cost” loans under the Home Ownership and Equity Protection Act of 1994 or (b) “high cost,” “threshold,” “covered” or “predatory” loans under any other applicable state, federal or local law. None of the Mortgage Loans violate an Investor’s or Agency’s predatory lending restrictions.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ind w:left="1080"/>
              <w:spacing w:after="0"/>
              <w:rPr>
                <w:sz w:val="20"/>
                <w:szCs w:val="20"/>
                <w:color w:val="auto"/>
              </w:rPr>
            </w:pPr>
            <w:r>
              <w:rPr>
                <w:rFonts w:ascii="Arial" w:cs="Arial" w:eastAsia="Arial" w:hAnsi="Arial"/>
                <w:sz w:val="18"/>
                <w:szCs w:val="18"/>
                <w:color w:val="auto"/>
              </w:rPr>
              <w:t>(an)</w:t>
            </w:r>
          </w:p>
        </w:tc>
        <w:tc>
          <w:tcPr>
            <w:tcW w:w="9640" w:type="dxa"/>
            <w:vAlign w:val="bottom"/>
            <w:gridSpan w:val="4"/>
          </w:tcPr>
          <w:p>
            <w:pPr>
              <w:spacing w:after="0"/>
              <w:rPr>
                <w:sz w:val="20"/>
                <w:szCs w:val="20"/>
                <w:color w:val="auto"/>
              </w:rPr>
            </w:pPr>
            <w:r>
              <w:rPr>
                <w:rFonts w:ascii="Arial" w:cs="Arial" w:eastAsia="Arial" w:hAnsi="Arial"/>
                <w:sz w:val="18"/>
                <w:szCs w:val="18"/>
                <w:color w:val="auto"/>
                <w:w w:val="91"/>
              </w:rPr>
              <w:t>Single Premium Credit Life Insurance. None of the proceeds of the Mortgage Loan have been used to finance single premium credit</w:t>
            </w:r>
          </w:p>
        </w:tc>
      </w:tr>
      <w:tr>
        <w:trPr>
          <w:trHeight w:val="20"/>
        </w:trPr>
        <w:tc>
          <w:tcPr>
            <w:tcW w:w="1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38"/>
        </w:trPr>
        <w:tc>
          <w:tcPr>
            <w:tcW w:w="11260" w:type="dxa"/>
            <w:vAlign w:val="bottom"/>
            <w:gridSpan w:val="5"/>
          </w:tcPr>
          <w:p>
            <w:pPr>
              <w:spacing w:after="0"/>
              <w:rPr>
                <w:sz w:val="20"/>
                <w:szCs w:val="20"/>
                <w:color w:val="auto"/>
              </w:rPr>
            </w:pPr>
            <w:r>
              <w:rPr>
                <w:rFonts w:ascii="Arial" w:cs="Arial" w:eastAsia="Arial" w:hAnsi="Arial"/>
                <w:sz w:val="18"/>
                <w:szCs w:val="18"/>
                <w:color w:val="auto"/>
              </w:rPr>
              <w:t>life insurance policies.</w:t>
            </w:r>
          </w:p>
        </w:tc>
      </w:tr>
      <w:tr>
        <w:trPr>
          <w:trHeight w:val="354"/>
        </w:trPr>
        <w:tc>
          <w:tcPr>
            <w:tcW w:w="1620" w:type="dxa"/>
            <w:vAlign w:val="bottom"/>
          </w:tcPr>
          <w:p>
            <w:pPr>
              <w:ind w:left="1080"/>
              <w:spacing w:after="0"/>
              <w:rPr>
                <w:sz w:val="20"/>
                <w:szCs w:val="20"/>
                <w:color w:val="auto"/>
              </w:rPr>
            </w:pPr>
            <w:r>
              <w:rPr>
                <w:rFonts w:ascii="Arial" w:cs="Arial" w:eastAsia="Arial" w:hAnsi="Arial"/>
                <w:sz w:val="18"/>
                <w:szCs w:val="18"/>
                <w:color w:val="auto"/>
              </w:rPr>
              <w:t>(ao)</w:t>
            </w:r>
          </w:p>
        </w:tc>
        <w:tc>
          <w:tcPr>
            <w:tcW w:w="9640" w:type="dxa"/>
            <w:vAlign w:val="bottom"/>
            <w:gridSpan w:val="4"/>
          </w:tcPr>
          <w:p>
            <w:pPr>
              <w:spacing w:after="0"/>
              <w:rPr>
                <w:sz w:val="20"/>
                <w:szCs w:val="20"/>
                <w:color w:val="auto"/>
              </w:rPr>
            </w:pPr>
            <w:r>
              <w:rPr>
                <w:rFonts w:ascii="Arial" w:cs="Arial" w:eastAsia="Arial" w:hAnsi="Arial"/>
                <w:sz w:val="18"/>
                <w:szCs w:val="18"/>
                <w:color w:val="auto"/>
                <w:w w:val="92"/>
              </w:rPr>
              <w:t>Filing of Reports. Seller has filed in a timely manner all reports required by the Investors and Insurers with respect to the Mortgage</w:t>
            </w:r>
          </w:p>
        </w:tc>
      </w:tr>
      <w:tr>
        <w:trPr>
          <w:trHeight w:val="20"/>
        </w:trPr>
        <w:tc>
          <w:tcPr>
            <w:tcW w:w="1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38"/>
        </w:trPr>
        <w:tc>
          <w:tcPr>
            <w:tcW w:w="11260" w:type="dxa"/>
            <w:vAlign w:val="bottom"/>
            <w:gridSpan w:val="5"/>
          </w:tcPr>
          <w:p>
            <w:pPr>
              <w:spacing w:after="0"/>
              <w:rPr>
                <w:sz w:val="20"/>
                <w:szCs w:val="20"/>
                <w:color w:val="auto"/>
              </w:rPr>
            </w:pPr>
            <w:r>
              <w:rPr>
                <w:rFonts w:ascii="Arial" w:cs="Arial" w:eastAsia="Arial" w:hAnsi="Arial"/>
                <w:sz w:val="18"/>
                <w:szCs w:val="18"/>
                <w:color w:val="auto"/>
              </w:rPr>
              <w:t>Loans and the Servicing Rights.</w:t>
            </w:r>
          </w:p>
        </w:tc>
      </w:tr>
      <w:tr>
        <w:trPr>
          <w:trHeight w:val="354"/>
        </w:trPr>
        <w:tc>
          <w:tcPr>
            <w:tcW w:w="1620" w:type="dxa"/>
            <w:vAlign w:val="bottom"/>
          </w:tcPr>
          <w:p>
            <w:pPr>
              <w:ind w:left="1080"/>
              <w:spacing w:after="0"/>
              <w:rPr>
                <w:sz w:val="20"/>
                <w:szCs w:val="20"/>
                <w:color w:val="auto"/>
              </w:rPr>
            </w:pPr>
            <w:r>
              <w:rPr>
                <w:rFonts w:ascii="Arial" w:cs="Arial" w:eastAsia="Arial" w:hAnsi="Arial"/>
                <w:sz w:val="18"/>
                <w:szCs w:val="18"/>
                <w:color w:val="auto"/>
              </w:rPr>
              <w:t>(ap)</w:t>
            </w:r>
          </w:p>
        </w:tc>
        <w:tc>
          <w:tcPr>
            <w:tcW w:w="9640" w:type="dxa"/>
            <w:vAlign w:val="bottom"/>
            <w:gridSpan w:val="4"/>
          </w:tcPr>
          <w:p>
            <w:pPr>
              <w:spacing w:after="0"/>
              <w:rPr>
                <w:sz w:val="20"/>
                <w:szCs w:val="20"/>
                <w:color w:val="auto"/>
              </w:rPr>
            </w:pPr>
            <w:r>
              <w:rPr>
                <w:rFonts w:ascii="Arial" w:cs="Arial" w:eastAsia="Arial" w:hAnsi="Arial"/>
                <w:sz w:val="18"/>
                <w:szCs w:val="18"/>
                <w:color w:val="auto"/>
                <w:w w:val="90"/>
              </w:rPr>
              <w:t>Representations and Warranties to the Investors and Insurers. All representations and warranties made by Seller to the Investors and</w:t>
            </w:r>
          </w:p>
        </w:tc>
      </w:tr>
      <w:tr>
        <w:trPr>
          <w:trHeight w:val="20"/>
        </w:trPr>
        <w:tc>
          <w:tcPr>
            <w:tcW w:w="1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Insurers in connection with the Mortgage Loans and Servicing Rights in any Servicing Agreement or otherwise were true and correct as of the date made and are incorporated herein by reference and inure to the benefit of Purchaser.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1080"/>
              <w:spacing w:after="0"/>
              <w:rPr>
                <w:sz w:val="20"/>
                <w:szCs w:val="20"/>
                <w:color w:val="auto"/>
              </w:rPr>
            </w:pPr>
            <w:r>
              <w:rPr>
                <w:rFonts w:ascii="Arial" w:cs="Arial" w:eastAsia="Arial" w:hAnsi="Arial"/>
                <w:sz w:val="18"/>
                <w:szCs w:val="18"/>
                <w:color w:val="auto"/>
              </w:rPr>
              <w:t>(aq)</w:t>
            </w:r>
          </w:p>
        </w:tc>
        <w:tc>
          <w:tcPr>
            <w:tcW w:w="9620" w:type="dxa"/>
            <w:vAlign w:val="bottom"/>
            <w:gridSpan w:val="3"/>
          </w:tcPr>
          <w:p>
            <w:pPr>
              <w:spacing w:after="0"/>
              <w:rPr>
                <w:sz w:val="20"/>
                <w:szCs w:val="20"/>
                <w:color w:val="auto"/>
              </w:rPr>
            </w:pPr>
            <w:r>
              <w:rPr>
                <w:rFonts w:ascii="Arial" w:cs="Arial" w:eastAsia="Arial" w:hAnsi="Arial"/>
                <w:sz w:val="18"/>
                <w:szCs w:val="18"/>
                <w:color w:val="auto"/>
                <w:w w:val="95"/>
              </w:rPr>
              <w:t>No Bond Program Loans. None of the Mortgage Loans were originated pursuant to, or in accordance with, any state, county or</w:t>
            </w:r>
          </w:p>
        </w:tc>
      </w:tr>
      <w:tr>
        <w:trPr>
          <w:trHeight w:val="20"/>
        </w:trPr>
        <w:tc>
          <w:tcPr>
            <w:tcW w:w="1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8"/>
        </w:trPr>
        <w:tc>
          <w:tcPr>
            <w:tcW w:w="11260" w:type="dxa"/>
            <w:vAlign w:val="bottom"/>
            <w:gridSpan w:val="4"/>
          </w:tcPr>
          <w:p>
            <w:pPr>
              <w:spacing w:after="0"/>
              <w:rPr>
                <w:sz w:val="20"/>
                <w:szCs w:val="20"/>
                <w:color w:val="auto"/>
              </w:rPr>
            </w:pPr>
            <w:r>
              <w:rPr>
                <w:rFonts w:ascii="Arial" w:cs="Arial" w:eastAsia="Arial" w:hAnsi="Arial"/>
                <w:sz w:val="18"/>
                <w:szCs w:val="18"/>
                <w:color w:val="auto"/>
              </w:rPr>
              <w:t>other housing finance agency bond program.</w:t>
            </w:r>
          </w:p>
        </w:tc>
      </w:tr>
      <w:tr>
        <w:trPr>
          <w:trHeight w:val="354"/>
        </w:trPr>
        <w:tc>
          <w:tcPr>
            <w:tcW w:w="1640" w:type="dxa"/>
            <w:vAlign w:val="bottom"/>
          </w:tcPr>
          <w:p>
            <w:pPr>
              <w:ind w:left="1080"/>
              <w:spacing w:after="0"/>
              <w:rPr>
                <w:sz w:val="20"/>
                <w:szCs w:val="20"/>
                <w:color w:val="auto"/>
              </w:rPr>
            </w:pPr>
            <w:r>
              <w:rPr>
                <w:rFonts w:ascii="Arial" w:cs="Arial" w:eastAsia="Arial" w:hAnsi="Arial"/>
                <w:sz w:val="18"/>
                <w:szCs w:val="18"/>
                <w:color w:val="auto"/>
              </w:rPr>
              <w:t>(ar)</w:t>
            </w:r>
          </w:p>
        </w:tc>
        <w:tc>
          <w:tcPr>
            <w:tcW w:w="9620" w:type="dxa"/>
            <w:vAlign w:val="bottom"/>
            <w:gridSpan w:val="3"/>
          </w:tcPr>
          <w:p>
            <w:pPr>
              <w:spacing w:after="0"/>
              <w:rPr>
                <w:sz w:val="20"/>
                <w:szCs w:val="20"/>
                <w:color w:val="auto"/>
              </w:rPr>
            </w:pPr>
            <w:r>
              <w:rPr>
                <w:rFonts w:ascii="Arial" w:cs="Arial" w:eastAsia="Arial" w:hAnsi="Arial"/>
                <w:sz w:val="18"/>
                <w:szCs w:val="18"/>
                <w:color w:val="auto"/>
                <w:w w:val="96"/>
              </w:rPr>
              <w:t>No Fraud. No misrepresentation, error or fraudulent action or omission has occurred on the part of Seller or any other Person</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(including without limitation any borrower, appraiser, builder or developer, credit reporting agency, settlement agent, realtor, broker or correspondent) in connection with the origination and/or servicing of any Mortgage Loan, any Servicing Agreement or the application of any insurance proceeds with respect to a Mortgage Loan or the Mortgaged Property.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1080"/>
              <w:spacing w:after="0"/>
              <w:rPr>
                <w:sz w:val="20"/>
                <w:szCs w:val="20"/>
                <w:color w:val="auto"/>
              </w:rPr>
            </w:pPr>
            <w:r>
              <w:rPr>
                <w:rFonts w:ascii="Arial" w:cs="Arial" w:eastAsia="Arial" w:hAnsi="Arial"/>
                <w:sz w:val="18"/>
                <w:szCs w:val="18"/>
                <w:color w:val="auto"/>
              </w:rPr>
              <w:t>(as)</w:t>
            </w:r>
          </w:p>
        </w:tc>
        <w:tc>
          <w:tcPr>
            <w:tcW w:w="9620" w:type="dxa"/>
            <w:vAlign w:val="bottom"/>
            <w:gridSpan w:val="3"/>
          </w:tcPr>
          <w:p>
            <w:pPr>
              <w:spacing w:after="0"/>
              <w:rPr>
                <w:sz w:val="20"/>
                <w:szCs w:val="20"/>
                <w:color w:val="auto"/>
              </w:rPr>
            </w:pPr>
            <w:r>
              <w:rPr>
                <w:rFonts w:ascii="Arial" w:cs="Arial" w:eastAsia="Arial" w:hAnsi="Arial"/>
                <w:sz w:val="18"/>
                <w:szCs w:val="18"/>
                <w:color w:val="auto"/>
                <w:w w:val="94"/>
              </w:rPr>
              <w:t>OFAC. Seller has complied with all anti-money laundering laws and regulations applicable to it as originator, seller and Servicer,</w:t>
            </w:r>
          </w:p>
        </w:tc>
      </w:tr>
      <w:tr>
        <w:trPr>
          <w:trHeight w:val="20"/>
        </w:trPr>
        <w:tc>
          <w:tcPr>
            <w:tcW w:w="1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8"/>
        </w:trPr>
        <w:tc>
          <w:tcPr>
            <w:tcW w:w="11260" w:type="dxa"/>
            <w:vAlign w:val="bottom"/>
            <w:gridSpan w:val="4"/>
          </w:tcPr>
          <w:p>
            <w:pPr>
              <w:spacing w:after="0"/>
              <w:rPr>
                <w:sz w:val="20"/>
                <w:szCs w:val="20"/>
                <w:color w:val="auto"/>
              </w:rPr>
            </w:pPr>
            <w:r>
              <w:rPr>
                <w:rFonts w:ascii="Arial" w:cs="Arial" w:eastAsia="Arial" w:hAnsi="Arial"/>
                <w:sz w:val="18"/>
                <w:szCs w:val="18"/>
                <w:color w:val="auto"/>
              </w:rPr>
              <w:t>and has established an anti-money laundering compliance program as required by such anti-money laundering laws and regulations.</w:t>
            </w:r>
          </w:p>
        </w:tc>
      </w:tr>
      <w:tr>
        <w:trPr>
          <w:trHeight w:val="354"/>
        </w:trPr>
        <w:tc>
          <w:tcPr>
            <w:tcW w:w="1640" w:type="dxa"/>
            <w:vAlign w:val="bottom"/>
          </w:tcPr>
          <w:p>
            <w:pPr>
              <w:ind w:left="1080"/>
              <w:spacing w:after="0"/>
              <w:rPr>
                <w:sz w:val="20"/>
                <w:szCs w:val="20"/>
                <w:color w:val="auto"/>
              </w:rPr>
            </w:pPr>
            <w:r>
              <w:rPr>
                <w:rFonts w:ascii="Arial" w:cs="Arial" w:eastAsia="Arial" w:hAnsi="Arial"/>
                <w:sz w:val="18"/>
                <w:szCs w:val="18"/>
                <w:color w:val="auto"/>
              </w:rPr>
              <w:t>(at)</w:t>
            </w:r>
          </w:p>
        </w:tc>
        <w:tc>
          <w:tcPr>
            <w:tcW w:w="9620" w:type="dxa"/>
            <w:vAlign w:val="bottom"/>
            <w:gridSpan w:val="3"/>
          </w:tcPr>
          <w:p>
            <w:pPr>
              <w:spacing w:after="0"/>
              <w:rPr>
                <w:sz w:val="20"/>
                <w:szCs w:val="20"/>
                <w:color w:val="auto"/>
              </w:rPr>
            </w:pPr>
            <w:r>
              <w:rPr>
                <w:rFonts w:ascii="Arial" w:cs="Arial" w:eastAsia="Arial" w:hAnsi="Arial"/>
                <w:sz w:val="18"/>
                <w:szCs w:val="18"/>
                <w:color w:val="auto"/>
                <w:w w:val="96"/>
              </w:rPr>
              <w:t>No Refinance Arrangement. There is no application submitted by a Mortgagor to Seller or any of its Affiliates to refinance any</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Mortgage Loan provided that this Subsection 5.01(tt) shall not apply to any applications that have been terminated by the related Mortgagor or that have been declined by Seller or its Affiliates.</w:t>
      </w:r>
    </w:p>
    <w:p>
      <w:pPr>
        <w:spacing w:after="0" w:line="133" w:lineRule="exact"/>
        <w:rPr>
          <w:sz w:val="20"/>
          <w:szCs w:val="20"/>
          <w:color w:val="auto"/>
        </w:rPr>
      </w:pPr>
    </w:p>
    <w:p>
      <w:pPr>
        <w:jc w:val="both"/>
        <w:ind w:firstLine="1089"/>
        <w:spacing w:after="0" w:line="279" w:lineRule="auto"/>
        <w:rPr>
          <w:sz w:val="20"/>
          <w:szCs w:val="20"/>
          <w:color w:val="auto"/>
        </w:rPr>
      </w:pPr>
      <w:r>
        <w:rPr>
          <w:rFonts w:ascii="Arial" w:cs="Arial" w:eastAsia="Arial" w:hAnsi="Arial"/>
          <w:sz w:val="17"/>
          <w:szCs w:val="17"/>
          <w:color w:val="auto"/>
        </w:rPr>
        <w:t xml:space="preserve">(au) </w:t>
      </w:r>
      <w:r>
        <w:rPr>
          <w:rFonts w:ascii="Arial" w:cs="Arial" w:eastAsia="Arial" w:hAnsi="Arial"/>
          <w:sz w:val="17"/>
          <w:szCs w:val="17"/>
          <w:u w:val="single" w:color="auto"/>
          <w:color w:val="auto"/>
        </w:rPr>
        <w:t>Repurchased or Indemnification Loans</w:t>
      </w:r>
      <w:r>
        <w:rPr>
          <w:rFonts w:ascii="Arial" w:cs="Arial" w:eastAsia="Arial" w:hAnsi="Arial"/>
          <w:sz w:val="17"/>
          <w:szCs w:val="17"/>
          <w:color w:val="auto"/>
        </w:rPr>
        <w:t>. None of the Mortgage Loans are subject to any demand or request for repurchase by an Investor or any other Person for which the relevant Investor cure period has expired. None of the Mortgage Loans are subject to any indemnification or “make whole” agreement, reimbursement arrangement or similar agreement are arrangement pursuant to which Purchaser may be required to indemnify, make whole or reimburse an Investor, Insurer or any other Person for any Loss or other amounts related to such Mortgage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320" w:top="1221" w:right="319" w:bottom="1440" w:gutter="0" w:footer="0" w:header="0"/>
        </w:sectPr>
      </w:pPr>
    </w:p>
    <w:bookmarkStart w:id="149" w:name="page150"/>
    <w:bookmarkEnd w:id="149"/>
    <w:tbl>
      <w:tblPr>
        <w:tblLayout w:type="fixed"/>
        <w:tblInd w:w="108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(av)</w:t>
            </w:r>
          </w:p>
        </w:tc>
        <w:tc>
          <w:tcPr>
            <w:tcW w:w="9640" w:type="dxa"/>
            <w:vAlign w:val="bottom"/>
            <w:gridSpan w:val="4"/>
          </w:tcPr>
          <w:p>
            <w:pPr>
              <w:spacing w:after="0"/>
              <w:rPr>
                <w:sz w:val="20"/>
                <w:szCs w:val="20"/>
                <w:color w:val="auto"/>
              </w:rPr>
            </w:pPr>
            <w:r>
              <w:rPr>
                <w:rFonts w:ascii="Arial" w:cs="Arial" w:eastAsia="Arial" w:hAnsi="Arial"/>
                <w:sz w:val="18"/>
                <w:szCs w:val="18"/>
                <w:color w:val="auto"/>
                <w:w w:val="92"/>
              </w:rPr>
              <w:t>Government Insurance. No Mortgage Loan is insured by the FHA or guaranteed by the VA or USDA or is a HUD repossessed loan.</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(aw)</w:t>
            </w: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[Reserved].</w:t>
            </w:r>
          </w:p>
        </w:tc>
        <w:tc>
          <w:tcPr>
            <w:tcW w:w="7980" w:type="dxa"/>
            <w:vAlign w:val="bottom"/>
            <w:gridSpan w:val="2"/>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(ax)</w:t>
            </w:r>
          </w:p>
        </w:tc>
        <w:tc>
          <w:tcPr>
            <w:tcW w:w="9640" w:type="dxa"/>
            <w:vAlign w:val="bottom"/>
            <w:gridSpan w:val="4"/>
          </w:tcPr>
          <w:p>
            <w:pPr>
              <w:spacing w:after="0"/>
              <w:rPr>
                <w:sz w:val="20"/>
                <w:szCs w:val="20"/>
                <w:color w:val="auto"/>
              </w:rPr>
            </w:pPr>
            <w:r>
              <w:rPr>
                <w:rFonts w:ascii="Arial" w:cs="Arial" w:eastAsia="Arial" w:hAnsi="Arial"/>
                <w:sz w:val="18"/>
                <w:szCs w:val="18"/>
                <w:color w:val="auto"/>
                <w:w w:val="93"/>
              </w:rPr>
              <w:t>Servicing Fee/Initial Servicing Rights. The Servicing Fee reflected on the Electronic Data File and Mortgage Loan Schedule is net</w:t>
            </w: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guaranty fees and lender paid mortgage insurance premiums. The Servicing Rights being sold in this transaction are the Servicing Rights initially created with respect to the Mortgage Loan and have not been and are not currently subject to any agreement purporting to sell “excess yield” or “excess servicing fees” and there has been no previous modification or amendment relating to the Servicing Rights or Servicing Fees, or any sale, transfer, conveyance or assignment of less than 100% of the Servicing Rights initially created with respect to the Mortgage Loans.</w:t>
      </w:r>
    </w:p>
    <w:p>
      <w:pPr>
        <w:spacing w:after="0" w:line="131" w:lineRule="exact"/>
        <w:rPr>
          <w:sz w:val="20"/>
          <w:szCs w:val="20"/>
          <w:color w:val="auto"/>
        </w:rPr>
      </w:pPr>
    </w:p>
    <w:p>
      <w:pPr>
        <w:jc w:val="both"/>
        <w:ind w:firstLine="545"/>
        <w:spacing w:after="0" w:line="287" w:lineRule="auto"/>
        <w:rPr>
          <w:sz w:val="20"/>
          <w:szCs w:val="20"/>
          <w:color w:val="auto"/>
        </w:rPr>
      </w:pPr>
      <w:r>
        <w:rPr>
          <w:rFonts w:ascii="Arial" w:cs="Arial" w:eastAsia="Arial" w:hAnsi="Arial"/>
          <w:sz w:val="16"/>
          <w:szCs w:val="16"/>
          <w:b w:val="1"/>
          <w:bCs w:val="1"/>
          <w:color w:val="auto"/>
        </w:rPr>
        <w:t xml:space="preserve">Section V.2 </w:t>
      </w:r>
      <w:r>
        <w:rPr>
          <w:rFonts w:ascii="Arial" w:cs="Arial" w:eastAsia="Arial" w:hAnsi="Arial"/>
          <w:sz w:val="16"/>
          <w:szCs w:val="16"/>
          <w:b w:val="1"/>
          <w:bCs w:val="1"/>
          <w:u w:val="single" w:color="auto"/>
          <w:color w:val="auto"/>
        </w:rPr>
        <w:t>Custodial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All Custodial Accounts required to be maintained by Seller have been established and continuously</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maintained in accordance with Applicable Requirements. Custodial Funds received by Seller have been credited to the appropriate Custodial Account, and have been retained in and disbursed from the Custodial Accounts in accordance with Applicable Requirements. In accordance with Applicable Requirements, Seller has analyzed the payments required to be deposited into the Custodial Accounts and adjusted the payment thereto in order to eliminate any deficiency. For the avoidance of doubt, prior to transferring the Custodial Funds, Seller shall fully fund the Custodial Account to take into account all prepaid principal, including prepayments in full and curtailments, and interest received with respect to the Mortgage Loans. With regard to Mortgage Loans that provide for Mortgage Escrow Payments, Seller and each Originator and Prior Servicer has (a) computed the amount of such payments in accordance with Applicable Requirements, (b) paid on a timely basis all charges and other items to be paid out of the Mortgage Escrow Payments, and when required by the applicable Servicing Agreements has advanced its own funds to pay such charges and items, and (c) delivered to the related Mortgagors the statements and notices required by Applicable Requirements in connection with Custodial Accounts, including statements of taxes and other items paid out of the Mortgage Escrow Payments and notices of adjustments to the amount of the Mortgage Escrow Payments.</w:t>
      </w:r>
    </w:p>
    <w:p>
      <w:pPr>
        <w:spacing w:after="0" w:line="133" w:lineRule="exact"/>
        <w:rPr>
          <w:sz w:val="20"/>
          <w:szCs w:val="20"/>
          <w:color w:val="auto"/>
        </w:rPr>
      </w:pPr>
    </w:p>
    <w:p>
      <w:pPr>
        <w:jc w:val="both"/>
        <w:ind w:firstLine="545"/>
        <w:spacing w:after="0" w:line="256" w:lineRule="auto"/>
        <w:rPr>
          <w:sz w:val="20"/>
          <w:szCs w:val="20"/>
          <w:color w:val="auto"/>
        </w:rPr>
      </w:pPr>
      <w:r>
        <w:rPr>
          <w:rFonts w:ascii="Arial" w:cs="Arial" w:eastAsia="Arial" w:hAnsi="Arial"/>
          <w:sz w:val="18"/>
          <w:szCs w:val="18"/>
          <w:b w:val="1"/>
          <w:bCs w:val="1"/>
          <w:color w:val="auto"/>
        </w:rPr>
        <w:t xml:space="preserve">Section V.3 </w:t>
      </w:r>
      <w:r>
        <w:rPr>
          <w:rFonts w:ascii="Arial" w:cs="Arial" w:eastAsia="Arial" w:hAnsi="Arial"/>
          <w:sz w:val="18"/>
          <w:szCs w:val="18"/>
          <w:b w:val="1"/>
          <w:bCs w:val="1"/>
          <w:u w:val="single" w:color="auto"/>
          <w:color w:val="auto"/>
        </w:rPr>
        <w:t>Advances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Advances to be reimbursed by Purchaser hereunder are valid and subsisting accounts owing to Seller,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and in accordance with Applicable Requirements, are eligible for reimbursement from an Investor or Insurers, are carried on the books of Seller at values determined in accordance with generally accepted accounting principles and are not subject to any set-off or claim that could be asserted against Seller or a Servicer. Each Advance has supporting backup documentation in original, electronic or imaged form, Seller has not received any notice from an Investor, any Insurer or other Person in which an Investor, Insurer or Person disputes or denies a claim by Seller for reimbursement in connection with an Advance.</w:t>
      </w:r>
    </w:p>
    <w:p>
      <w:pPr>
        <w:spacing w:after="0" w:line="15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V.4 </w:t>
      </w:r>
      <w:r>
        <w:rPr>
          <w:rFonts w:ascii="Arial" w:cs="Arial" w:eastAsia="Arial" w:hAnsi="Arial"/>
          <w:sz w:val="18"/>
          <w:szCs w:val="18"/>
          <w:b w:val="1"/>
          <w:bCs w:val="1"/>
          <w:u w:val="single" w:color="auto"/>
          <w:color w:val="auto"/>
        </w:rPr>
        <w:t>Investor Remittances and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Seller and, to the extent applicable, each Originator and Prior Servicer, have remitted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made available to an Investor (i) all principal and interest payments received to which an Investor is entitled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320" w:top="1203" w:right="319" w:bottom="1440" w:gutter="0" w:footer="0" w:header="0"/>
        </w:sectPr>
      </w:pPr>
    </w:p>
    <w:bookmarkStart w:id="150" w:name="page151"/>
    <w:bookmarkEnd w:id="150"/>
    <w:p>
      <w:pPr>
        <w:jc w:val="both"/>
        <w:ind w:right="20"/>
        <w:spacing w:after="0" w:line="264" w:lineRule="auto"/>
        <w:rPr>
          <w:sz w:val="20"/>
          <w:szCs w:val="20"/>
          <w:color w:val="auto"/>
        </w:rPr>
      </w:pPr>
      <w:r>
        <w:rPr>
          <w:rFonts w:ascii="Arial" w:cs="Arial" w:eastAsia="Arial" w:hAnsi="Arial"/>
          <w:sz w:val="18"/>
          <w:szCs w:val="18"/>
          <w:color w:val="auto"/>
        </w:rPr>
        <w:t>applicable Servicing Agreements, including any guaranty fees, and (ii) all Advances of principal and interest payments required by such Servicing Agreements. In accordance with Applicable Requirements, Seller has prepared and submitted to an Investor all reports in connection with such payments required by Applicable Requirements.</w:t>
      </w:r>
    </w:p>
    <w:p>
      <w:pPr>
        <w:spacing w:after="0" w:line="141" w:lineRule="exact"/>
        <w:rPr>
          <w:sz w:val="20"/>
          <w:szCs w:val="20"/>
          <w:color w:val="auto"/>
        </w:rPr>
      </w:pPr>
    </w:p>
    <w:p>
      <w:pPr>
        <w:jc w:val="both"/>
        <w:ind w:firstLine="545"/>
        <w:spacing w:after="0" w:line="270" w:lineRule="auto"/>
        <w:rPr>
          <w:sz w:val="20"/>
          <w:szCs w:val="20"/>
          <w:color w:val="auto"/>
        </w:rPr>
      </w:pPr>
      <w:r>
        <w:rPr>
          <w:rFonts w:ascii="Arial" w:cs="Arial" w:eastAsia="Arial" w:hAnsi="Arial"/>
          <w:sz w:val="17"/>
          <w:szCs w:val="17"/>
          <w:b w:val="1"/>
          <w:bCs w:val="1"/>
          <w:color w:val="auto"/>
        </w:rPr>
        <w:t xml:space="preserve">Section V.5 </w:t>
      </w:r>
      <w:r>
        <w:rPr>
          <w:rFonts w:ascii="Arial" w:cs="Arial" w:eastAsia="Arial" w:hAnsi="Arial"/>
          <w:sz w:val="17"/>
          <w:szCs w:val="17"/>
          <w:b w:val="1"/>
          <w:bCs w:val="1"/>
          <w:u w:val="single" w:color="auto"/>
          <w:color w:val="auto"/>
        </w:rPr>
        <w:t>Mortgage File; Pools</w:t>
      </w:r>
      <w:r>
        <w:rPr>
          <w:rFonts w:ascii="Arial" w:cs="Arial" w:eastAsia="Arial" w:hAnsi="Arial"/>
          <w:sz w:val="17"/>
          <w:szCs w:val="17"/>
          <w:b w:val="1"/>
          <w:bCs w:val="1"/>
          <w:color w:val="auto"/>
        </w:rPr>
        <w:t xml:space="preserve">. </w:t>
      </w:r>
      <w:r>
        <w:rPr>
          <w:rFonts w:ascii="Arial" w:cs="Arial" w:eastAsia="Arial" w:hAnsi="Arial"/>
          <w:sz w:val="17"/>
          <w:szCs w:val="17"/>
          <w:color w:val="auto"/>
        </w:rPr>
        <w:t>Each Mortgage File contains each of the documents and instruments specified by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Servicing Transfer Instructions to be included therein and required to be maintained under Applicable Requirements. All books, records and accounts of Seller and Seller’s document custodian with respect to the Servicing Rights and the Mortgage Loans are materially complete, properly maintained, and accurately reflect the subject matter thereof in all material respects. All Pools are eligible for initial certification, final certification and/or recertification, as applicable, in accordance with Applicable Requirements. Seller shall cooperate with Purchaser to obtain by the appropriate deadline any required certification or recertification of Pools in connection with the transfer of Servicing Rights to Purchaser hereunder. The Collateral Files delivered to the Document Custodian will include all documents necessary in order for the Document Custodian to recertify the Pools in accordance with Applicable Requirements. Each Mortgage Loan included in a Pool meets all eligibility requirements for inclusion in such Pool, and Seller caused each Pool to be properly formed. Each Pool is properly balanced and fully funded.</w:t>
      </w:r>
    </w:p>
    <w:p>
      <w:pPr>
        <w:spacing w:after="0" w:line="143" w:lineRule="exact"/>
        <w:rPr>
          <w:sz w:val="20"/>
          <w:szCs w:val="20"/>
          <w:color w:val="auto"/>
        </w:rPr>
      </w:pPr>
    </w:p>
    <w:p>
      <w:pPr>
        <w:jc w:val="both"/>
        <w:ind w:firstLine="545"/>
        <w:spacing w:after="0" w:line="255" w:lineRule="auto"/>
        <w:rPr>
          <w:sz w:val="20"/>
          <w:szCs w:val="20"/>
          <w:color w:val="auto"/>
        </w:rPr>
      </w:pPr>
      <w:r>
        <w:rPr>
          <w:rFonts w:ascii="Arial" w:cs="Arial" w:eastAsia="Arial" w:hAnsi="Arial"/>
          <w:sz w:val="18"/>
          <w:szCs w:val="18"/>
          <w:b w:val="1"/>
          <w:bCs w:val="1"/>
          <w:color w:val="auto"/>
        </w:rPr>
        <w:t xml:space="preserve">Section V.6 </w:t>
      </w:r>
      <w:r>
        <w:rPr>
          <w:rFonts w:ascii="Arial" w:cs="Arial" w:eastAsia="Arial" w:hAnsi="Arial"/>
          <w:sz w:val="18"/>
          <w:szCs w:val="18"/>
          <w:b w:val="1"/>
          <w:bCs w:val="1"/>
          <w:u w:val="single" w:color="auto"/>
          <w:color w:val="auto"/>
        </w:rPr>
        <w:t>Good 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Applicable Requirements, Seller is the sole owner and holder of all right, title and interest in and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Rights. The sale, transfer and assignment by Seller to Purchaser of the Servicing Rights, and the instruments required to be executed by Seller and delivered to Purchaser pursuant to Applicable Requirements, are, and will be on the Sale Date and the Transfer Date, valid and enforceable in accordance with their terms and will effectively vest in Purchaser good and marketable title to the Servicing Rights, free and clear of any and all liens, claims, or encumbrances, except for those encumbrances required by Applicable Requirements or liens that shall be released on or prior to the Sale Date. Seller has full right and authority, subject to no interest (other than an Investor’s interest), or agreement with, any other party to sell and assign the Servicing Rights to Purchaser pursuant to this Agreement.</w:t>
      </w:r>
    </w:p>
    <w:p>
      <w:pPr>
        <w:spacing w:after="0" w:line="151"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V.7 </w:t>
      </w:r>
      <w:r>
        <w:rPr>
          <w:rFonts w:ascii="Arial" w:cs="Arial" w:eastAsia="Arial" w:hAnsi="Arial"/>
          <w:sz w:val="18"/>
          <w:szCs w:val="18"/>
          <w:b w:val="1"/>
          <w:bCs w:val="1"/>
          <w:u w:val="single" w:color="auto"/>
          <w:color w:val="auto"/>
        </w:rPr>
        <w:t>Internal Audits</w:t>
      </w:r>
      <w:r>
        <w:rPr>
          <w:rFonts w:ascii="Arial" w:cs="Arial" w:eastAsia="Arial" w:hAnsi="Arial"/>
          <w:sz w:val="18"/>
          <w:szCs w:val="18"/>
          <w:b w:val="1"/>
          <w:bCs w:val="1"/>
          <w:color w:val="auto"/>
        </w:rPr>
        <w:t xml:space="preserve">. </w:t>
      </w:r>
      <w:r>
        <w:rPr>
          <w:rFonts w:ascii="Arial" w:cs="Arial" w:eastAsia="Arial" w:hAnsi="Arial"/>
          <w:sz w:val="18"/>
          <w:szCs w:val="18"/>
          <w:color w:val="auto"/>
        </w:rPr>
        <w:t>The Mortgage Loans have been subject to Seller’s origination, servicing, quality control reviews and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audits to no less a degree than other residential mortgage loans originated or serviced by Seller and such quality control review and internal audits have not revealed a material failure to comply with Applicable Requirements in connection with the Mortgage Loans.</w:t>
      </w:r>
    </w:p>
    <w:p>
      <w:pPr>
        <w:spacing w:after="0" w:line="140" w:lineRule="exact"/>
        <w:rPr>
          <w:sz w:val="20"/>
          <w:szCs w:val="20"/>
          <w:color w:val="auto"/>
        </w:rPr>
      </w:pPr>
    </w:p>
    <w:p>
      <w:pPr>
        <w:jc w:val="both"/>
        <w:ind w:right="20" w:firstLine="545"/>
        <w:spacing w:after="0" w:line="283" w:lineRule="auto"/>
        <w:rPr>
          <w:sz w:val="20"/>
          <w:szCs w:val="20"/>
          <w:color w:val="auto"/>
        </w:rPr>
      </w:pPr>
      <w:r>
        <w:rPr>
          <w:rFonts w:ascii="Arial" w:cs="Arial" w:eastAsia="Arial" w:hAnsi="Arial"/>
          <w:sz w:val="18"/>
          <w:szCs w:val="18"/>
          <w:b w:val="1"/>
          <w:bCs w:val="1"/>
          <w:color w:val="auto"/>
        </w:rPr>
        <w:t xml:space="preserve">Section V.8 </w:t>
      </w:r>
      <w:r>
        <w:rPr>
          <w:rFonts w:ascii="Arial" w:cs="Arial" w:eastAsia="Arial" w:hAnsi="Arial"/>
          <w:sz w:val="18"/>
          <w:szCs w:val="18"/>
          <w:b w:val="1"/>
          <w:bCs w:val="1"/>
          <w:u w:val="single" w:color="auto"/>
          <w:color w:val="auto"/>
        </w:rPr>
        <w:t>No Recourse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the Servicing Agreements nor any other agreement or understanding applicable to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Loans provides for a Recourse Obligation.</w:t>
      </w:r>
    </w:p>
    <w:p>
      <w:pPr>
        <w:spacing w:after="0" w:line="125"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V.9 </w:t>
      </w:r>
      <w:r>
        <w:rPr>
          <w:rFonts w:ascii="Arial" w:cs="Arial" w:eastAsia="Arial" w:hAnsi="Arial"/>
          <w:sz w:val="18"/>
          <w:szCs w:val="18"/>
          <w:b w:val="1"/>
          <w:bCs w:val="1"/>
          <w:u w:val="single" w:color="auto"/>
          <w:color w:val="auto"/>
        </w:rPr>
        <w:t>No Adverse Selection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No adverse selection was used by Seller in selecting the Servicing Rights to be sold by Seller to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320" w:top="1221" w:right="319" w:bottom="1440" w:gutter="0" w:footer="0" w:header="0"/>
        </w:sectPr>
      </w:pPr>
    </w:p>
    <w:bookmarkStart w:id="151" w:name="page152"/>
    <w:bookmarkEnd w:id="151"/>
    <w:p>
      <w:pPr>
        <w:ind w:left="5240"/>
        <w:spacing w:after="0"/>
        <w:rPr>
          <w:sz w:val="20"/>
          <w:szCs w:val="20"/>
          <w:color w:val="auto"/>
        </w:rPr>
      </w:pPr>
      <w:r>
        <w:rPr>
          <w:rFonts w:ascii="Arial" w:cs="Arial" w:eastAsia="Arial" w:hAnsi="Arial"/>
          <w:sz w:val="18"/>
          <w:szCs w:val="18"/>
          <w:b w:val="1"/>
          <w:bCs w:val="1"/>
          <w:color w:val="auto"/>
        </w:rPr>
        <w:t>Article VI</w:t>
      </w:r>
    </w:p>
    <w:p>
      <w:pPr>
        <w:spacing w:after="0" w:line="1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7" w:lineRule="exact"/>
        <w:rPr>
          <w:sz w:val="20"/>
          <w:szCs w:val="20"/>
          <w:color w:val="auto"/>
        </w:rPr>
      </w:pPr>
    </w:p>
    <w:p>
      <w:pPr>
        <w:jc w:val="both"/>
        <w:ind w:firstLine="545"/>
        <w:spacing w:after="0" w:line="286" w:lineRule="auto"/>
        <w:rPr>
          <w:sz w:val="20"/>
          <w:szCs w:val="20"/>
          <w:color w:val="auto"/>
        </w:rPr>
      </w:pPr>
      <w:r>
        <w:rPr>
          <w:rFonts w:ascii="Arial" w:cs="Arial" w:eastAsia="Arial" w:hAnsi="Arial"/>
          <w:sz w:val="17"/>
          <w:szCs w:val="17"/>
          <w:color w:val="auto"/>
        </w:rPr>
        <w:t>As an inducement to Seller to enter into this Agreement and to consummate the Transaction, Purchaser represents and warrants as follows (it being understood that, unless otherwise expressly provided in this Article VI, each such representation and warranty is made to Seller as of the Effective Date and the Sale Date and all of the representations and warranties of Purchaser contained herein shall survive the Sale Date):</w:t>
      </w:r>
    </w:p>
    <w:p>
      <w:pPr>
        <w:spacing w:after="0" w:line="125" w:lineRule="exact"/>
        <w:rPr>
          <w:sz w:val="20"/>
          <w:szCs w:val="20"/>
          <w:color w:val="auto"/>
        </w:rPr>
      </w:pPr>
    </w:p>
    <w:p>
      <w:pPr>
        <w:jc w:val="both"/>
        <w:ind w:firstLine="545"/>
        <w:spacing w:after="0" w:line="256" w:lineRule="auto"/>
        <w:rPr>
          <w:sz w:val="20"/>
          <w:szCs w:val="20"/>
          <w:color w:val="auto"/>
        </w:rPr>
      </w:pPr>
      <w:r>
        <w:rPr>
          <w:rFonts w:ascii="Arial" w:cs="Arial" w:eastAsia="Arial" w:hAnsi="Arial"/>
          <w:sz w:val="18"/>
          <w:szCs w:val="18"/>
          <w:b w:val="1"/>
          <w:bCs w:val="1"/>
          <w:color w:val="auto"/>
        </w:rPr>
        <w:t xml:space="preserve">Section VI.1 </w:t>
      </w:r>
      <w:r>
        <w:rPr>
          <w:rFonts w:ascii="Arial" w:cs="Arial" w:eastAsia="Arial" w:hAnsi="Arial"/>
          <w:sz w:val="18"/>
          <w:szCs w:val="18"/>
          <w:b w:val="1"/>
          <w:bCs w:val="1"/>
          <w:u w:val="single" w:color="auto"/>
          <w:color w:val="auto"/>
        </w:rPr>
        <w:t>Due Organization and Good Standing</w:t>
      </w:r>
      <w:r>
        <w:rPr>
          <w:rFonts w:ascii="Arial" w:cs="Arial" w:eastAsia="Arial" w:hAnsi="Arial"/>
          <w:sz w:val="18"/>
          <w:szCs w:val="18"/>
          <w:color w:val="auto"/>
        </w:rPr>
        <w:t>. Purchaser is a corporation, duly organized, validly existing, and in good standing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New Jersey. Purchaser and its employees, agents and other personnel have in full force and effect (without notice of possible suspension, revocation or impairment) all required qualifications, permits, approvals, licenses, and registrations to conduct all activities in all states in which their activities with respect to the Mortgage Loans or the Servicing Rights require them to have such qualifications, permits, approvals, licenses, and registrations, except where the failure of Purchaser to possess such qualifications, licenses, permits, approvals and registrations would not have a material adverse effect on Seller.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Section VI.2</w:t>
            </w: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Authority and Capacity. </w:t>
            </w:r>
            <w:r>
              <w:rPr>
                <w:rFonts w:ascii="Arial" w:cs="Arial" w:eastAsia="Arial" w:hAnsi="Arial"/>
                <w:sz w:val="18"/>
                <w:szCs w:val="18"/>
                <w:color w:val="auto"/>
                <w:w w:val="95"/>
              </w:rPr>
              <w:t>Purchaser has all requisite organizational power, authority and capacity, to execute and deliver this</w:t>
            </w:r>
          </w:p>
        </w:tc>
      </w:tr>
      <w:tr>
        <w:trPr>
          <w:trHeight w:val="20"/>
        </w:trPr>
        <w:tc>
          <w:tcPr>
            <w:tcW w:w="1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38"/>
        </w:trPr>
        <w:tc>
          <w:tcPr>
            <w:tcW w:w="11260" w:type="dxa"/>
            <w:vAlign w:val="bottom"/>
            <w:gridSpan w:val="4"/>
          </w:tcPr>
          <w:p>
            <w:pPr>
              <w:spacing w:after="0"/>
              <w:rPr>
                <w:sz w:val="20"/>
                <w:szCs w:val="20"/>
                <w:color w:val="auto"/>
              </w:rPr>
            </w:pPr>
            <w:r>
              <w:rPr>
                <w:rFonts w:ascii="Arial" w:cs="Arial" w:eastAsia="Arial" w:hAnsi="Arial"/>
                <w:sz w:val="18"/>
                <w:szCs w:val="18"/>
                <w:color w:val="auto"/>
              </w:rPr>
              <w:t>Agreement and to perform all of its obligations hereunder.</w:t>
            </w:r>
          </w:p>
        </w:tc>
      </w:tr>
      <w:tr>
        <w:trPr>
          <w:trHeight w:val="354"/>
        </w:trPr>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Section VI.3</w:t>
            </w: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Effective Agreement. </w:t>
            </w:r>
            <w:r>
              <w:rPr>
                <w:rFonts w:ascii="Arial" w:cs="Arial" w:eastAsia="Arial" w:hAnsi="Arial"/>
                <w:sz w:val="18"/>
                <w:szCs w:val="18"/>
                <w:color w:val="auto"/>
                <w:w w:val="97"/>
              </w:rPr>
              <w:t>The execution, delivery and performance of this Agreement by Purchaser and consummation of the</w:t>
            </w:r>
          </w:p>
        </w:tc>
      </w:tr>
      <w:tr>
        <w:trPr>
          <w:trHeight w:val="20"/>
        </w:trPr>
        <w:tc>
          <w:tcPr>
            <w:tcW w:w="1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has been duly and validly authorized by all necessary corporate or other action by Purchaser; and this Agreement has been duly and validly executed and delivered by Purchaser, and this Agreement is a valid and legally binding agreements of Purchaser and enforceable against Purchaser in accordance with its terms, subject to bankruptcy, insolvency and similar laws affecting generally the enforcement of creditor’s rights and the discretion of a court to grant specific performance.</w:t>
      </w:r>
    </w:p>
    <w:p>
      <w:pPr>
        <w:spacing w:after="0" w:line="146" w:lineRule="exact"/>
        <w:rPr>
          <w:sz w:val="20"/>
          <w:szCs w:val="20"/>
          <w:color w:val="auto"/>
        </w:rPr>
      </w:pPr>
    </w:p>
    <w:p>
      <w:pPr>
        <w:jc w:val="both"/>
        <w:ind w:firstLine="545"/>
        <w:spacing w:after="0" w:line="258" w:lineRule="auto"/>
        <w:rPr>
          <w:sz w:val="20"/>
          <w:szCs w:val="20"/>
          <w:color w:val="auto"/>
        </w:rPr>
      </w:pPr>
      <w:r>
        <w:rPr>
          <w:rFonts w:ascii="Arial" w:cs="Arial" w:eastAsia="Arial" w:hAnsi="Arial"/>
          <w:sz w:val="18"/>
          <w:szCs w:val="18"/>
          <w:b w:val="1"/>
          <w:bCs w:val="1"/>
          <w:color w:val="auto"/>
        </w:rPr>
        <w:t xml:space="preserve">Section VI.4 </w:t>
      </w:r>
      <w:r>
        <w:rPr>
          <w:rFonts w:ascii="Arial" w:cs="Arial" w:eastAsia="Arial" w:hAnsi="Arial"/>
          <w:sz w:val="18"/>
          <w:szCs w:val="18"/>
          <w:b w:val="1"/>
          <w:bCs w:val="1"/>
          <w:u w:val="single" w:color="auto"/>
          <w:color w:val="auto"/>
        </w:rPr>
        <w:t>No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execution and delivery of this Agreement nor the consummation of the Transaction, nor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terms and conditions, shall violate, conflict with, result in the breach of, or constitute a default under, be prohibited by, or require any additional approval under any of the terms, conditions or provisions of Purchaser’s articles of incorporation or bylaws, or of any material mortgage, indenture, deed of trust, loan or credit agreement or instrument to which Purchaser is now a party or by which it is bound, or of any order, judgment or decree of any court or governmental authority applicable to Purchaser.</w:t>
      </w:r>
    </w:p>
    <w:p>
      <w:pPr>
        <w:spacing w:after="0" w:line="147"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VI.5 </w:t>
      </w:r>
      <w:r>
        <w:rPr>
          <w:rFonts w:ascii="Arial" w:cs="Arial" w:eastAsia="Arial" w:hAnsi="Arial"/>
          <w:sz w:val="18"/>
          <w:szCs w:val="18"/>
          <w:b w:val="1"/>
          <w:bCs w:val="1"/>
          <w:u w:val="single" w:color="auto"/>
          <w:color w:val="auto"/>
        </w:rPr>
        <w:t>Consents, Approvals and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Investor Consents, there is no requirement applicable to Purchaser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with, or to obtain any permit, authorization, consent or approval of, any Person as a condition to the lawful performance by Purchaser of its obligations hereunder. Purchaser is approved by and in good standing as a servicer with the Investors, and is approved and in good standing with each applicable Insurer,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320" w:top="1433" w:right="319" w:bottom="1440" w:gutter="0" w:footer="0" w:header="0"/>
        </w:sectPr>
      </w:pPr>
    </w:p>
    <w:bookmarkStart w:id="152" w:name="page153"/>
    <w:bookmarkEnd w:id="152"/>
    <w:p>
      <w:pPr>
        <w:jc w:val="both"/>
        <w:spacing w:after="0" w:line="312" w:lineRule="auto"/>
        <w:rPr>
          <w:sz w:val="20"/>
          <w:szCs w:val="20"/>
          <w:color w:val="auto"/>
        </w:rPr>
      </w:pPr>
      <w:r>
        <w:rPr>
          <w:rFonts w:ascii="Arial" w:cs="Arial" w:eastAsia="Arial" w:hAnsi="Arial"/>
          <w:sz w:val="16"/>
          <w:szCs w:val="16"/>
          <w:color w:val="auto"/>
        </w:rPr>
        <w:t>necessary, in order to purchase and assume responsibility for the Servicing Rights. Purchaser has complied with, and is not in default under, any law, ordinance, requirement, regulation, rule, or order applicable to its business or properties, the violation of which would reasonably be expected to materially and adversely affect the Servicing Rights, the operations or financial condition of Purchaser or its ability to perform its obligations hereunder.</w:t>
      </w:r>
    </w:p>
    <w:p>
      <w:pPr>
        <w:spacing w:after="0" w:line="107"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VI.6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no litigation, claim, demand, proceeding or governmental investigation existing or pending, or to Purchaser’s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threatened in writing, or any order, injunction or decree outstanding, against or relating to Purchaser that would reasonably be expected to materially and adversely affect or delay the performance by Purchaser of its obligations under this Agreement.</w:t>
      </w:r>
    </w:p>
    <w:p>
      <w:pPr>
        <w:spacing w:after="0" w:line="140" w:lineRule="exact"/>
        <w:rPr>
          <w:sz w:val="20"/>
          <w:szCs w:val="20"/>
          <w:color w:val="auto"/>
        </w:rPr>
      </w:pPr>
    </w:p>
    <w:p>
      <w:pPr>
        <w:jc w:val="both"/>
        <w:ind w:right="20" w:firstLine="545"/>
        <w:spacing w:after="0" w:line="266" w:lineRule="auto"/>
        <w:rPr>
          <w:sz w:val="20"/>
          <w:szCs w:val="20"/>
          <w:color w:val="auto"/>
        </w:rPr>
      </w:pPr>
      <w:r>
        <w:rPr>
          <w:rFonts w:ascii="Arial" w:cs="Arial" w:eastAsia="Arial" w:hAnsi="Arial"/>
          <w:sz w:val="18"/>
          <w:szCs w:val="18"/>
          <w:b w:val="1"/>
          <w:bCs w:val="1"/>
          <w:color w:val="auto"/>
        </w:rPr>
        <w:t xml:space="preserve">Section VI.7 </w:t>
      </w:r>
      <w:r>
        <w:rPr>
          <w:rFonts w:ascii="Arial" w:cs="Arial" w:eastAsia="Arial" w:hAnsi="Arial"/>
          <w:sz w:val="18"/>
          <w:szCs w:val="18"/>
          <w:b w:val="1"/>
          <w:bCs w:val="1"/>
          <w:u w:val="single" w:color="auto"/>
          <w:color w:val="auto"/>
        </w:rPr>
        <w:t>Ability to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condition of Purchaser is adequate to support the performance by Purchaser on a timely basis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purchase, potential indemnification and other obligations under this Agreement. Purchaser does not believe, nor does it have any reason or cause to believe, that it cannot perform each and every covenant contained in this Agreement.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Section VI.8</w:t>
            </w:r>
          </w:p>
        </w:tc>
        <w:tc>
          <w:tcPr>
            <w:tcW w:w="952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Sale Treatment. </w:t>
            </w:r>
            <w:r>
              <w:rPr>
                <w:rFonts w:ascii="Arial" w:cs="Arial" w:eastAsia="Arial" w:hAnsi="Arial"/>
                <w:sz w:val="18"/>
                <w:szCs w:val="18"/>
                <w:color w:val="auto"/>
                <w:w w:val="95"/>
              </w:rPr>
              <w:t>Purchaser intends that its purchase of the Servicing Rights pursuant to this Agreement will be afforded sale</w:t>
            </w:r>
          </w:p>
        </w:tc>
      </w:tr>
      <w:tr>
        <w:trPr>
          <w:trHeight w:val="20"/>
        </w:trPr>
        <w:tc>
          <w:tcPr>
            <w:tcW w:w="17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238"/>
        </w:trPr>
        <w:tc>
          <w:tcPr>
            <w:tcW w:w="11240" w:type="dxa"/>
            <w:vAlign w:val="bottom"/>
            <w:gridSpan w:val="4"/>
          </w:tcPr>
          <w:p>
            <w:pPr>
              <w:spacing w:after="0"/>
              <w:rPr>
                <w:sz w:val="20"/>
                <w:szCs w:val="20"/>
                <w:color w:val="auto"/>
              </w:rPr>
            </w:pPr>
            <w:r>
              <w:rPr>
                <w:rFonts w:ascii="Arial" w:cs="Arial" w:eastAsia="Arial" w:hAnsi="Arial"/>
                <w:sz w:val="18"/>
                <w:szCs w:val="18"/>
                <w:color w:val="auto"/>
              </w:rPr>
              <w:t>treatment for accounting and tax purposes.</w:t>
            </w:r>
          </w:p>
        </w:tc>
      </w:tr>
      <w:tr>
        <w:trPr>
          <w:trHeight w:val="354"/>
        </w:trPr>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Section VI.9</w:t>
            </w:r>
          </w:p>
        </w:tc>
        <w:tc>
          <w:tcPr>
            <w:tcW w:w="952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Fair Consideration. </w:t>
            </w:r>
            <w:r>
              <w:rPr>
                <w:rFonts w:ascii="Arial" w:cs="Arial" w:eastAsia="Arial" w:hAnsi="Arial"/>
                <w:sz w:val="18"/>
                <w:szCs w:val="18"/>
                <w:color w:val="auto"/>
                <w:w w:val="97"/>
              </w:rPr>
              <w:t>The consideration paid by Purchaser upon its purchase of the Servicing Rights under this Agreement</w:t>
            </w:r>
          </w:p>
        </w:tc>
      </w:tr>
      <w:tr>
        <w:trPr>
          <w:trHeight w:val="20"/>
        </w:trPr>
        <w:tc>
          <w:tcPr>
            <w:tcW w:w="17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constitutes fair consideration and reasonably equivalent value for the Servicing Rights.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VII</w:t>
      </w:r>
    </w:p>
    <w:p>
      <w:pPr>
        <w:spacing w:after="0" w:line="1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COVENANTS</w:t>
      </w:r>
    </w:p>
    <w:p>
      <w:pPr>
        <w:spacing w:after="0" w:line="213" w:lineRule="exact"/>
        <w:rPr>
          <w:sz w:val="20"/>
          <w:szCs w:val="20"/>
          <w:color w:val="auto"/>
        </w:rPr>
      </w:pPr>
    </w:p>
    <w:p>
      <w:pPr>
        <w:jc w:val="both"/>
        <w:ind w:firstLine="545"/>
        <w:spacing w:after="0" w:line="303" w:lineRule="auto"/>
        <w:rPr>
          <w:sz w:val="20"/>
          <w:szCs w:val="20"/>
          <w:color w:val="auto"/>
        </w:rPr>
      </w:pPr>
      <w:r>
        <w:rPr>
          <w:rFonts w:ascii="Arial" w:cs="Arial" w:eastAsia="Arial" w:hAnsi="Arial"/>
          <w:sz w:val="16"/>
          <w:szCs w:val="16"/>
          <w:b w:val="1"/>
          <w:bCs w:val="1"/>
          <w:color w:val="auto"/>
        </w:rPr>
        <w:t xml:space="preserve">Section VII.1 </w:t>
      </w:r>
      <w:r>
        <w:rPr>
          <w:rFonts w:ascii="Arial" w:cs="Arial" w:eastAsia="Arial" w:hAnsi="Arial"/>
          <w:sz w:val="16"/>
          <w:szCs w:val="16"/>
          <w:b w:val="1"/>
          <w:bCs w:val="1"/>
          <w:u w:val="single" w:color="auto"/>
          <w:color w:val="auto"/>
        </w:rPr>
        <w:t>Investor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Servicing Rights are subject to approval by the Investors. Seller shall use its</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best efforts to obtain Investor Consents promptly prior to the Sale Date, and Purchaser shall cooperate with Seller in obtaining Investor Consents. Upon receipt of any Investor Consent, Seller shall deliver to Purchaser by electronic mail. Seller shall pay any and all costs of securing Investor Consents for the Transaction, including fees to an Investor for the transfer of the Servicing Rights in accordance with Applicable Requirements.</w:t>
      </w:r>
    </w:p>
    <w:p>
      <w:pPr>
        <w:spacing w:after="0" w:line="115"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VII.2 </w:t>
      </w:r>
      <w:r>
        <w:rPr>
          <w:rFonts w:ascii="Arial" w:cs="Arial" w:eastAsia="Arial" w:hAnsi="Arial"/>
          <w:sz w:val="18"/>
          <w:szCs w:val="18"/>
          <w:b w:val="1"/>
          <w:bCs w:val="1"/>
          <w:u w:val="single" w:color="auto"/>
          <w:color w:val="auto"/>
        </w:rPr>
        <w:t>Transfer Date</w:t>
      </w:r>
      <w:r>
        <w:rPr>
          <w:rFonts w:ascii="Arial" w:cs="Arial" w:eastAsia="Arial" w:hAnsi="Arial"/>
          <w:sz w:val="18"/>
          <w:szCs w:val="18"/>
          <w:b w:val="1"/>
          <w:bCs w:val="1"/>
          <w:color w:val="auto"/>
        </w:rPr>
        <w:t xml:space="preserve">. </w:t>
      </w:r>
      <w:r>
        <w:rPr>
          <w:rFonts w:ascii="Arial" w:cs="Arial" w:eastAsia="Arial" w:hAnsi="Arial"/>
          <w:sz w:val="18"/>
          <w:szCs w:val="18"/>
          <w:color w:val="auto"/>
        </w:rPr>
        <w:t>Seller shall notify Purchaser in writing, within three (3) Business Days of an Investor notice if (a) an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advises Seller that the Transfer Date, for all or any portion of the Servicing Rights, will be a date other than a scheduled Transfer Date, or (b) an Investor advises Seller that all or any portion of the Servicing Rights may not be transferred to Purchaser. Any scheduled Transfer Date may be delayed upon the written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320" w:top="1221" w:right="319" w:bottom="1440" w:gutter="0" w:footer="0" w:header="0"/>
        </w:sectPr>
      </w:pPr>
    </w:p>
    <w:bookmarkStart w:id="153" w:name="page154"/>
    <w:bookmarkEnd w:id="153"/>
    <w:p>
      <w:pPr>
        <w:jc w:val="both"/>
        <w:ind w:firstLine="239"/>
        <w:spacing w:after="0" w:line="275" w:lineRule="auto"/>
        <w:rPr>
          <w:sz w:val="20"/>
          <w:szCs w:val="20"/>
          <w:color w:val="auto"/>
        </w:rPr>
      </w:pPr>
      <w:r>
        <w:rPr>
          <w:rFonts w:ascii="Arial" w:cs="Arial" w:eastAsia="Arial" w:hAnsi="Arial"/>
          <w:sz w:val="17"/>
          <w:szCs w:val="17"/>
          <w:color w:val="auto"/>
        </w:rPr>
        <w:t>To the extent that the Mortgage Loans are being subserviced on behalf of Seller, Seller’s delivery obligations under this Agreement shall be read to include an obligation of Seller to cause its subservicer to perform such obligations, as applicable. Seller agrees to cause any such subservicer to perform Seller’s obligations in effecting the transfer of the Servicing Rights in accordance with Applicable Requirements, and conform with all of the requirements of this Agreement applicable to Seller, as if performed by Seller directly, and shall remain liable for all of its obligations under this Agreement and the Interim Servicing Requirements regardless of whether performed by Seller directly or by its subservicer.</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Section VII.3  </w:t>
      </w:r>
      <w:r>
        <w:rPr>
          <w:rFonts w:ascii="Arial" w:cs="Arial" w:eastAsia="Arial" w:hAnsi="Arial"/>
          <w:sz w:val="18"/>
          <w:szCs w:val="18"/>
          <w:b w:val="1"/>
          <w:bCs w:val="1"/>
          <w:u w:val="single" w:color="auto"/>
          <w:color w:val="auto"/>
        </w:rPr>
        <w:t>Data Files, Mortgage Files and Related Materials.</w:t>
      </w:r>
    </w:p>
    <w:p>
      <w:pPr>
        <w:spacing w:after="0" w:line="194" w:lineRule="exact"/>
        <w:rPr>
          <w:sz w:val="20"/>
          <w:szCs w:val="20"/>
          <w:color w:val="auto"/>
        </w:rPr>
      </w:pPr>
    </w:p>
    <w:p>
      <w:pPr>
        <w:jc w:val="both"/>
        <w:ind w:firstLine="1080"/>
        <w:spacing w:after="0" w:line="288" w:lineRule="auto"/>
        <w:tabs>
          <w:tab w:leader="none" w:pos="1631"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Conversion Data Files</w:t>
      </w:r>
      <w:r>
        <w:rPr>
          <w:rFonts w:ascii="Arial" w:cs="Arial" w:eastAsia="Arial" w:hAnsi="Arial"/>
          <w:sz w:val="16"/>
          <w:szCs w:val="16"/>
          <w:color w:val="auto"/>
        </w:rPr>
        <w:t>. In accordance with the dates and format specified in the Servicing Transfer Instructions, Seller shall provide Purchaser with an Electronic Data File or Electronic Data Files containing the information necessary to service the Mortgage Loans in accordance with Applicable Requirements so as to permit Purchaser to test the conversion of Seller’s records to Purchaser’s data processing system. In addition, Seller shall provide master Electronic Data File(s) to Purchaser on such date and in such format as specified in the Servicing Transfer Instructions to support Purchaser’s conversion pre-planning activities. On the Transfer Date, Seller shall cause its books and records including its subservicer’s servicing system to accurately reflect the transfer of the Servicing Rights to Purchaser. In the event that any such Electronic Data File or the information required to be contained on such Electronic Data File is not in the format required by the Servicing Transfer Instructions, Seller shall take all steps necessary to correct such deficiency or, in the event that any such deficiency cannot be cured to the reasonable satisfaction of Purchaser, Seller shall pay Purchaser the amount incurred by Purchaser to cure such deficiencies and to reimburse Purchaser for any Losses resulting therefrom.</w:t>
      </w:r>
    </w:p>
    <w:p>
      <w:pPr>
        <w:spacing w:after="0" w:line="134" w:lineRule="exact"/>
        <w:rPr>
          <w:rFonts w:ascii="Arial" w:cs="Arial" w:eastAsia="Arial" w:hAnsi="Arial"/>
          <w:sz w:val="16"/>
          <w:szCs w:val="16"/>
          <w:color w:val="auto"/>
        </w:rPr>
      </w:pPr>
    </w:p>
    <w:p>
      <w:pPr>
        <w:ind w:left="1620" w:hanging="540"/>
        <w:spacing w:after="0"/>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Packaging and Shipment of Mortgage Files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540" w:firstLine="1085"/>
        <w:spacing w:after="0" w:line="343" w:lineRule="auto"/>
        <w:tabs>
          <w:tab w:leader="none" w:pos="216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At Seller’s sole expense, Seller shall (or shall cause its document custodian to) package and ship to Purchaser, or Purchaser’s designee, all Mortgage Files pertaining to the Mortgage Loans as follows, and as may be further described in the Servicing Transfer Instructions:</w:t>
      </w:r>
    </w:p>
    <w:p>
      <w:pPr>
        <w:spacing w:after="0" w:line="86" w:lineRule="exact"/>
        <w:rPr>
          <w:rFonts w:ascii="Arial" w:cs="Arial" w:eastAsia="Arial" w:hAnsi="Arial"/>
          <w:sz w:val="16"/>
          <w:szCs w:val="16"/>
          <w:color w:val="auto"/>
        </w:rPr>
      </w:pPr>
    </w:p>
    <w:p>
      <w:pPr>
        <w:jc w:val="both"/>
        <w:ind w:left="1620" w:firstLine="549"/>
        <w:spacing w:after="0" w:line="259" w:lineRule="auto"/>
        <w:tabs>
          <w:tab w:leader="none" w:pos="270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Within fifteen (15) days following the Transfer Date, or such other time period acceptable under Investor requirements or as approved by the applicable Investor, all Collateral Files to Purchaser’s Document Custodian, which, if Seller uses Purchaser’s Document Custodian, may be by internal delivery and segregation at such Document Custodian, evidencing Purchaser’s ownership thereof; and</w:t>
      </w:r>
    </w:p>
    <w:p>
      <w:pPr>
        <w:spacing w:after="0" w:line="150" w:lineRule="exact"/>
        <w:rPr>
          <w:rFonts w:ascii="Arial" w:cs="Arial" w:eastAsia="Arial" w:hAnsi="Arial"/>
          <w:sz w:val="18"/>
          <w:szCs w:val="18"/>
          <w:color w:val="auto"/>
        </w:rPr>
      </w:pPr>
    </w:p>
    <w:p>
      <w:pPr>
        <w:jc w:val="both"/>
        <w:ind w:left="1620" w:firstLine="549"/>
        <w:spacing w:after="0" w:line="264" w:lineRule="auto"/>
        <w:tabs>
          <w:tab w:leader="none" w:pos="2702" w:val="left"/>
        </w:tabs>
        <w:numPr>
          <w:ilvl w:val="2"/>
          <w:numId w:val="103"/>
        </w:numPr>
        <w:rPr>
          <w:rFonts w:ascii="Arial" w:cs="Arial" w:eastAsia="Arial" w:hAnsi="Arial"/>
          <w:sz w:val="18"/>
          <w:szCs w:val="18"/>
          <w:color w:val="auto"/>
        </w:rPr>
      </w:pPr>
      <w:r>
        <w:rPr>
          <w:rFonts w:ascii="Arial" w:cs="Arial" w:eastAsia="Arial" w:hAnsi="Arial"/>
          <w:sz w:val="18"/>
          <w:szCs w:val="18"/>
          <w:color w:val="auto"/>
        </w:rPr>
        <w:t xml:space="preserve">Within thirty (30) days prior to the Transfer Date, all Servicing Files and the related servicing records to Purchaser or its designee in the manner set forth in </w:t>
      </w:r>
      <w:r>
        <w:rPr>
          <w:rFonts w:ascii="Arial" w:cs="Arial" w:eastAsia="Arial" w:hAnsi="Arial"/>
          <w:sz w:val="18"/>
          <w:szCs w:val="18"/>
          <w:u w:val="single" w:color="auto"/>
          <w:color w:val="auto"/>
        </w:rPr>
        <w:t>Section 7.3(b)(iii)</w:t>
      </w:r>
      <w:r>
        <w:rPr>
          <w:rFonts w:ascii="Arial" w:cs="Arial" w:eastAsia="Arial" w:hAnsi="Arial"/>
          <w:sz w:val="18"/>
          <w:szCs w:val="18"/>
          <w:color w:val="auto"/>
        </w:rPr>
        <w:t xml:space="preserve"> below, with any remaining Servicing Files for the period through the Transfer Date to be delivered within five (5) Business Days following the Transfer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320" w:top="1221" w:right="319" w:bottom="1440" w:gutter="0" w:footer="0" w:header="0"/>
        </w:sectPr>
      </w:pPr>
    </w:p>
    <w:bookmarkStart w:id="154" w:name="page155"/>
    <w:bookmarkEnd w:id="154"/>
    <w:p>
      <w:pPr>
        <w:jc w:val="both"/>
        <w:ind w:left="360" w:firstLine="1085"/>
        <w:spacing w:after="0" w:line="270" w:lineRule="auto"/>
        <w:tabs>
          <w:tab w:leader="none" w:pos="1989" w:val="left"/>
        </w:tabs>
        <w:numPr>
          <w:ilvl w:val="1"/>
          <w:numId w:val="104"/>
        </w:numPr>
        <w:rPr>
          <w:rFonts w:ascii="Arial" w:cs="Arial" w:eastAsia="Arial" w:hAnsi="Arial"/>
          <w:sz w:val="17"/>
          <w:szCs w:val="17"/>
          <w:color w:val="auto"/>
        </w:rPr>
      </w:pPr>
      <w:r>
        <w:rPr>
          <w:rFonts w:ascii="Arial" w:cs="Arial" w:eastAsia="Arial" w:hAnsi="Arial"/>
          <w:sz w:val="17"/>
          <w:szCs w:val="17"/>
          <w:color w:val="auto"/>
        </w:rPr>
        <w:t>Seller shall provide Purchaser with prior written notice of the carrier, shipping arrangements and insurance arrangements with respect to the delivery of the Mortgage Files. In the event that any document required to be delivered to Purchaser hereunder is missing, defective, not in accordance with Applicable Requirements or otherwise not delivered, Seller shall obtain and/or cure all such documents at Seller’s sole cost and expense. Each Mortgage File shall clearly indicate Seller’s loan numbers. All documents included in the Mortgage Files, and all other documents required to be delivered to Purchaser by Seller pursuant to this Agreement which are or at any times come into the actual or constructive possession or control of Seller and have not been delivered to Purchaser, if any, are and shall be held by Seller in trust for the benefit of Purchaser, and in a custodial capacity only. No such documents shall be destroyed unless electronically imaged, and then only to the extent such imaging would comply with Applicable Requirements, and upon the written request of Purchaser, Seller shall promptly deliver copies of such documents to Purchaser or Purchaser’s Document Custodian.</w:t>
      </w:r>
    </w:p>
    <w:p>
      <w:pPr>
        <w:spacing w:after="0" w:line="142" w:lineRule="exact"/>
        <w:rPr>
          <w:rFonts w:ascii="Arial" w:cs="Arial" w:eastAsia="Arial" w:hAnsi="Arial"/>
          <w:sz w:val="17"/>
          <w:szCs w:val="17"/>
          <w:color w:val="auto"/>
        </w:rPr>
      </w:pPr>
    </w:p>
    <w:p>
      <w:pPr>
        <w:jc w:val="both"/>
        <w:ind w:left="360" w:firstLine="1085"/>
        <w:spacing w:after="0" w:line="279" w:lineRule="auto"/>
        <w:tabs>
          <w:tab w:leader="none" w:pos="1994" w:val="left"/>
        </w:tabs>
        <w:numPr>
          <w:ilvl w:val="1"/>
          <w:numId w:val="10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with respect to each Mortgage Loan, and except as otherwise provided in the Servicing Transfer Instructions, Seller shall provide the Servicing File, and the related servicing records in Seller’s possession, required to be delivered to Purchaser by means of stored electronic data, properly indexed, in a mutually agreeable format, containing the relevant information in the form of stored electronic images of all documents relating to the Mortgage Loan.</w:t>
      </w:r>
    </w:p>
    <w:p>
      <w:pPr>
        <w:spacing w:after="0" w:line="134" w:lineRule="exact"/>
        <w:rPr>
          <w:rFonts w:ascii="Arial" w:cs="Arial" w:eastAsia="Arial" w:hAnsi="Arial"/>
          <w:sz w:val="17"/>
          <w:szCs w:val="17"/>
          <w:color w:val="auto"/>
        </w:rPr>
      </w:pPr>
    </w:p>
    <w:p>
      <w:pPr>
        <w:jc w:val="both"/>
        <w:ind w:left="-180" w:firstLine="1080"/>
        <w:spacing w:after="0" w:line="293" w:lineRule="auto"/>
        <w:tabs>
          <w:tab w:leader="none" w:pos="145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Assignments and Related Matters</w:t>
      </w:r>
      <w:r>
        <w:rPr>
          <w:rFonts w:ascii="Arial" w:cs="Arial" w:eastAsia="Arial" w:hAnsi="Arial"/>
          <w:sz w:val="16"/>
          <w:szCs w:val="16"/>
          <w:color w:val="auto"/>
        </w:rPr>
        <w:t>. Seller shall, at its expense and in accordance with all Applicable Requirements, (i) for each Mortgage Loan registered with MERS, follow the requirements of the Investors and MERS to reflect in the records of MERS the transfer of the servicing from Seller to Purchaser and (ii) for each Mortgage Loan not registered with MERS, (A) prepare and record, or cause to be prepared and recorded, in each case as required by the Investors, all Assignments of Mortgages from Seller to Purchaser and all prior intervening assignments; and (C) endorse or cause to be endorsed the Mortgage Notes in blank without recourse or as otherwise required by the Investors. Seller shall deliver to Purchaser or the Document Custodian all original or copies of recorded Assignments of Mortgages promptly upon receipt of same from the applicable recording offices or otherwise.</w:t>
      </w:r>
    </w:p>
    <w:p>
      <w:pPr>
        <w:spacing w:after="0" w:line="127" w:lineRule="exact"/>
        <w:rPr>
          <w:rFonts w:ascii="Arial" w:cs="Arial" w:eastAsia="Arial" w:hAnsi="Arial"/>
          <w:sz w:val="16"/>
          <w:szCs w:val="16"/>
          <w:color w:val="auto"/>
        </w:rPr>
      </w:pPr>
    </w:p>
    <w:p>
      <w:pPr>
        <w:jc w:val="both"/>
        <w:ind w:left="-180" w:firstLine="1080"/>
        <w:spacing w:after="0" w:line="254" w:lineRule="auto"/>
        <w:tabs>
          <w:tab w:leader="none" w:pos="145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Recertification</w:t>
      </w:r>
      <w:r>
        <w:rPr>
          <w:rFonts w:ascii="Arial" w:cs="Arial" w:eastAsia="Arial" w:hAnsi="Arial"/>
          <w:sz w:val="18"/>
          <w:szCs w:val="18"/>
          <w:color w:val="auto"/>
        </w:rPr>
        <w:t>. Seller shall take such steps as are necessary to enable Purchaser or its designee, after the Transfer Date, to obtain by the deadline required by Applicable Requirements any required certification or recertification of Pools or Mortgage Loans in connection with the transfer of Servicing Rights to Purchaser hereunder and/or the transfer of the Collateral Files to a new Document Custodian, including delivery of Collateral Files in accordance with the provisions of this Agreement and Servicing Transfer Instructions. If Purchaser or its designee or the Document Custodian returns a document contained in the Collateral File to Seller for correction or because of missing information, Seller, at its own cost and expense, shall promptly correct the document or insert the appropriate information, record such document if required, and return the document to Purchaser, its designee or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500" w:top="1222" w:right="319" w:bottom="1440" w:gutter="0" w:footer="0" w:header="0"/>
        </w:sectPr>
      </w:pPr>
    </w:p>
    <w:bookmarkStart w:id="155" w:name="page156"/>
    <w:bookmarkEnd w:id="155"/>
    <w:p>
      <w:pPr>
        <w:jc w:val="both"/>
        <w:spacing w:after="0" w:line="257" w:lineRule="auto"/>
        <w:rPr>
          <w:sz w:val="20"/>
          <w:szCs w:val="20"/>
          <w:color w:val="auto"/>
        </w:rPr>
      </w:pPr>
      <w:r>
        <w:rPr>
          <w:rFonts w:ascii="Arial" w:cs="Arial" w:eastAsia="Arial" w:hAnsi="Arial"/>
          <w:sz w:val="18"/>
          <w:szCs w:val="18"/>
          <w:color w:val="auto"/>
        </w:rPr>
        <w:t>Custodian, as applicable. If Purchaser cannot obtain the certification or recertification by an Investor of any Mortgage Loan as a result of a failure by Seller to deliver a document required to be included in the Collateral File, then, upon the request of Purchaser, Seller shall (i) reimburse Purchaser for any reasonable and documented out-of-pocket expense or cost incurred by Purchaser in attempting to obtain or correct, as applicable, a missing, inaccurate or incomplete document or the certification or recertification by the required deadline and (ii) reimburse and indemnify Purchaser for any Losses in accordance with the provisions of this Agreement.</w:t>
      </w:r>
    </w:p>
    <w:p>
      <w:pPr>
        <w:spacing w:after="0" w:line="151" w:lineRule="exact"/>
        <w:rPr>
          <w:sz w:val="20"/>
          <w:szCs w:val="20"/>
          <w:color w:val="auto"/>
        </w:rPr>
      </w:pPr>
    </w:p>
    <w:p>
      <w:pPr>
        <w:ind w:left="1620" w:hanging="540"/>
        <w:spacing w:after="0"/>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Document Custodian</w:t>
      </w:r>
      <w:r>
        <w:rPr>
          <w:rFonts w:ascii="Arial" w:cs="Arial" w:eastAsia="Arial" w:hAnsi="Arial"/>
          <w:sz w:val="18"/>
          <w:szCs w:val="18"/>
          <w:color w:val="auto"/>
        </w:rPr>
        <w:t>. [OMITTED]</w:t>
      </w:r>
    </w:p>
    <w:p>
      <w:pPr>
        <w:spacing w:after="0" w:line="186" w:lineRule="exact"/>
        <w:rPr>
          <w:sz w:val="20"/>
          <w:szCs w:val="20"/>
          <w:color w:val="auto"/>
        </w:rPr>
      </w:pPr>
    </w:p>
    <w:p>
      <w:pPr>
        <w:jc w:val="both"/>
        <w:ind w:firstLine="545"/>
        <w:spacing w:after="0" w:line="258" w:lineRule="auto"/>
        <w:rPr>
          <w:sz w:val="20"/>
          <w:szCs w:val="20"/>
          <w:color w:val="auto"/>
        </w:rPr>
      </w:pPr>
      <w:r>
        <w:rPr>
          <w:rFonts w:ascii="Arial" w:cs="Arial" w:eastAsia="Arial" w:hAnsi="Arial"/>
          <w:sz w:val="18"/>
          <w:szCs w:val="18"/>
          <w:b w:val="1"/>
          <w:bCs w:val="1"/>
          <w:color w:val="auto"/>
        </w:rPr>
        <w:t xml:space="preserve">Section VII.4 </w:t>
      </w:r>
      <w:r>
        <w:rPr>
          <w:rFonts w:ascii="Arial" w:cs="Arial" w:eastAsia="Arial" w:hAnsi="Arial"/>
          <w:sz w:val="18"/>
          <w:szCs w:val="18"/>
          <w:b w:val="1"/>
          <w:bCs w:val="1"/>
          <w:u w:val="single" w:color="auto"/>
          <w:color w:val="auto"/>
        </w:rPr>
        <w:t>Remittances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shall make the first payment of principal and interest due following the Transfer Date to the Investors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appropriate parties, and shall pay all related guaranty fees, lender paid primary mortgage insurance premiums or compensating interest for the applicable month.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in the event the payments so received by Seller are insufficient to pay these amounts, Purchaser shall provide to Seller the additional funds necessary to pay these amounts by wiring immediately available funds to Seller no later than one (1) Business Day prior to Investor-required remittance date and time.</w:t>
      </w:r>
    </w:p>
    <w:p>
      <w:pPr>
        <w:spacing w:after="0" w:line="147" w:lineRule="exact"/>
        <w:rPr>
          <w:sz w:val="20"/>
          <w:szCs w:val="20"/>
          <w:color w:val="auto"/>
        </w:rPr>
      </w:pPr>
    </w:p>
    <w:p>
      <w:pPr>
        <w:jc w:val="both"/>
        <w:ind w:firstLine="545"/>
        <w:spacing w:after="0" w:line="303" w:lineRule="auto"/>
        <w:rPr>
          <w:sz w:val="20"/>
          <w:szCs w:val="20"/>
          <w:color w:val="auto"/>
        </w:rPr>
      </w:pPr>
      <w:r>
        <w:rPr>
          <w:rFonts w:ascii="Arial" w:cs="Arial" w:eastAsia="Arial" w:hAnsi="Arial"/>
          <w:sz w:val="16"/>
          <w:szCs w:val="16"/>
          <w:b w:val="1"/>
          <w:bCs w:val="1"/>
          <w:color w:val="auto"/>
        </w:rPr>
        <w:t xml:space="preserve">Section VII.5 </w:t>
      </w:r>
      <w:r>
        <w:rPr>
          <w:rFonts w:ascii="Arial" w:cs="Arial" w:eastAsia="Arial" w:hAnsi="Arial"/>
          <w:sz w:val="16"/>
          <w:szCs w:val="16"/>
          <w:b w:val="1"/>
          <w:bCs w:val="1"/>
          <w:u w:val="single" w:color="auto"/>
          <w:color w:val="auto"/>
        </w:rPr>
        <w:t>Interim Servicing</w:t>
      </w:r>
      <w:r>
        <w:rPr>
          <w:rFonts w:ascii="Arial" w:cs="Arial" w:eastAsia="Arial" w:hAnsi="Arial"/>
          <w:sz w:val="16"/>
          <w:szCs w:val="16"/>
          <w:b w:val="1"/>
          <w:bCs w:val="1"/>
          <w:color w:val="auto"/>
        </w:rPr>
        <w:t xml:space="preserve">. </w:t>
      </w:r>
      <w:r>
        <w:rPr>
          <w:rFonts w:ascii="Arial" w:cs="Arial" w:eastAsia="Arial" w:hAnsi="Arial"/>
          <w:sz w:val="16"/>
          <w:szCs w:val="16"/>
          <w:color w:val="auto"/>
        </w:rPr>
        <w:t>Seller shall interim service the Mortgage Loans for the benefit of Purchaser and the Investors during the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Sale Date and through the Transfer Date (the “</w:t>
      </w:r>
      <w:r>
        <w:rPr>
          <w:rFonts w:ascii="Arial" w:cs="Arial" w:eastAsia="Arial" w:hAnsi="Arial"/>
          <w:sz w:val="16"/>
          <w:szCs w:val="16"/>
          <w:u w:val="single" w:color="auto"/>
          <w:color w:val="auto"/>
        </w:rPr>
        <w:t>Interim Servicing Period</w:t>
      </w:r>
      <w:r>
        <w:rPr>
          <w:rFonts w:ascii="Arial" w:cs="Arial" w:eastAsia="Arial" w:hAnsi="Arial"/>
          <w:sz w:val="16"/>
          <w:szCs w:val="16"/>
          <w:color w:val="auto"/>
        </w:rPr>
        <w:t>”) in accordance with the Interim Servicing Requirements. For the avoidance of doubt, Seller shall be responsible for any Investor guaranty fees, lender paid primary mortgage insurance premiums or compensating interest relating to the Mortgage Loans incurred with respect to the period on or prior to the Sale Date, which amounts may be payable after the Sale Date.</w:t>
      </w:r>
    </w:p>
    <w:p>
      <w:pPr>
        <w:spacing w:after="0" w:line="115" w:lineRule="exact"/>
        <w:rPr>
          <w:sz w:val="20"/>
          <w:szCs w:val="20"/>
          <w:color w:val="auto"/>
        </w:rPr>
      </w:pPr>
    </w:p>
    <w:p>
      <w:pPr>
        <w:jc w:val="both"/>
        <w:ind w:firstLine="545"/>
        <w:spacing w:after="0" w:line="255" w:lineRule="auto"/>
        <w:rPr>
          <w:sz w:val="20"/>
          <w:szCs w:val="20"/>
          <w:color w:val="auto"/>
        </w:rPr>
      </w:pPr>
      <w:r>
        <w:rPr>
          <w:rFonts w:ascii="Arial" w:cs="Arial" w:eastAsia="Arial" w:hAnsi="Arial"/>
          <w:sz w:val="17"/>
          <w:szCs w:val="17"/>
          <w:b w:val="1"/>
          <w:bCs w:val="1"/>
          <w:color w:val="auto"/>
        </w:rPr>
        <w:t xml:space="preserve">Section VII.6 </w:t>
      </w:r>
      <w:r>
        <w:rPr>
          <w:rFonts w:ascii="Arial" w:cs="Arial" w:eastAsia="Arial" w:hAnsi="Arial"/>
          <w:sz w:val="17"/>
          <w:szCs w:val="17"/>
          <w:b w:val="1"/>
          <w:bCs w:val="1"/>
          <w:u w:val="single" w:color="auto"/>
          <w:color w:val="auto"/>
        </w:rPr>
        <w:t>Forwarding of Payments and Other Items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Mortgage Loans that have escrow impound accounts, all bills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tax and insurance bills) pertaining to the Mortgage Loans which are due and payable on or before the Transfer Date, with respect to which the earlier of the payment deadline to take advantage of a discount or the payment deadline to avoid a penalty is before, on or within thirty (30) days after the Transfer Date, shall be paid by Seller provided that the bills have been released prior to the Transfer Date, and Seller shall pay such bills in accordance with Applicable Requirements. All Mortgage Loan Payments and other funds or payments, all other bills, and all transmittal lists or any other information used to pay bills pertaining to the Mortgage Loans, and all documents, notices, correspondence and other documentation related to the Mortgage Loans, that are received by Seller after the Transfer Date shall be forwarded by Seller, at Seller’s expense, in accordance with the Servicing Transfer Instructions. All penalties and interest due on any Mortgage Loan resulting from Seller’s failure to pay a bill or to forward bills or other items to Purchaser as provided above shall be borne by Seller. Seller shall cooperate with Purchaser to obtain tax bills with respect to which the earlier of the payment deadline to take advantage of a discount or the payment deadline to avoid a penalty is between the thirty-first (31</w:t>
      </w:r>
      <w:r>
        <w:rPr>
          <w:rFonts w:ascii="Arial" w:cs="Arial" w:eastAsia="Arial" w:hAnsi="Arial"/>
          <w:sz w:val="22"/>
          <w:szCs w:val="22"/>
          <w:color w:val="auto"/>
          <w:vertAlign w:val="superscript"/>
        </w:rPr>
        <w:t>st</w:t>
      </w:r>
      <w:r>
        <w:rPr>
          <w:rFonts w:ascii="Arial" w:cs="Arial" w:eastAsia="Arial" w:hAnsi="Arial"/>
          <w:sz w:val="17"/>
          <w:szCs w:val="17"/>
          <w:color w:val="auto"/>
        </w:rPr>
        <w:t>) and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after the Transfer Date. All documents, notices, correspondence and other documentation related to the Mortgage Loans that are received by Seller after the Transfer Date shall clearly indicate Seller’s loan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1221" w:right="319" w:bottom="1440" w:gutter="0" w:footer="0" w:header="0"/>
        </w:sectPr>
      </w:pPr>
    </w:p>
    <w:bookmarkStart w:id="156" w:name="page157"/>
    <w:bookmarkEnd w:id="156"/>
    <w:p>
      <w:pPr>
        <w:jc w:val="both"/>
        <w:ind w:firstLine="545"/>
        <w:spacing w:after="0" w:line="271" w:lineRule="auto"/>
        <w:rPr>
          <w:sz w:val="20"/>
          <w:szCs w:val="20"/>
          <w:color w:val="auto"/>
        </w:rPr>
      </w:pPr>
      <w:r>
        <w:rPr>
          <w:rFonts w:ascii="Arial" w:cs="Arial" w:eastAsia="Arial" w:hAnsi="Arial"/>
          <w:sz w:val="17"/>
          <w:szCs w:val="17"/>
          <w:b w:val="1"/>
          <w:bCs w:val="1"/>
          <w:color w:val="auto"/>
        </w:rPr>
        <w:t xml:space="preserve">Section VII.7 </w:t>
      </w:r>
      <w:r>
        <w:rPr>
          <w:rFonts w:ascii="Arial" w:cs="Arial" w:eastAsia="Arial" w:hAnsi="Arial"/>
          <w:sz w:val="17"/>
          <w:szCs w:val="17"/>
          <w:b w:val="1"/>
          <w:bCs w:val="1"/>
          <w:u w:val="single" w:color="auto"/>
          <w:color w:val="auto"/>
        </w:rPr>
        <w:t>Assignment of Flood and Tax Service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Seller shall assign to Purchaser, effective as of the Transfer Date, fully paid,</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transferable, life of the loan flood zone determination contracts issued by an Approved Flood Zone Determination Company, and fully paid, transferable, life of the loan tax service contracts issued by an Approved Tax Service Company, related to all Mortgage Loans. Prior to the Transfer Date, Seller shall obtain the required consents, if any, to assign such contracts to Purchaser. Seller shall undertake all obligations under this Section at its sole cost and expense. In the event Seller does not assign a life of loan flood zone determination contract issued by an Approved Flood Zone Determination Company or a life of loan tax service contract issued by an Approved Tax Service Company with respect to any Mortgage Loan as described above, Purchaser shall obtain such contract and Seller shall reimburse Purchaser the lesser of (i) the actual cost of such contract and (ii) (a) $6.50 per Mortgage Loan in the case of flood zone determination contracts and (b) $70.00 per Mortgage Loan in the case of tax service contracts.</w:t>
      </w:r>
    </w:p>
    <w:p>
      <w:pPr>
        <w:spacing w:after="0" w:line="140" w:lineRule="exact"/>
        <w:rPr>
          <w:sz w:val="20"/>
          <w:szCs w:val="20"/>
          <w:color w:val="auto"/>
        </w:rPr>
      </w:pPr>
    </w:p>
    <w:p>
      <w:pPr>
        <w:jc w:val="both"/>
        <w:ind w:firstLine="545"/>
        <w:spacing w:after="0" w:line="274" w:lineRule="auto"/>
        <w:rPr>
          <w:sz w:val="20"/>
          <w:szCs w:val="20"/>
          <w:color w:val="auto"/>
        </w:rPr>
      </w:pPr>
      <w:r>
        <w:rPr>
          <w:rFonts w:ascii="Arial" w:cs="Arial" w:eastAsia="Arial" w:hAnsi="Arial"/>
          <w:sz w:val="17"/>
          <w:szCs w:val="17"/>
          <w:b w:val="1"/>
          <w:bCs w:val="1"/>
          <w:color w:val="auto"/>
        </w:rPr>
        <w:t xml:space="preserve">Section VII.8 </w:t>
      </w:r>
      <w:r>
        <w:rPr>
          <w:rFonts w:ascii="Arial" w:cs="Arial" w:eastAsia="Arial" w:hAnsi="Arial"/>
          <w:sz w:val="17"/>
          <w:szCs w:val="17"/>
          <w:b w:val="1"/>
          <w:bCs w:val="1"/>
          <w:u w:val="single" w:color="auto"/>
          <w:color w:val="auto"/>
        </w:rPr>
        <w:t>Escrow Interest and Analysis</w:t>
      </w:r>
      <w:r>
        <w:rPr>
          <w:rFonts w:ascii="Arial" w:cs="Arial" w:eastAsia="Arial" w:hAnsi="Arial"/>
          <w:sz w:val="17"/>
          <w:szCs w:val="17"/>
          <w:b w:val="1"/>
          <w:bCs w:val="1"/>
          <w:color w:val="auto"/>
        </w:rPr>
        <w:t xml:space="preserve">. </w:t>
      </w:r>
      <w:r>
        <w:rPr>
          <w:rFonts w:ascii="Arial" w:cs="Arial" w:eastAsia="Arial" w:hAnsi="Arial"/>
          <w:sz w:val="17"/>
          <w:szCs w:val="17"/>
          <w:color w:val="auto"/>
        </w:rPr>
        <w:t>Seller shall pay interest on escrows through the day prior to the Transfer Date (and apply such</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to the related Custodial Account on and as of the day prior to the Transfer Date) to the extent interest with respect thereto is required to be paid under Applicable Requirements for the benefit of Mortgagors under the Mortgage Loans. Seller shall deliver to Purchaser appropriate information regarding the proper application of such interest in accordance with the Servicing Transfer Instructions. On or before the Transfer Date, Seller shall provide Purchaser with a listing of each Mortgage Loan for which an escrow analysis was performed within sixty (60) days prior to the Transfer Date and for which changes in the Mortgagor’s escrow account payment amount therefore are pending.</w:t>
      </w:r>
    </w:p>
    <w:p>
      <w:pPr>
        <w:spacing w:after="0" w:line="136"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VII.9 </w:t>
      </w:r>
      <w:r>
        <w:rPr>
          <w:rFonts w:ascii="Arial" w:cs="Arial" w:eastAsia="Arial" w:hAnsi="Arial"/>
          <w:sz w:val="18"/>
          <w:szCs w:val="18"/>
          <w:b w:val="1"/>
          <w:bCs w:val="1"/>
          <w:u w:val="single" w:color="auto"/>
          <w:color w:val="auto"/>
        </w:rPr>
        <w:t>IRS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Seller’s obligations after the Transfer Date, Seller shall, at its sole cost and expense, prepare and</w:t>
      </w:r>
      <w:r>
        <w:rPr>
          <w:rFonts w:ascii="Arial" w:cs="Arial" w:eastAsia="Arial" w:hAnsi="Arial"/>
          <w:sz w:val="18"/>
          <w:szCs w:val="18"/>
          <w:b w:val="1"/>
          <w:bCs w:val="1"/>
          <w:color w:val="auto"/>
        </w:rPr>
        <w:t xml:space="preserve"> </w:t>
      </w:r>
      <w:r>
        <w:rPr>
          <w:rFonts w:ascii="Arial" w:cs="Arial" w:eastAsia="Arial" w:hAnsi="Arial"/>
          <w:sz w:val="18"/>
          <w:szCs w:val="18"/>
          <w:color w:val="auto"/>
        </w:rPr>
        <w:t>file with the Internal Revenue Service all reports, forms, notices and filings required by the Code and rules, regulations and interpretations thereunder in connection with the Servicing Rights and Mortgage Loans, including the reporting of all interest paid by Seller for the account of Mortgagors under the Mortgage Loans for activity that occurs before the Transfer Date.</w:t>
      </w:r>
    </w:p>
    <w:p>
      <w:pPr>
        <w:spacing w:after="0" w:line="143" w:lineRule="exact"/>
        <w:rPr>
          <w:sz w:val="20"/>
          <w:szCs w:val="20"/>
          <w:color w:val="auto"/>
        </w:rPr>
      </w:pPr>
    </w:p>
    <w:p>
      <w:pPr>
        <w:jc w:val="both"/>
        <w:ind w:firstLine="545"/>
        <w:spacing w:after="0" w:line="254" w:lineRule="auto"/>
        <w:rPr>
          <w:sz w:val="20"/>
          <w:szCs w:val="20"/>
          <w:color w:val="auto"/>
        </w:rPr>
      </w:pPr>
      <w:r>
        <w:rPr>
          <w:rFonts w:ascii="Arial" w:cs="Arial" w:eastAsia="Arial" w:hAnsi="Arial"/>
          <w:sz w:val="18"/>
          <w:szCs w:val="18"/>
          <w:b w:val="1"/>
          <w:bCs w:val="1"/>
          <w:color w:val="auto"/>
        </w:rPr>
        <w:t xml:space="preserve">Section VII.10 </w:t>
      </w:r>
      <w:r>
        <w:rPr>
          <w:rFonts w:ascii="Arial" w:cs="Arial" w:eastAsia="Arial" w:hAnsi="Arial"/>
          <w:sz w:val="18"/>
          <w:szCs w:val="18"/>
          <w:b w:val="1"/>
          <w:bCs w:val="1"/>
          <w:u w:val="single" w:color="auto"/>
          <w:color w:val="auto"/>
        </w:rPr>
        <w:t>Notification of Mortgagors, Insurance Companies, etc</w:t>
      </w:r>
      <w:r>
        <w:rPr>
          <w:rFonts w:ascii="Arial" w:cs="Arial" w:eastAsia="Arial" w:hAnsi="Arial"/>
          <w:sz w:val="18"/>
          <w:szCs w:val="18"/>
          <w:b w:val="1"/>
          <w:bCs w:val="1"/>
          <w:color w:val="auto"/>
        </w:rPr>
        <w:t xml:space="preserve">. </w:t>
      </w:r>
      <w:r>
        <w:rPr>
          <w:rFonts w:ascii="Arial" w:cs="Arial" w:eastAsia="Arial" w:hAnsi="Arial"/>
          <w:sz w:val="18"/>
          <w:szCs w:val="18"/>
          <w:color w:val="auto"/>
        </w:rPr>
        <w:t>If notices to Mortgagors are required pursuant to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in connection with the transfer of Servicing Rights, by no later than thirty (30) days prior to the Transfer Date, each Party shall deliver to the other Party for approval (which approval shall not be unreasonably withheld or delayed) a form of Mortgagor notification letter in connection with the transfer of the Servicing Rights. Fifteen (15) days prior to the Transfer Date and otherwise in accordance with Applicable Requirements, Seller, at its expense, shall mail the approved form of notification to the Mortgagors of the transfer of the Servicing Rights and instruct the Mortgagors to deliver all Mortgage Loan Payments and all tax and insurance notices to Purchaser after the Transfer Date. Seller also shall, at its expense, notify any applicable taxing authority and credit bureaus, the custodian of the Collateral Files, Seller’s electronic data processing servicing bureau, if applicable, and Insurers that the Servicing Rights are being transferred to Purchaser as of the Transfer Date. Purchaser, at its expense, shall prepare and mail notification to the Mortgagors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320" w:top="1217" w:right="319" w:bottom="1440" w:gutter="0" w:footer="0" w:header="0"/>
        </w:sectPr>
      </w:pPr>
    </w:p>
    <w:bookmarkStart w:id="157" w:name="page158"/>
    <w:bookmarkEnd w:id="157"/>
    <w:p>
      <w:pPr>
        <w:ind w:left="9"/>
        <w:spacing w:after="0"/>
        <w:rPr>
          <w:sz w:val="20"/>
          <w:szCs w:val="20"/>
          <w:color w:val="auto"/>
        </w:rPr>
      </w:pPr>
      <w:r>
        <w:rPr>
          <w:rFonts w:ascii="Arial" w:cs="Arial" w:eastAsia="Arial" w:hAnsi="Arial"/>
          <w:sz w:val="18"/>
          <w:szCs w:val="18"/>
          <w:color w:val="auto"/>
        </w:rPr>
        <w:t>the transfer of the Servicing Rights after the Transfer Date in accordance with Applicable Requirements.</w:t>
      </w:r>
    </w:p>
    <w:p>
      <w:pPr>
        <w:spacing w:after="0" w:line="186" w:lineRule="exact"/>
        <w:rPr>
          <w:sz w:val="20"/>
          <w:szCs w:val="20"/>
          <w:color w:val="auto"/>
        </w:rPr>
      </w:pPr>
    </w:p>
    <w:p>
      <w:pPr>
        <w:jc w:val="both"/>
        <w:ind w:left="9" w:firstLine="545"/>
        <w:spacing w:after="0" w:line="267" w:lineRule="auto"/>
        <w:rPr>
          <w:sz w:val="20"/>
          <w:szCs w:val="20"/>
          <w:color w:val="auto"/>
        </w:rPr>
      </w:pPr>
      <w:r>
        <w:rPr>
          <w:rFonts w:ascii="Arial" w:cs="Arial" w:eastAsia="Arial" w:hAnsi="Arial"/>
          <w:sz w:val="17"/>
          <w:szCs w:val="17"/>
          <w:b w:val="1"/>
          <w:bCs w:val="1"/>
          <w:color w:val="auto"/>
        </w:rPr>
        <w:t xml:space="preserve">Section VII.11 </w:t>
      </w:r>
      <w:r>
        <w:rPr>
          <w:rFonts w:ascii="Arial" w:cs="Arial" w:eastAsia="Arial" w:hAnsi="Arial"/>
          <w:sz w:val="17"/>
          <w:szCs w:val="17"/>
          <w:b w:val="1"/>
          <w:bCs w:val="1"/>
          <w:u w:val="single" w:color="auto"/>
          <w:color w:val="auto"/>
        </w:rPr>
        <w:t>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As part of the sale and transfer contemplated hereunder, Seller shall sell, transfer, assign and convey to Purchaser</w:t>
      </w:r>
      <w:r>
        <w:rPr>
          <w:rFonts w:ascii="Arial" w:cs="Arial" w:eastAsia="Arial" w:hAnsi="Arial"/>
          <w:sz w:val="17"/>
          <w:szCs w:val="17"/>
          <w:b w:val="1"/>
          <w:bCs w:val="1"/>
          <w:color w:val="auto"/>
        </w:rPr>
        <w:t xml:space="preserve"> </w:t>
      </w:r>
      <w:r>
        <w:rPr>
          <w:rFonts w:ascii="Arial" w:cs="Arial" w:eastAsia="Arial" w:hAnsi="Arial"/>
          <w:sz w:val="17"/>
          <w:szCs w:val="17"/>
          <w:color w:val="auto"/>
        </w:rPr>
        <w:t>all intangible rights related to the Servicing Rights, including the exclusive right to receive all, and to enter into arrangements that generate, Ancillary Fees with respect to the Mortgage Loans. From and after March 18, 2021, Seller has not and shall not, and shall cause its Affiliates, officers, directors, shareholders, managers, and employees, not to, directly or indirectly, during the remaining term of any of the Mortgage Loans, by telephone, by mail, by facsimile, by personal solicitation or otherwise, (a) take or assist in any action to solicit any Mortgagor for any purpose, including refinance, prepayment in full, home equity or insurance, (b) take or assist in any action to facilitate or encourage any Person to solicit the Mortgagors for any purpose, including for refinance prepayment in full, home equity or insurance, or (c) disseminate to any third party, for compensation or otherwise, any complete or partial list of the Mortgagors (collectively, “</w:t>
      </w:r>
      <w:r>
        <w:rPr>
          <w:rFonts w:ascii="Arial" w:cs="Arial" w:eastAsia="Arial" w:hAnsi="Arial"/>
          <w:sz w:val="17"/>
          <w:szCs w:val="17"/>
          <w:u w:val="single" w:color="auto"/>
          <w:color w:val="auto"/>
        </w:rPr>
        <w:t>Solicitation Actions</w:t>
      </w:r>
      <w:r>
        <w:rPr>
          <w:rFonts w:ascii="Arial" w:cs="Arial" w:eastAsia="Arial" w:hAnsi="Arial"/>
          <w:sz w:val="17"/>
          <w:szCs w:val="17"/>
          <w:color w:val="auto"/>
        </w:rPr>
        <w:t xml:space="preserve">”). Seller further agrees to use its best efforts, including the exercise of any available contractual remedies, to cause any Affiliate, shareholder, originator, broker, Prior Servicer, agents and independent contractors working on Seller’s behalf, to refrain from taking any Solicitation Action. Nothing in this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shall prohibit Seller or its Affiliates from (i) advertising campaigns directed to the general public at large or a portion thereof, including mass mailings based on commercially acquired mailing lists or databases, newspaper, radio, internet and television advertisements; (ii) responding to unsolicited inquiries from individual Mortgagors or (iii) engaging in such activities required by Applicable Requirements or Seller’s regulators in connection with any loss mitigation prior to the Transfer Date. In the event that the terms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7.11</w:t>
      </w:r>
      <w:r>
        <w:rPr>
          <w:rFonts w:ascii="Arial" w:cs="Arial" w:eastAsia="Arial" w:hAnsi="Arial"/>
          <w:sz w:val="17"/>
          <w:szCs w:val="17"/>
          <w:color w:val="auto"/>
        </w:rPr>
        <w:t xml:space="preserve"> have been breached and any affected Mortgage Loan is refinanced or prepaid in full as a result of such breach, Seller shall pay to Purchaser (and Purchaser shall have the right to offset any such amounts against future payments required hereunder to be made by Purchaser to Seller) an amount equal to the applicable Purchase Price Percentage multiplied by the unpaid principal balance of such Mortgage Loan as of the date of refinance or prepayment in full.</w:t>
      </w:r>
    </w:p>
    <w:p>
      <w:pPr>
        <w:spacing w:after="0" w:line="149" w:lineRule="exact"/>
        <w:rPr>
          <w:sz w:val="20"/>
          <w:szCs w:val="20"/>
          <w:color w:val="auto"/>
        </w:rPr>
      </w:pPr>
    </w:p>
    <w:p>
      <w:pPr>
        <w:jc w:val="both"/>
        <w:ind w:left="9" w:firstLine="545"/>
        <w:spacing w:after="0" w:line="269" w:lineRule="auto"/>
        <w:rPr>
          <w:sz w:val="20"/>
          <w:szCs w:val="20"/>
          <w:color w:val="auto"/>
        </w:rPr>
      </w:pPr>
      <w:r>
        <w:rPr>
          <w:rFonts w:ascii="Arial" w:cs="Arial" w:eastAsia="Arial" w:hAnsi="Arial"/>
          <w:sz w:val="17"/>
          <w:szCs w:val="17"/>
          <w:b w:val="1"/>
          <w:bCs w:val="1"/>
          <w:color w:val="auto"/>
        </w:rPr>
        <w:t xml:space="preserve">Section VII.12 </w:t>
      </w:r>
      <w:r>
        <w:rPr>
          <w:rFonts w:ascii="Arial" w:cs="Arial" w:eastAsia="Arial" w:hAnsi="Arial"/>
          <w:sz w:val="17"/>
          <w:szCs w:val="17"/>
          <w:b w:val="1"/>
          <w:bCs w:val="1"/>
          <w:u w:val="single" w:color="auto"/>
          <w:color w:val="auto"/>
        </w:rPr>
        <w:t>Payment of Costs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herein (a) Seller shall be responsible for all fees, costs and expenses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(i) obtaining Investor Consents, (ii) the transfer of the Servicing Rights to Purchaser under this Agreement, (iii) the delivery and/or change in designations of ownership of the Mortgage Files and related documents, (iv) the transfer of the Custodial Funds, (v) preparing and recording all Assignments of Mortgage required hereunder and following the requirements of MERS to reflect the transfer of servicing to Purchaser on the records of MERS, (vi) Seller’s advisors, consultants, accountants, and attorneys, and (vii) Seller’s performance of its obligations under this Agreement, and</w:t>
      </w:r>
    </w:p>
    <w:p>
      <w:pPr>
        <w:spacing w:after="0" w:line="2" w:lineRule="exact"/>
        <w:rPr>
          <w:sz w:val="20"/>
          <w:szCs w:val="20"/>
          <w:color w:val="auto"/>
        </w:rPr>
      </w:pPr>
    </w:p>
    <w:p>
      <w:pPr>
        <w:ind w:left="9" w:hanging="9"/>
        <w:spacing w:after="0" w:line="260" w:lineRule="auto"/>
        <w:tabs>
          <w:tab w:leader="none" w:pos="27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Purchaser shall be responsible for the fees, costs, expenses and other amounts payable to or with respect to its advisors, consultants, accountants and attorneys, and Purchaser’s performance of its obligations under this Agreement.</w:t>
      </w:r>
    </w:p>
    <w:p>
      <w:pPr>
        <w:spacing w:after="0" w:line="144" w:lineRule="exact"/>
        <w:rPr>
          <w:sz w:val="20"/>
          <w:szCs w:val="20"/>
          <w:color w:val="auto"/>
        </w:rPr>
      </w:pPr>
    </w:p>
    <w:p>
      <w:pPr>
        <w:ind w:left="9" w:right="20" w:firstLine="545"/>
        <w:spacing w:after="0" w:line="314" w:lineRule="auto"/>
        <w:rPr>
          <w:sz w:val="20"/>
          <w:szCs w:val="20"/>
          <w:color w:val="auto"/>
        </w:rPr>
      </w:pPr>
      <w:r>
        <w:rPr>
          <w:rFonts w:ascii="Arial" w:cs="Arial" w:eastAsia="Arial" w:hAnsi="Arial"/>
          <w:sz w:val="17"/>
          <w:szCs w:val="17"/>
          <w:b w:val="1"/>
          <w:bCs w:val="1"/>
          <w:color w:val="auto"/>
        </w:rPr>
        <w:t xml:space="preserve">Section VII.13 </w:t>
      </w:r>
      <w:r>
        <w:rPr>
          <w:rFonts w:ascii="Arial" w:cs="Arial" w:eastAsia="Arial" w:hAnsi="Arial"/>
          <w:sz w:val="17"/>
          <w:szCs w:val="17"/>
          <w:b w:val="1"/>
          <w:bCs w:val="1"/>
          <w:u w:val="single" w:color="auto"/>
          <w:color w:val="auto"/>
        </w:rPr>
        <w:t>Access to and Release of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Transfer Date, Seller shall allow Purchaser and its counsel, accountants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representatives reasonable access, during normal business hours and upon reasonable advance written notice, to review and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9"/>
          </w:cols>
          <w:pgMar w:left="311" w:top="1221" w:right="319" w:bottom="1440" w:gutter="0" w:footer="0" w:header="0"/>
        </w:sectPr>
      </w:pPr>
    </w:p>
    <w:bookmarkStart w:id="158" w:name="page159"/>
    <w:bookmarkEnd w:id="158"/>
    <w:p>
      <w:pPr>
        <w:jc w:val="both"/>
        <w:spacing w:after="0" w:line="254" w:lineRule="auto"/>
        <w:rPr>
          <w:sz w:val="20"/>
          <w:szCs w:val="20"/>
          <w:color w:val="auto"/>
        </w:rPr>
      </w:pPr>
      <w:r>
        <w:rPr>
          <w:rFonts w:ascii="Arial" w:cs="Arial" w:eastAsia="Arial" w:hAnsi="Arial"/>
          <w:sz w:val="18"/>
          <w:szCs w:val="18"/>
          <w:color w:val="auto"/>
        </w:rPr>
        <w:t xml:space="preserve">reasonable due diligence investigations of all of Seller’s (or Seller’s agents’) personnel, facilities, most recent Investor and Insurer audits (subject to any applicable nondisclosure requirements), books and records directly relating to the Servicing Rights, the Mortgage Loans, Custodial Funds, Custodial Accounts and Advances, and to review the Mortgage Files. Each Party and its representatives and affiliates shall treat all information so obtained, not otherwise in the public domain, as confidential and in the manner set forth in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herein and shall not use any such information for its own benefit. The Parties acknowledge and agree that any information obtained by Purchaser at or prior to the Transfer Date shall not limit or otherwise effect any of Purchaser’s rights or remedies hereunder, at law or equity, including the right to seek and obtain indemnification or repurchase from Seller hereunder.</w:t>
      </w:r>
    </w:p>
    <w:p>
      <w:pPr>
        <w:spacing w:after="0" w:line="153" w:lineRule="exact"/>
        <w:rPr>
          <w:sz w:val="20"/>
          <w:szCs w:val="20"/>
          <w:color w:val="auto"/>
        </w:rPr>
      </w:pPr>
    </w:p>
    <w:p>
      <w:pPr>
        <w:jc w:val="both"/>
        <w:ind w:firstLine="545"/>
        <w:spacing w:after="0" w:line="258" w:lineRule="auto"/>
        <w:rPr>
          <w:sz w:val="20"/>
          <w:szCs w:val="20"/>
          <w:color w:val="auto"/>
        </w:rPr>
      </w:pPr>
      <w:r>
        <w:rPr>
          <w:rFonts w:ascii="Arial" w:cs="Arial" w:eastAsia="Arial" w:hAnsi="Arial"/>
          <w:sz w:val="18"/>
          <w:szCs w:val="18"/>
          <w:b w:val="1"/>
          <w:bCs w:val="1"/>
          <w:color w:val="auto"/>
        </w:rPr>
        <w:t xml:space="preserve">Section VII.14 </w:t>
      </w:r>
      <w:r>
        <w:rPr>
          <w:rFonts w:ascii="Arial" w:cs="Arial" w:eastAsia="Arial" w:hAnsi="Arial"/>
          <w:sz w:val="18"/>
          <w:szCs w:val="18"/>
          <w:b w:val="1"/>
          <w:bCs w:val="1"/>
          <w:u w:val="single" w:color="auto"/>
          <w:color w:val="auto"/>
        </w:rPr>
        <w:t>Power of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On or prior to the Transfer Date, Seller shall provide Purchaser with a reasonable number of executed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Powers of Attorney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to be used by Purchaser as necessary for Purchaser to (i) service the Mortgage Loan in accordance with Applicable Requirements, (ii) assign or transfer any Mortgage Loan Documents pursuant to the terms of this Agreement or (iii) endorse any Mortgagor payments received following the Transfer Date as necessary. Seller shall provide additional Limited Powers of Attorney to the extent reasonably requested by Purchaser.</w:t>
      </w:r>
    </w:p>
    <w:p>
      <w:pPr>
        <w:spacing w:after="0" w:line="147" w:lineRule="exact"/>
        <w:rPr>
          <w:sz w:val="20"/>
          <w:szCs w:val="20"/>
          <w:color w:val="auto"/>
        </w:rPr>
      </w:pPr>
    </w:p>
    <w:p>
      <w:pPr>
        <w:jc w:val="both"/>
        <w:ind w:firstLine="545"/>
        <w:spacing w:after="0" w:line="277" w:lineRule="auto"/>
        <w:rPr>
          <w:sz w:val="20"/>
          <w:szCs w:val="20"/>
          <w:color w:val="auto"/>
        </w:rPr>
      </w:pPr>
      <w:r>
        <w:rPr>
          <w:rFonts w:ascii="Arial" w:cs="Arial" w:eastAsia="Arial" w:hAnsi="Arial"/>
          <w:sz w:val="17"/>
          <w:szCs w:val="17"/>
          <w:b w:val="1"/>
          <w:bCs w:val="1"/>
          <w:color w:val="auto"/>
        </w:rPr>
        <w:t xml:space="preserve">Section VII.15 </w:t>
      </w:r>
      <w:r>
        <w:rPr>
          <w:rFonts w:ascii="Arial" w:cs="Arial" w:eastAsia="Arial" w:hAnsi="Arial"/>
          <w:sz w:val="17"/>
          <w:szCs w:val="17"/>
          <w:b w:val="1"/>
          <w:bCs w:val="1"/>
          <w:u w:val="single" w:color="auto"/>
          <w:color w:val="auto"/>
        </w:rPr>
        <w:t>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reasonably possible, the Parties shall cooperate with and assist each other, as requested, in carrying out</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purposes of this Agreement. Seller shall cooperate with Purchaser after the Transfer Date to resolve all customer disputes and inquiries related to activities that occurred prior to the Transfer Date. Such activities may include, but shall not be limited to, providing check copies, prior servicing histories, prior correspondence and escrow analyses. Seller will provide such information to Purchaser within a time period sufficient for Purchaser to satisfy its obligations under the Real Estate Settlement Procedures Act and all other Applicable Requirements.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Section VII.16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shall give prompt written notice to Purchaser of, in a writing containing the details thereof:</w:t>
      </w:r>
    </w:p>
    <w:p>
      <w:pPr>
        <w:spacing w:after="0" w:line="194" w:lineRule="exact"/>
        <w:rPr>
          <w:sz w:val="20"/>
          <w:szCs w:val="20"/>
          <w:color w:val="auto"/>
        </w:rPr>
      </w:pPr>
    </w:p>
    <w:p>
      <w:pPr>
        <w:jc w:val="both"/>
        <w:ind w:firstLine="1080"/>
        <w:spacing w:after="0" w:line="257" w:lineRule="auto"/>
        <w:tabs>
          <w:tab w:leader="none" w:pos="163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action, suit, proceeding or investigation related to the Mortgage Loans, their origination, funding, sale or servicing instituted, or to Seller’s knowledge, threatened, in any federal or state court or by or before any commission or other regulatory body (federal, state or local, domestic or foreign), against Seller or any of its Affiliates, that would reasonably be expected to materially and adversely affect the Servicing Rights, the Mortgage Loans or the performance by Seller of its obligations under the Servicing Agreements or the performance by Seller of its obligations under this Agreement; and</w:t>
      </w:r>
    </w:p>
    <w:p>
      <w:pPr>
        <w:spacing w:after="0" w:line="151" w:lineRule="exact"/>
        <w:rPr>
          <w:rFonts w:ascii="Arial" w:cs="Arial" w:eastAsia="Arial" w:hAnsi="Arial"/>
          <w:sz w:val="18"/>
          <w:szCs w:val="18"/>
          <w:color w:val="auto"/>
        </w:rPr>
      </w:pPr>
    </w:p>
    <w:p>
      <w:pPr>
        <w:jc w:val="both"/>
        <w:ind w:firstLine="1080"/>
        <w:spacing w:after="0" w:line="257" w:lineRule="auto"/>
        <w:tabs>
          <w:tab w:leader="none" w:pos="163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extent permitted without breaching any requirement of confidentiality, a summary of any reports, findings or notices arising out of any audits, examinations, reviews or investigations by any commission or other regulatory body (federal, state or local, domestic or foreign) or an Investor or any Insurer containing materially adverse or critical findings or determinations, regarding the origination, funding, sale or servicing of the Mortgage Loans, or the method of origination or servicing of residential mortgage loans used in origination or servicing the Mortgage Loans and such findings or determinations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320" w:top="1221" w:right="319" w:bottom="1440" w:gutter="0" w:footer="0" w:header="0"/>
        </w:sectPr>
      </w:pPr>
    </w:p>
    <w:bookmarkStart w:id="159" w:name="page160"/>
    <w:bookmarkEnd w:id="159"/>
    <w:p>
      <w:pPr>
        <w:spacing w:after="0" w:line="278" w:lineRule="auto"/>
        <w:rPr>
          <w:sz w:val="20"/>
          <w:szCs w:val="20"/>
          <w:color w:val="auto"/>
        </w:rPr>
      </w:pPr>
      <w:r>
        <w:rPr>
          <w:rFonts w:ascii="Arial" w:cs="Arial" w:eastAsia="Arial" w:hAnsi="Arial"/>
          <w:sz w:val="18"/>
          <w:szCs w:val="18"/>
          <w:color w:val="auto"/>
        </w:rPr>
        <w:t>reasonably be expected to materially and adversely affect the Servicing Rights, the Mortgage Loans or the performance by Seller of its obligations under the Servicing Agreements or the performance by Seller of its obligations under this Agreement.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Section VII.17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Neither Party may disclose any Confidential Information to anyone else except:</w:t>
      </w:r>
    </w:p>
    <w:p>
      <w:pPr>
        <w:spacing w:after="0" w:line="194" w:lineRule="exact"/>
        <w:rPr>
          <w:sz w:val="20"/>
          <w:szCs w:val="20"/>
          <w:color w:val="auto"/>
        </w:rPr>
      </w:pPr>
    </w:p>
    <w:p>
      <w:pPr>
        <w:ind w:firstLine="1080"/>
        <w:spacing w:after="0" w:line="278" w:lineRule="auto"/>
        <w:tabs>
          <w:tab w:leader="none" w:pos="163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its officers, directors, employees, consultants, advisors, attorneys and accountants to the extent required to enable them to perform their duties to that Party; or</w:t>
      </w:r>
    </w:p>
    <w:p>
      <w:pPr>
        <w:spacing w:after="0" w:line="133" w:lineRule="exact"/>
        <w:rPr>
          <w:rFonts w:ascii="Arial" w:cs="Arial" w:eastAsia="Arial" w:hAnsi="Arial"/>
          <w:sz w:val="18"/>
          <w:szCs w:val="18"/>
          <w:color w:val="auto"/>
        </w:rPr>
      </w:pPr>
    </w:p>
    <w:p>
      <w:pPr>
        <w:ind w:left="1620" w:hanging="540"/>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otherwise required by Applicable Requirements; or</w:t>
      </w:r>
    </w:p>
    <w:p>
      <w:pPr>
        <w:spacing w:after="0" w:line="190" w:lineRule="exact"/>
        <w:rPr>
          <w:rFonts w:ascii="Arial" w:cs="Arial" w:eastAsia="Arial" w:hAnsi="Arial"/>
          <w:sz w:val="18"/>
          <w:szCs w:val="18"/>
          <w:color w:val="auto"/>
        </w:rPr>
      </w:pPr>
    </w:p>
    <w:p>
      <w:pPr>
        <w:ind w:firstLine="1080"/>
        <w:spacing w:after="0" w:line="278" w:lineRule="auto"/>
        <w:tabs>
          <w:tab w:leader="none" w:pos="163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the extent such Confidential Information becomes known to the general public through no fault of the Recipient or its officers, directors, employees, consultants, advisors, attorneys and accountants; or</w:t>
      </w:r>
    </w:p>
    <w:p>
      <w:pPr>
        <w:spacing w:after="0" w:line="133" w:lineRule="exact"/>
        <w:rPr>
          <w:rFonts w:ascii="Arial" w:cs="Arial" w:eastAsia="Arial" w:hAnsi="Arial"/>
          <w:sz w:val="18"/>
          <w:szCs w:val="18"/>
          <w:color w:val="auto"/>
        </w:rPr>
      </w:pPr>
    </w:p>
    <w:p>
      <w:pPr>
        <w:ind w:left="1620" w:hanging="540"/>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any legal, regulatory, equitable or arbitration proceeding involving this Agreement.</w:t>
      </w:r>
    </w:p>
    <w:p>
      <w:pPr>
        <w:spacing w:after="0" w:line="190"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8"/>
          <w:szCs w:val="18"/>
          <w:color w:val="auto"/>
        </w:rPr>
        <w:t>Each Party will cause its officers, directors, employees, consultants, advisors, attorneys and accountants to abide by the requirements of the foregoing provisions.</w:t>
      </w:r>
    </w:p>
    <w:p>
      <w:pPr>
        <w:spacing w:after="0" w:line="133" w:lineRule="exact"/>
        <w:rPr>
          <w:sz w:val="20"/>
          <w:szCs w:val="20"/>
          <w:color w:val="auto"/>
        </w:rPr>
      </w:pPr>
    </w:p>
    <w:p>
      <w:pPr>
        <w:jc w:val="both"/>
        <w:ind w:firstLine="545"/>
        <w:spacing w:after="0" w:line="264" w:lineRule="auto"/>
        <w:rPr>
          <w:sz w:val="20"/>
          <w:szCs w:val="20"/>
          <w:color w:val="auto"/>
        </w:rPr>
      </w:pPr>
      <w:r>
        <w:rPr>
          <w:rFonts w:ascii="Arial" w:cs="Arial" w:eastAsia="Arial" w:hAnsi="Arial"/>
          <w:sz w:val="18"/>
          <w:szCs w:val="18"/>
          <w:color w:val="auto"/>
        </w:rPr>
        <w:t>Before making any disclosure under item (d) above, unless prohibited by law or legal process or related to a dispute between Seller and Purchaser, Recipient will notify Discloser of the intended disclosure and of the reason for the disclosure and disclose only that portion of the Confidential Information that is legally required to be furnished pursuant to the advice of legal counsel of Recipient.</w:t>
      </w:r>
    </w:p>
    <w:p>
      <w:pPr>
        <w:spacing w:after="0" w:line="145" w:lineRule="exact"/>
        <w:rPr>
          <w:sz w:val="20"/>
          <w:szCs w:val="20"/>
          <w:color w:val="auto"/>
        </w:rPr>
      </w:pPr>
    </w:p>
    <w:p>
      <w:pPr>
        <w:jc w:val="both"/>
        <w:ind w:firstLine="545"/>
        <w:spacing w:after="0" w:line="257" w:lineRule="auto"/>
        <w:rPr>
          <w:sz w:val="20"/>
          <w:szCs w:val="20"/>
          <w:color w:val="auto"/>
        </w:rPr>
      </w:pPr>
      <w:r>
        <w:rPr>
          <w:rFonts w:ascii="Arial" w:cs="Arial" w:eastAsia="Arial" w:hAnsi="Arial"/>
          <w:sz w:val="18"/>
          <w:szCs w:val="18"/>
          <w:color w:val="auto"/>
        </w:rPr>
        <w:t>Because of the unique and highly confidential nature of the Confidential Information, Recipient acknowledges and agrees that Discloser may suffer irreparable harm if Recipient breaches any of its obligations under this Section, and that monetary damages may be inadequate to compensate for such breach. Accordingly, in addition to any other rights and remedies that may be available to Discloser at law and in equity, Discloser shall be entitled to enforce the provisions of this Agreement by seeking injunctive relief, and Recipient shall not assert as defenses that an adequate remedy at law exists and/or that Discloser will not be irreparably harmed.</w:t>
      </w:r>
    </w:p>
    <w:p>
      <w:pPr>
        <w:spacing w:after="0" w:line="147" w:lineRule="exact"/>
        <w:rPr>
          <w:sz w:val="20"/>
          <w:szCs w:val="20"/>
          <w:color w:val="auto"/>
        </w:rPr>
      </w:pPr>
    </w:p>
    <w:p>
      <w:pPr>
        <w:jc w:val="both"/>
        <w:ind w:firstLine="5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of a Party shall mean: (i) the terms of this Agreement, (ii) information disclosed by Discloser relating to product development strategy and activity, marketing strategy, corporate assessments and strategic plans, pricing, financial and statistical information, accounting information, identity of suppliers, software, systems, processes, formulae, inventions, discoveries, policies, guidelines, procedures, practices, disputes or litigation, (iii) confidential, proprietary or trade secret information orally disclosed by Discloser and identified as such on the date of its first disclosure, with a written summary thereof provided to Recipient within thirty (30) days of disclosure, (iv) confidential, proprietary or trade secret information disclosed by Discloser that is clearly and conspicuously identified in writing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320" w:top="1221" w:right="319" w:bottom="1440" w:gutter="0" w:footer="0" w:header="0"/>
        </w:sectPr>
      </w:pPr>
    </w:p>
    <w:bookmarkStart w:id="160" w:name="page161"/>
    <w:bookmarkEnd w:id="160"/>
    <w:p>
      <w:pPr>
        <w:jc w:val="both"/>
        <w:spacing w:after="0" w:line="285" w:lineRule="auto"/>
        <w:rPr>
          <w:sz w:val="20"/>
          <w:szCs w:val="20"/>
          <w:color w:val="auto"/>
        </w:rPr>
      </w:pPr>
      <w:r>
        <w:rPr>
          <w:rFonts w:ascii="Arial" w:cs="Arial" w:eastAsia="Arial" w:hAnsi="Arial"/>
          <w:sz w:val="16"/>
          <w:szCs w:val="16"/>
          <w:color w:val="auto"/>
        </w:rPr>
        <w:t>at the time of its first disclosure, (v) confidential, proprietary or trade secret information disclosed by Discloser, which a reasonable person would recognize as such, (vi) information disclosed by Discloser relating to employees or contractors or customers which, if released, would cause an unlawful invasion of privacy, including, but not limited to (A) “</w:t>
      </w:r>
      <w:r>
        <w:rPr>
          <w:rFonts w:ascii="Arial" w:cs="Arial" w:eastAsia="Arial" w:hAnsi="Arial"/>
          <w:sz w:val="16"/>
          <w:szCs w:val="16"/>
          <w:b w:val="1"/>
          <w:bCs w:val="1"/>
          <w:color w:val="auto"/>
        </w:rPr>
        <w:t>Non Public Personal Information</w:t>
      </w:r>
      <w:r>
        <w:rPr>
          <w:rFonts w:ascii="Arial" w:cs="Arial" w:eastAsia="Arial" w:hAnsi="Arial"/>
          <w:sz w:val="16"/>
          <w:szCs w:val="16"/>
          <w:color w:val="auto"/>
        </w:rPr>
        <w:t>” as defined by Title V of the Gramm-Leach-Bliley Act (Public Law No. 106-102) and the regulations promulgated pursuant thereto which are applicable to a Discloser with regard to the customers and consumers of a Discloser and (B) “</w:t>
      </w:r>
      <w:r>
        <w:rPr>
          <w:rFonts w:ascii="Arial" w:cs="Arial" w:eastAsia="Arial" w:hAnsi="Arial"/>
          <w:sz w:val="16"/>
          <w:szCs w:val="16"/>
          <w:b w:val="1"/>
          <w:bCs w:val="1"/>
          <w:color w:val="auto"/>
        </w:rPr>
        <w:t>Consumer Information</w:t>
      </w:r>
      <w:r>
        <w:rPr>
          <w:rFonts w:ascii="Arial" w:cs="Arial" w:eastAsia="Arial" w:hAnsi="Arial"/>
          <w:sz w:val="16"/>
          <w:szCs w:val="16"/>
          <w:color w:val="auto"/>
        </w:rPr>
        <w:t xml:space="preserve">,” as defined by the Fair and Accurate Credit Transactions Act of 2003 (Public Law No. 108-159) and the regulations promulgated pursuant thereto, together with any other nonpublic personal information and identifying information of or about consumers, applicants, clients or customers protected under applicable state and local law, and (vi) any compilation or summary of information or data that contains or is based on Confidential Information. For purposes of this Agreement, and without limiting the generality of the foregoing, the Parties acknowledge and agree that (A) all Confidential Information disclosed by a Party shall be deemed to be the Confidential Information of such Party, including, but not limited to, third-party confidential, proprietary or trade secret information that such Party is obligated to protect, and (B) information shall be deemed to be disclosed by a Party if such information is disclosed by any of its partners, Affiliates, officers, employees, directors, contractors, agents or representatives or is otherwise disclosed on behalf of such Party. For the avoidance of doubt, neither Party will provide Confidential Information that is prohibited from public disclosure except in accordance with 12 C.F.R. 510.5; </w:t>
      </w:r>
      <w:r>
        <w:rPr>
          <w:rFonts w:ascii="Arial" w:cs="Arial" w:eastAsia="Arial" w:hAnsi="Arial"/>
          <w:sz w:val="16"/>
          <w:szCs w:val="16"/>
          <w:b w:val="1"/>
          <w:bCs w:val="1"/>
          <w:i w:val="1"/>
          <w:iCs w:val="1"/>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“Confidential Information” of a Party shall not include information that: (i) is or becomes generally available to the public or widely known in the mortgage industry through no fault of Recipient (or anyone acting on its behalf); (ii) was, prior to disclosure by Discloser hereunder, known to Recipient free of any obligation to keep it confidential; (iii) is subsequently disclosed to Recipient by a third party who may rightfully transfer and disclose such information without restriction and free of any obligation to keep it confidential; or (iv) is independently developed by Recipient without reference to Discloser’s Confidential Information.</w:t>
      </w:r>
    </w:p>
    <w:p>
      <w:pPr>
        <w:spacing w:after="0" w:line="34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VIII</w:t>
      </w:r>
    </w:p>
    <w:p>
      <w:pPr>
        <w:spacing w:after="0" w:line="1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CONDITIONS PRECEDENT TO OBLIGATIONS OF PURCHASER</w:t>
      </w:r>
    </w:p>
    <w:p>
      <w:pPr>
        <w:spacing w:after="0" w:line="217" w:lineRule="exact"/>
        <w:rPr>
          <w:sz w:val="20"/>
          <w:szCs w:val="20"/>
          <w:color w:val="auto"/>
        </w:rPr>
      </w:pPr>
    </w:p>
    <w:p>
      <w:pPr>
        <w:jc w:val="both"/>
        <w:ind w:right="20" w:firstLine="545"/>
        <w:spacing w:after="0" w:line="278" w:lineRule="auto"/>
        <w:rPr>
          <w:sz w:val="20"/>
          <w:szCs w:val="20"/>
          <w:color w:val="auto"/>
        </w:rPr>
      </w:pPr>
      <w:r>
        <w:rPr>
          <w:rFonts w:ascii="Arial" w:cs="Arial" w:eastAsia="Arial" w:hAnsi="Arial"/>
          <w:sz w:val="18"/>
          <w:szCs w:val="18"/>
          <w:color w:val="auto"/>
        </w:rPr>
        <w:t>The obligations of Purchaser under this Agreement on the Sale Date and the Transfer Date are subject to the satisfaction of each of the following conditions, any or all of which may be waived in writing by Purchaser:</w:t>
      </w:r>
    </w:p>
    <w:p>
      <w:pPr>
        <w:spacing w:after="0" w:line="129"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VIII.1 </w:t>
      </w:r>
      <w:r>
        <w:rPr>
          <w:rFonts w:ascii="Arial" w:cs="Arial" w:eastAsia="Arial" w:hAnsi="Arial"/>
          <w:sz w:val="18"/>
          <w:szCs w:val="18"/>
          <w:b w:val="1"/>
          <w:bCs w:val="1"/>
          <w:u w:val="single" w:color="auto"/>
          <w:color w:val="auto"/>
        </w:rPr>
        <w:t>Correctness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and warranties made by Seller in Article IV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true and correct in all material respects as of the Sale Date and the Transfer Date, as applicable.</w:t>
      </w:r>
    </w:p>
    <w:p>
      <w:pPr>
        <w:spacing w:after="0" w:line="125"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VIII.2 </w:t>
      </w:r>
      <w:r>
        <w:rPr>
          <w:rFonts w:ascii="Arial" w:cs="Arial" w:eastAsia="Arial" w:hAnsi="Arial"/>
          <w:sz w:val="18"/>
          <w:szCs w:val="18"/>
          <w:b w:val="1"/>
          <w:bCs w:val="1"/>
          <w:u w:val="single" w:color="auto"/>
          <w:color w:val="auto"/>
        </w:rPr>
        <w:t>Compliance with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All terms and covenants contained in this Agreement required to be complied with and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by Seller shall have been duly complied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320" w:top="1222" w:right="3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with and performed by Seller in all material respects as of the Sale Date and the Transfer Date, as applicable.</w:t>
      </w:r>
    </w:p>
    <w:p>
      <w:pPr>
        <w:spacing w:after="0" w:line="186"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VIII.3 </w:t>
      </w:r>
      <w:r>
        <w:rPr>
          <w:rFonts w:ascii="Arial" w:cs="Arial" w:eastAsia="Arial" w:hAnsi="Arial"/>
          <w:sz w:val="18"/>
          <w:szCs w:val="18"/>
          <w:b w:val="1"/>
          <w:bCs w:val="1"/>
          <w:u w:val="single" w:color="auto"/>
          <w:color w:val="auto"/>
        </w:rPr>
        <w:t>Officer’s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Sale Date, Purchaser shall have received from Seller a duly executed Officer’s Certificate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including the required attachments.</w:t>
      </w:r>
    </w:p>
    <w:p>
      <w:pPr>
        <w:spacing w:after="0" w:line="125" w:lineRule="exact"/>
        <w:rPr>
          <w:sz w:val="20"/>
          <w:szCs w:val="20"/>
          <w:color w:val="auto"/>
        </w:rPr>
      </w:pPr>
    </w:p>
    <w:p>
      <w:pPr>
        <w:jc w:val="both"/>
        <w:ind w:firstLine="545"/>
        <w:spacing w:after="0" w:line="314" w:lineRule="auto"/>
        <w:rPr>
          <w:sz w:val="20"/>
          <w:szCs w:val="20"/>
          <w:color w:val="auto"/>
        </w:rPr>
      </w:pPr>
      <w:r>
        <w:rPr>
          <w:rFonts w:ascii="Arial" w:cs="Arial" w:eastAsia="Arial" w:hAnsi="Arial"/>
          <w:sz w:val="16"/>
          <w:szCs w:val="16"/>
          <w:b w:val="1"/>
          <w:bCs w:val="1"/>
          <w:color w:val="auto"/>
        </w:rPr>
        <w:t xml:space="preserve">Section VIII.4 </w:t>
      </w:r>
      <w:r>
        <w:rPr>
          <w:rFonts w:ascii="Arial" w:cs="Arial" w:eastAsia="Arial" w:hAnsi="Arial"/>
          <w:sz w:val="16"/>
          <w:szCs w:val="16"/>
          <w:b w:val="1"/>
          <w:bCs w:val="1"/>
          <w:u w:val="single" w:color="auto"/>
          <w:color w:val="auto"/>
        </w:rPr>
        <w:t>Investor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At or prior to the Sale Date, all Investor Consents shall have been received from the Investors and the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Housing Finance Agency and delivered to Purchaser and shall not contain any term or condition that could adversely affect the value of the Servicing Rights to Purchaser or impose any cost or obligation on Purchaser not normally imposed in the ordinary course of a transfer of servicing rights.</w:t>
      </w:r>
    </w:p>
    <w:p>
      <w:pPr>
        <w:spacing w:after="0" w:line="106" w:lineRule="exact"/>
        <w:rPr>
          <w:sz w:val="20"/>
          <w:szCs w:val="20"/>
          <w:color w:val="auto"/>
        </w:rPr>
      </w:pPr>
    </w:p>
    <w:p>
      <w:pPr>
        <w:jc w:val="both"/>
        <w:ind w:right="20" w:firstLine="545"/>
        <w:spacing w:after="0" w:line="266" w:lineRule="auto"/>
        <w:rPr>
          <w:sz w:val="20"/>
          <w:szCs w:val="20"/>
          <w:color w:val="auto"/>
        </w:rPr>
      </w:pPr>
      <w:r>
        <w:rPr>
          <w:rFonts w:ascii="Arial" w:cs="Arial" w:eastAsia="Arial" w:hAnsi="Arial"/>
          <w:sz w:val="18"/>
          <w:szCs w:val="18"/>
          <w:b w:val="1"/>
          <w:bCs w:val="1"/>
          <w:color w:val="auto"/>
        </w:rPr>
        <w:t xml:space="preserve">Section VIII.5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Sale Date or the Transfer Date, as applicable, no court order shall have been entered in any 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instituted by any Person which enjoins, restrains or prohibits or seeks to enjoin, restrain or prohibit this Agreement or consummation of the Transaction.</w:t>
      </w:r>
    </w:p>
    <w:p>
      <w:pPr>
        <w:spacing w:after="0" w:line="140"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VIII.6 </w:t>
      </w:r>
      <w:r>
        <w:rPr>
          <w:rFonts w:ascii="Arial" w:cs="Arial" w:eastAsia="Arial" w:hAnsi="Arial"/>
          <w:sz w:val="18"/>
          <w:szCs w:val="18"/>
          <w:b w:val="1"/>
          <w:bCs w:val="1"/>
          <w:u w:val="single" w:color="auto"/>
          <w:color w:val="auto"/>
        </w:rPr>
        <w:t>Financial Condition of Seller</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Sale Date, Seller shall have provided to Purchaser copies of Seller’s most recent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to evidence that the financial condition of Seller is adequate to support the performance by Seller on a timely basis of Seller’s potential indemnification and other obligations hereunder.</w:t>
      </w:r>
    </w:p>
    <w:p>
      <w:pPr>
        <w:spacing w:after="0" w:line="140" w:lineRule="exact"/>
        <w:rPr>
          <w:sz w:val="20"/>
          <w:szCs w:val="20"/>
          <w:color w:val="auto"/>
        </w:rPr>
      </w:pPr>
    </w:p>
    <w:p>
      <w:pPr>
        <w:jc w:val="both"/>
        <w:ind w:firstLine="545"/>
        <w:spacing w:after="0" w:line="258" w:lineRule="auto"/>
        <w:rPr>
          <w:sz w:val="20"/>
          <w:szCs w:val="20"/>
          <w:color w:val="auto"/>
        </w:rPr>
      </w:pPr>
      <w:r>
        <w:rPr>
          <w:rFonts w:ascii="Arial" w:cs="Arial" w:eastAsia="Arial" w:hAnsi="Arial"/>
          <w:sz w:val="18"/>
          <w:szCs w:val="18"/>
          <w:b w:val="1"/>
          <w:bCs w:val="1"/>
          <w:color w:val="auto"/>
        </w:rPr>
        <w:t xml:space="preserve">Section VIII.7 </w:t>
      </w:r>
      <w:r>
        <w:rPr>
          <w:rFonts w:ascii="Arial" w:cs="Arial" w:eastAsia="Arial" w:hAnsi="Arial"/>
          <w:sz w:val="18"/>
          <w:szCs w:val="18"/>
          <w:b w:val="1"/>
          <w:bCs w:val="1"/>
          <w:u w:val="single" w:color="auto"/>
          <w:color w:val="auto"/>
        </w:rPr>
        <w:t>Conformance with Data</w:t>
      </w:r>
      <w:r>
        <w:rPr>
          <w:rFonts w:ascii="Arial" w:cs="Arial" w:eastAsia="Arial" w:hAnsi="Arial"/>
          <w:sz w:val="18"/>
          <w:szCs w:val="18"/>
          <w:b w:val="1"/>
          <w:bCs w:val="1"/>
          <w:color w:val="auto"/>
        </w:rPr>
        <w:t xml:space="preserve">. </w:t>
      </w:r>
      <w:r>
        <w:rPr>
          <w:rFonts w:ascii="Arial" w:cs="Arial" w:eastAsia="Arial" w:hAnsi="Arial"/>
          <w:sz w:val="18"/>
          <w:szCs w:val="18"/>
          <w:color w:val="auto"/>
        </w:rPr>
        <w:t>The characteristics of the Mortgage Loans, Servicing Rights and Advances (including delinquency rates,</w:t>
      </w:r>
      <w:r>
        <w:rPr>
          <w:rFonts w:ascii="Arial" w:cs="Arial" w:eastAsia="Arial" w:hAnsi="Arial"/>
          <w:sz w:val="18"/>
          <w:szCs w:val="18"/>
          <w:b w:val="1"/>
          <w:bCs w:val="1"/>
          <w:color w:val="auto"/>
        </w:rPr>
        <w:t xml:space="preserve"> </w:t>
      </w:r>
      <w:r>
        <w:rPr>
          <w:rFonts w:ascii="Arial" w:cs="Arial" w:eastAsia="Arial" w:hAnsi="Arial"/>
          <w:sz w:val="18"/>
          <w:szCs w:val="18"/>
          <w:color w:val="auto"/>
        </w:rPr>
        <w:t>escrow balances, average weighted servicing spread, interest rates, outstanding principal balances and loan modifications) shall be in conformance in all material respects with all data and other written information, including the Offering Information, provided to Purchaser by or on behalf of Seller (taking into account payoffs and liquidations of such Mortgage Loans provided that they do not materially alter the general aggregate characteristics of the portfolio).</w:t>
      </w:r>
    </w:p>
    <w:p>
      <w:pPr>
        <w:spacing w:after="0" w:line="147" w:lineRule="exact"/>
        <w:rPr>
          <w:sz w:val="20"/>
          <w:szCs w:val="20"/>
          <w:color w:val="auto"/>
        </w:rPr>
      </w:pPr>
    </w:p>
    <w:p>
      <w:pPr>
        <w:jc w:val="both"/>
        <w:ind w:right="20" w:firstLine="545"/>
        <w:spacing w:after="0" w:line="266" w:lineRule="auto"/>
        <w:rPr>
          <w:sz w:val="20"/>
          <w:szCs w:val="20"/>
          <w:color w:val="auto"/>
        </w:rPr>
      </w:pPr>
      <w:r>
        <w:rPr>
          <w:rFonts w:ascii="Arial" w:cs="Arial" w:eastAsia="Arial" w:hAnsi="Arial"/>
          <w:sz w:val="18"/>
          <w:szCs w:val="18"/>
          <w:b w:val="1"/>
          <w:bCs w:val="1"/>
          <w:color w:val="auto"/>
        </w:rPr>
        <w:t xml:space="preserve">Section VIII.8 </w:t>
      </w:r>
      <w:r>
        <w:rPr>
          <w:rFonts w:ascii="Arial" w:cs="Arial" w:eastAsia="Arial" w:hAnsi="Arial"/>
          <w:sz w:val="18"/>
          <w:szCs w:val="18"/>
          <w:b w:val="1"/>
          <w:bCs w:val="1"/>
          <w:u w:val="single" w:color="auto"/>
          <w:color w:val="auto"/>
        </w:rPr>
        <w:t>Material Adverse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There shall have been no material adverse change in the condition (financial or otherwise),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net worth, assets (including the Servicing Rights), properties or operations of Seller that affects Seller’s ability to perform its obligations under this Agreement.</w:t>
      </w:r>
    </w:p>
    <w:p>
      <w:pPr>
        <w:spacing w:after="0" w:line="140"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VIII.9 </w:t>
      </w:r>
      <w:r>
        <w:rPr>
          <w:rFonts w:ascii="Arial" w:cs="Arial" w:eastAsia="Arial" w:hAnsi="Arial"/>
          <w:sz w:val="18"/>
          <w:szCs w:val="18"/>
          <w:b w:val="1"/>
          <w:bCs w:val="1"/>
          <w:u w:val="single" w:color="auto"/>
          <w:color w:val="auto"/>
        </w:rPr>
        <w:t>Due Diligence Findings</w:t>
      </w:r>
      <w:r>
        <w:rPr>
          <w:rFonts w:ascii="Arial" w:cs="Arial" w:eastAsia="Arial" w:hAnsi="Arial"/>
          <w:sz w:val="18"/>
          <w:szCs w:val="18"/>
          <w:color w:val="auto"/>
        </w:rPr>
        <w:t>. As of the Sale Date, Purchaser’s due diligence review with respect to Seller, the Mortgage Loans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Rights has been completed and the results are satisfactory in Purchaser’s sole discretion.</w:t>
      </w:r>
    </w:p>
    <w:p>
      <w:pPr>
        <w:spacing w:after="0" w:line="125"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VIII.10 </w:t>
      </w:r>
      <w:r>
        <w:rPr>
          <w:rFonts w:ascii="Arial" w:cs="Arial" w:eastAsia="Arial" w:hAnsi="Arial"/>
          <w:sz w:val="18"/>
          <w:szCs w:val="18"/>
          <w:b w:val="1"/>
          <w:bCs w:val="1"/>
          <w:u w:val="single" w:color="auto"/>
          <w:color w:val="auto"/>
        </w:rPr>
        <w:t>Release of Liens on Servicing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Sale Date, to the extent that there is a lien on the Servicing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such Sale Date, Purchaser shall have received an instrument, in a form reasonably satisfactory to Purchaser, evidencing the release of any lien to which the Servicing Rights transferred to Purchaser on the Sale Date may have been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320" w:top="1221" w:right="319" w:bottom="1440" w:gutter="0" w:footer="0" w:header="0"/>
        </w:sectPr>
      </w:pPr>
    </w:p>
    <w:bookmarkStart w:id="162" w:name="page163"/>
    <w:bookmarkEnd w:id="162"/>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VIII.11 </w:t>
      </w:r>
      <w:r>
        <w:rPr>
          <w:rFonts w:ascii="Arial" w:cs="Arial" w:eastAsia="Arial" w:hAnsi="Arial"/>
          <w:sz w:val="18"/>
          <w:szCs w:val="18"/>
          <w:b w:val="1"/>
          <w:bCs w:val="1"/>
          <w:u w:val="single" w:color="auto"/>
          <w:color w:val="auto"/>
        </w:rPr>
        <w:t>Financing Contingency</w:t>
      </w:r>
      <w:r>
        <w:rPr>
          <w:rFonts w:ascii="Arial" w:cs="Arial" w:eastAsia="Arial" w:hAnsi="Arial"/>
          <w:sz w:val="18"/>
          <w:szCs w:val="18"/>
          <w:b w:val="1"/>
          <w:bCs w:val="1"/>
          <w:color w:val="auto"/>
        </w:rPr>
        <w:t xml:space="preserve">. </w:t>
      </w:r>
      <w:r>
        <w:rPr>
          <w:rFonts w:ascii="Arial" w:cs="Arial" w:eastAsia="Arial" w:hAnsi="Arial"/>
          <w:sz w:val="18"/>
          <w:szCs w:val="18"/>
          <w:color w:val="auto"/>
        </w:rPr>
        <w:t>On or prior to the Sale Date, Western Alliance Bank has entered into a loan or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Purchaser to provide for the financing of the Servicing Rights and Advances being acquired by Purchaser pursuant to this Agreement and all conditions precedent for the closing of the transactions contemplated under such loan or financing agreement have been satisfied or waived, including without limitation receipt of fully executed acknowledgment agreements with each of the Investors.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IX</w:t>
      </w:r>
    </w:p>
    <w:p>
      <w:pPr>
        <w:spacing w:after="0" w:line="1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CONDITIONS PRECEDENT TO OBLIGATIONS OF SELLER</w:t>
      </w:r>
    </w:p>
    <w:p>
      <w:pPr>
        <w:spacing w:after="0" w:line="217"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8"/>
          <w:szCs w:val="18"/>
          <w:color w:val="auto"/>
        </w:rPr>
        <w:t>The obligations of Seller under this Agreement on the Sale Date and the Transfer Date are subject to the satisfaction of each of the following conditions, any or all of which may be waived in writing by Seller: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Section IX.1</w:t>
            </w:r>
          </w:p>
        </w:tc>
        <w:tc>
          <w:tcPr>
            <w:tcW w:w="954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 xml:space="preserve">Correctness of Representations and Warranties. </w:t>
            </w:r>
            <w:r>
              <w:rPr>
                <w:rFonts w:ascii="Arial" w:cs="Arial" w:eastAsia="Arial" w:hAnsi="Arial"/>
                <w:sz w:val="18"/>
                <w:szCs w:val="18"/>
                <w:color w:val="auto"/>
                <w:w w:val="91"/>
              </w:rPr>
              <w:t>The representations and warranties made by Purchaser in this Agreement are</w:t>
            </w: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38"/>
        </w:trPr>
        <w:tc>
          <w:tcPr>
            <w:tcW w:w="11260" w:type="dxa"/>
            <w:vAlign w:val="bottom"/>
            <w:gridSpan w:val="4"/>
          </w:tcPr>
          <w:p>
            <w:pPr>
              <w:spacing w:after="0"/>
              <w:rPr>
                <w:sz w:val="20"/>
                <w:szCs w:val="20"/>
                <w:color w:val="auto"/>
              </w:rPr>
            </w:pPr>
            <w:r>
              <w:rPr>
                <w:rFonts w:ascii="Arial" w:cs="Arial" w:eastAsia="Arial" w:hAnsi="Arial"/>
                <w:sz w:val="18"/>
                <w:szCs w:val="18"/>
                <w:color w:val="auto"/>
              </w:rPr>
              <w:t>true and correct in all material respects as of the Sale Date and the Transfer Date.</w:t>
            </w:r>
          </w:p>
        </w:tc>
      </w:tr>
      <w:tr>
        <w:trPr>
          <w:trHeight w:val="354"/>
        </w:trPr>
        <w:tc>
          <w:tcPr>
            <w:tcW w:w="1720" w:type="dxa"/>
            <w:vAlign w:val="bottom"/>
          </w:tcPr>
          <w:p>
            <w:pPr>
              <w:ind w:left="540"/>
              <w:spacing w:after="0"/>
              <w:rPr>
                <w:sz w:val="20"/>
                <w:szCs w:val="20"/>
                <w:color w:val="auto"/>
              </w:rPr>
            </w:pPr>
            <w:r>
              <w:rPr>
                <w:rFonts w:ascii="Arial" w:cs="Arial" w:eastAsia="Arial" w:hAnsi="Arial"/>
                <w:sz w:val="18"/>
                <w:szCs w:val="18"/>
                <w:b w:val="1"/>
                <w:bCs w:val="1"/>
                <w:color w:val="auto"/>
              </w:rPr>
              <w:t>Section IX.2</w:t>
            </w:r>
          </w:p>
        </w:tc>
        <w:tc>
          <w:tcPr>
            <w:tcW w:w="9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8"/>
              </w:rPr>
              <w:t xml:space="preserve">Compliance with Covenants. </w:t>
            </w:r>
            <w:r>
              <w:rPr>
                <w:rFonts w:ascii="Arial" w:cs="Arial" w:eastAsia="Arial" w:hAnsi="Arial"/>
                <w:sz w:val="18"/>
                <w:szCs w:val="18"/>
                <w:color w:val="auto"/>
                <w:w w:val="98"/>
              </w:rPr>
              <w:t>All terms and covenants in the Agreement required to be complied with and performed by</w:t>
            </w:r>
          </w:p>
        </w:tc>
      </w:tr>
      <w:tr>
        <w:trPr>
          <w:trHeight w:val="20"/>
        </w:trPr>
        <w:tc>
          <w:tcPr>
            <w:tcW w:w="17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Purchaser shall have been duly complied with and performed by Purchaser in all material respects as of the Sale Date and the Transfer Date, as applicable.</w:t>
      </w:r>
    </w:p>
    <w:p>
      <w:pPr>
        <w:spacing w:after="0" w:line="19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b w:val="1"/>
                <w:bCs w:val="1"/>
                <w:color w:val="auto"/>
              </w:rPr>
              <w:t>Section IX.3</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Investor Approval. </w:t>
            </w:r>
            <w:r>
              <w:rPr>
                <w:rFonts w:ascii="Arial" w:cs="Arial" w:eastAsia="Arial" w:hAnsi="Arial"/>
                <w:sz w:val="18"/>
                <w:szCs w:val="18"/>
                <w:color w:val="auto"/>
              </w:rPr>
              <w:t>At or prior to the Sale Date, Investor Consents shall have been received from the Investors.</w:t>
            </w: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377"/>
        </w:trPr>
        <w:tc>
          <w:tcPr>
            <w:tcW w:w="1140" w:type="dxa"/>
            <w:vAlign w:val="bottom"/>
          </w:tcPr>
          <w:p>
            <w:pPr>
              <w:spacing w:after="0"/>
              <w:rPr>
                <w:sz w:val="20"/>
                <w:szCs w:val="20"/>
                <w:color w:val="auto"/>
              </w:rPr>
            </w:pPr>
            <w:r>
              <w:rPr>
                <w:rFonts w:ascii="Arial" w:cs="Arial" w:eastAsia="Arial" w:hAnsi="Arial"/>
                <w:sz w:val="18"/>
                <w:szCs w:val="18"/>
                <w:b w:val="1"/>
                <w:bCs w:val="1"/>
                <w:color w:val="auto"/>
              </w:rPr>
              <w:t>Section IX.4</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Litigation. </w:t>
            </w:r>
            <w:r>
              <w:rPr>
                <w:rFonts w:ascii="Arial" w:cs="Arial" w:eastAsia="Arial" w:hAnsi="Arial"/>
                <w:sz w:val="18"/>
                <w:szCs w:val="18"/>
                <w:color w:val="auto"/>
                <w:w w:val="90"/>
              </w:rPr>
              <w:t>On the Sale Date and the Transfer Date, no court order shall have been entered in any action or proceeding instituted by</w:t>
            </w: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any Person which enjoins, restrains or prohibits or seeks to enjoin, restrain or prohibit this Agreement or consummation of the Transaction.</w:t>
      </w:r>
    </w:p>
    <w:p>
      <w:pPr>
        <w:spacing w:after="0" w:line="200" w:lineRule="exact"/>
        <w:rPr>
          <w:sz w:val="20"/>
          <w:szCs w:val="20"/>
          <w:color w:val="auto"/>
        </w:rPr>
      </w:pPr>
    </w:p>
    <w:p>
      <w:pPr>
        <w:spacing w:after="0" w:line="20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X</w:t>
      </w:r>
    </w:p>
    <w:p>
      <w:pPr>
        <w:spacing w:after="0" w:line="19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INDEMNIFICATION</w:t>
      </w:r>
    </w:p>
    <w:p>
      <w:pPr>
        <w:spacing w:after="0" w:line="213"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X.1 </w:t>
      </w:r>
      <w:r>
        <w:rPr>
          <w:rFonts w:ascii="Arial" w:cs="Arial" w:eastAsia="Arial" w:hAnsi="Arial"/>
          <w:sz w:val="18"/>
          <w:szCs w:val="18"/>
          <w:b w:val="1"/>
          <w:bCs w:val="1"/>
          <w:u w:val="single" w:color="auto"/>
          <w:color w:val="auto"/>
        </w:rPr>
        <w:t>Indemnification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Seller shall indemnify and hold Purchaser harmless from, and will reimburse Purchaser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Losses incurred by Purchaser to the extent that such Losses arise out of, relate to, or result from:</w:t>
      </w:r>
    </w:p>
    <w:p>
      <w:pPr>
        <w:spacing w:after="0" w:line="129" w:lineRule="exact"/>
        <w:rPr>
          <w:sz w:val="20"/>
          <w:szCs w:val="20"/>
          <w:color w:val="auto"/>
        </w:rPr>
      </w:pPr>
    </w:p>
    <w:p>
      <w:pPr>
        <w:ind w:left="1620" w:hanging="540"/>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inaccuracy of any representation or warranty made by Seller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1218" w:right="319" w:bottom="1440" w:gutter="0" w:footer="0" w:header="0"/>
        </w:sectPr>
      </w:pPr>
    </w:p>
    <w:bookmarkStart w:id="163" w:name="page164"/>
    <w:bookmarkEnd w:id="163"/>
    <w:p>
      <w:pPr>
        <w:ind w:right="20" w:firstLine="1080"/>
        <w:spacing w:after="0" w:line="278" w:lineRule="auto"/>
        <w:tabs>
          <w:tab w:leader="none" w:pos="163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failure by Seller to perform or observe any term or provision of this Agreement, including without limitation the Interim Servicing Requirements;</w:t>
      </w:r>
    </w:p>
    <w:p>
      <w:pPr>
        <w:spacing w:after="0" w:line="133" w:lineRule="exact"/>
        <w:rPr>
          <w:rFonts w:ascii="Arial" w:cs="Arial" w:eastAsia="Arial" w:hAnsi="Arial"/>
          <w:sz w:val="18"/>
          <w:szCs w:val="18"/>
          <w:color w:val="auto"/>
        </w:rPr>
      </w:pPr>
    </w:p>
    <w:p>
      <w:pPr>
        <w:jc w:val="both"/>
        <w:ind w:firstLine="1080"/>
        <w:spacing w:after="0" w:line="259" w:lineRule="auto"/>
        <w:tabs>
          <w:tab w:leader="none" w:pos="163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inadequate, inaccurate or improper acts or omissions related to the origination or servicing of the Mortgage Loans, and any failure to comply with all Applicable Requirements prior to the Transfer Date, except if (i) Seller was acting in accordance with the express written instruction of Purchaser following the Sale Date or (ii) such act or omission is that of Purchaser or its designee (other than the Seller) following the Transfer Date;</w:t>
      </w:r>
    </w:p>
    <w:p>
      <w:pPr>
        <w:spacing w:after="0" w:line="150" w:lineRule="exact"/>
        <w:rPr>
          <w:rFonts w:ascii="Arial" w:cs="Arial" w:eastAsia="Arial" w:hAnsi="Arial"/>
          <w:sz w:val="18"/>
          <w:szCs w:val="18"/>
          <w:color w:val="auto"/>
        </w:rPr>
      </w:pPr>
    </w:p>
    <w:p>
      <w:pPr>
        <w:ind w:right="20" w:firstLine="1080"/>
        <w:spacing w:after="0" w:line="278" w:lineRule="auto"/>
        <w:tabs>
          <w:tab w:leader="none" w:pos="163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Claim pending as of the Transfer Date, or arising out of events occurring in whole or in part before the Transfer Date, in connection with the Servicing Rights transferred to Purchaser or the related Mortgage Loans;</w:t>
      </w:r>
    </w:p>
    <w:p>
      <w:pPr>
        <w:spacing w:after="0" w:line="133" w:lineRule="exact"/>
        <w:rPr>
          <w:rFonts w:ascii="Arial" w:cs="Arial" w:eastAsia="Arial" w:hAnsi="Arial"/>
          <w:sz w:val="18"/>
          <w:szCs w:val="18"/>
          <w:color w:val="auto"/>
        </w:rPr>
      </w:pPr>
    </w:p>
    <w:p>
      <w:pPr>
        <w:ind w:firstLine="1080"/>
        <w:spacing w:after="0" w:line="278" w:lineRule="auto"/>
        <w:tabs>
          <w:tab w:leader="none" w:pos="163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unreimbursed amounts of any Advances made prior to the Transfer Date, including any deductions, disallowances, curtailments or denials by an Agency or an Insurer with respect to such Advances;</w:t>
      </w:r>
    </w:p>
    <w:p>
      <w:pPr>
        <w:spacing w:after="0" w:line="133" w:lineRule="exact"/>
        <w:rPr>
          <w:rFonts w:ascii="Arial" w:cs="Arial" w:eastAsia="Arial" w:hAnsi="Arial"/>
          <w:sz w:val="18"/>
          <w:szCs w:val="18"/>
          <w:color w:val="auto"/>
        </w:rPr>
      </w:pPr>
    </w:p>
    <w:p>
      <w:pPr>
        <w:jc w:val="both"/>
        <w:ind w:firstLine="1080"/>
        <w:spacing w:after="0" w:line="264" w:lineRule="auto"/>
        <w:tabs>
          <w:tab w:leader="none" w:pos="163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Compensatory Fees or other similar penalties or charges to be paid to or deducted by an Investor or Agency with respect to the Servicing Rights or the Advances arising out of or related to any act or omission of Seller prior to the Transfer Date, including without limitation failure to meet any “first legal” or other timeline requirements of the applicable Agency prior to the Transfer Date;</w:t>
      </w:r>
    </w:p>
    <w:p>
      <w:pPr>
        <w:spacing w:after="0" w:line="145" w:lineRule="exact"/>
        <w:rPr>
          <w:rFonts w:ascii="Arial" w:cs="Arial" w:eastAsia="Arial" w:hAnsi="Arial"/>
          <w:sz w:val="18"/>
          <w:szCs w:val="18"/>
          <w:color w:val="auto"/>
        </w:rPr>
      </w:pPr>
    </w:p>
    <w:p>
      <w:pPr>
        <w:ind w:firstLine="1080"/>
        <w:spacing w:after="0" w:line="278" w:lineRule="auto"/>
        <w:tabs>
          <w:tab w:leader="none" w:pos="163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missing, incomplete or defective documents that are required to be delivered to Purchaser (or its Document Custodian or other designee) hereunder; or</w:t>
      </w:r>
    </w:p>
    <w:p>
      <w:pPr>
        <w:spacing w:after="0" w:line="133" w:lineRule="exact"/>
        <w:rPr>
          <w:rFonts w:ascii="Arial" w:cs="Arial" w:eastAsia="Arial" w:hAnsi="Arial"/>
          <w:sz w:val="18"/>
          <w:szCs w:val="18"/>
          <w:color w:val="auto"/>
        </w:rPr>
      </w:pPr>
    </w:p>
    <w:p>
      <w:pPr>
        <w:jc w:val="both"/>
        <w:ind w:firstLine="1080"/>
        <w:spacing w:after="0" w:line="279" w:lineRule="auto"/>
        <w:tabs>
          <w:tab w:leader="none" w:pos="163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act or omission of Purchaser or its subservicer on or after the Transfer Date arising out of the continuation of Seller’s (i) escrow practices in connection with the Servicing Rights, before the earlier of the first anniversary of the Transfer Date and Purchaser’s completion of its first escrow analysis of the Servicing Rights following the Transfer Date as required under Applicable Requirements or (ii) Mortgage Interest Rate adjustment practices in connection with the Servicing Rights, before the date of the next scheduled interest rate adjustment.</w:t>
      </w:r>
    </w:p>
    <w:p>
      <w:pPr>
        <w:spacing w:after="0" w:line="135" w:lineRule="exact"/>
        <w:rPr>
          <w:sz w:val="20"/>
          <w:szCs w:val="20"/>
          <w:color w:val="auto"/>
        </w:rPr>
      </w:pPr>
    </w:p>
    <w:p>
      <w:pPr>
        <w:jc w:val="both"/>
        <w:ind w:firstLine="545"/>
        <w:spacing w:after="0" w:line="296" w:lineRule="auto"/>
        <w:rPr>
          <w:sz w:val="20"/>
          <w:szCs w:val="20"/>
          <w:color w:val="auto"/>
        </w:rPr>
      </w:pPr>
      <w:r>
        <w:rPr>
          <w:rFonts w:ascii="Arial" w:cs="Arial" w:eastAsia="Arial" w:hAnsi="Arial"/>
          <w:sz w:val="16"/>
          <w:szCs w:val="16"/>
          <w:color w:val="auto"/>
        </w:rPr>
        <w:t xml:space="preserve">For purposes of establishing whether any matter gives rise to an obligation for Seller to provide indemnification pursuant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the accuracy of the representations and warranties of Seller contained herein shall be determined without giving effect to the qualifications to such representations and warranties concerning knowledge or materiality (including any reference to “material adverse effect,” “Seller’s knowledge,” or any other terms similar thereto), or any exceptions to such representations and warranties in a disclosure schedule hereto or otherwise stated as an exception to Seller’s representations and warranties. The Foreclosure of a Mortgage Loan shall not be deemed to cut off Losses in respect of the related REO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320" w:top="1221" w:right="319" w:bottom="1440" w:gutter="0" w:footer="0" w:header="0"/>
        </w:sectPr>
      </w:pPr>
    </w:p>
    <w:bookmarkStart w:id="164" w:name="page165"/>
    <w:bookmarkEnd w:id="164"/>
    <w:p>
      <w:pPr>
        <w:jc w:val="both"/>
        <w:ind w:firstLine="545"/>
        <w:spacing w:after="0" w:line="278" w:lineRule="auto"/>
        <w:rPr>
          <w:sz w:val="20"/>
          <w:szCs w:val="20"/>
          <w:color w:val="auto"/>
        </w:rPr>
      </w:pPr>
      <w:r>
        <w:rPr>
          <w:rFonts w:ascii="Arial" w:cs="Arial" w:eastAsia="Arial" w:hAnsi="Arial"/>
          <w:sz w:val="18"/>
          <w:szCs w:val="18"/>
          <w:color w:val="auto"/>
        </w:rPr>
        <w:t xml:space="preserve">The indemnification provided by Seller herein shall be with respect to Losses involving third parties or Losses involving Purchaser, and shall be without duplication of amounts paid pursuant to </w:t>
      </w:r>
      <w:r>
        <w:rPr>
          <w:rFonts w:ascii="Arial" w:cs="Arial" w:eastAsia="Arial" w:hAnsi="Arial"/>
          <w:sz w:val="18"/>
          <w:szCs w:val="18"/>
          <w:u w:val="single" w:color="auto"/>
          <w:color w:val="auto"/>
        </w:rPr>
        <w:t>Sections 10.2 or 10.5.</w:t>
      </w:r>
    </w:p>
    <w:p>
      <w:pPr>
        <w:spacing w:after="0" w:line="129" w:lineRule="exact"/>
        <w:rPr>
          <w:sz w:val="20"/>
          <w:szCs w:val="20"/>
          <w:color w:val="auto"/>
        </w:rPr>
      </w:pPr>
    </w:p>
    <w:p>
      <w:pPr>
        <w:jc w:val="both"/>
        <w:ind w:firstLine="545"/>
        <w:spacing w:after="0" w:line="269" w:lineRule="auto"/>
        <w:rPr>
          <w:sz w:val="20"/>
          <w:szCs w:val="20"/>
          <w:color w:val="auto"/>
        </w:rPr>
      </w:pPr>
      <w:r>
        <w:rPr>
          <w:rFonts w:ascii="Arial" w:cs="Arial" w:eastAsia="Arial" w:hAnsi="Arial"/>
          <w:sz w:val="17"/>
          <w:szCs w:val="17"/>
          <w:b w:val="1"/>
          <w:bCs w:val="1"/>
          <w:color w:val="auto"/>
        </w:rPr>
        <w:t xml:space="preserve">Section X.2 </w:t>
      </w:r>
      <w:r>
        <w:rPr>
          <w:rFonts w:ascii="Arial" w:cs="Arial" w:eastAsia="Arial" w:hAnsi="Arial"/>
          <w:sz w:val="17"/>
          <w:szCs w:val="17"/>
          <w:b w:val="1"/>
          <w:bCs w:val="1"/>
          <w:u w:val="single" w:color="auto"/>
          <w:color w:val="auto"/>
        </w:rPr>
        <w:t>Repurchase of Mortgage Loans, REO Property and Servicing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exists a basis to demand indemnification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that materially and adversely affects the value or marketability of the related Servicing Rights or the ownership interest of Purchaser in such Servicing Rights, regardless of whether Losses have actually occurred, or if an Investor requests that Purchaser or Seller repurchase a Mortgage Loan or REO Property or remove a Mortgage Loan from a Pool (as permitted pursuant to the applicable Servicing Agreement(s)) subject to any limitations of an Investor, Purchaser may require Seller to repurchase from Purchaser the applicable Servicing Rights, and in the case of an Investor request (as permitted pursuant to the applicable Servicing Agreement(s)), repurchase the related Mortgage Loan or REO Property from Purchaser, or if permitted under Applicable Requirements repurchase the Mortgage Loan or REO Property directly from an Investor. Seller shall repurchase the Servicing Rights at the Repurchase Price, and shall repurchase the Mortgage Loan or REO Property, if applicable, at a price equal to the amount necessary to repurchase such Mortgage Loan or REO Property from an Investor or remove it from the applicable Pool, including all amounts necessary to satisfy the applicable Investor’s indemnification, “make whole” or other request for payment, as may be the case, and including interest thereon calculated at the Mortgage Interest Rate.</w:t>
      </w:r>
    </w:p>
    <w:p>
      <w:pPr>
        <w:spacing w:after="0" w:line="147" w:lineRule="exact"/>
        <w:rPr>
          <w:sz w:val="20"/>
          <w:szCs w:val="20"/>
          <w:color w:val="auto"/>
        </w:rPr>
      </w:pPr>
    </w:p>
    <w:p>
      <w:pPr>
        <w:jc w:val="both"/>
        <w:ind w:firstLine="545"/>
        <w:spacing w:after="0" w:line="288" w:lineRule="auto"/>
        <w:rPr>
          <w:sz w:val="20"/>
          <w:szCs w:val="20"/>
          <w:color w:val="auto"/>
        </w:rPr>
      </w:pPr>
      <w:r>
        <w:rPr>
          <w:rFonts w:ascii="Arial" w:cs="Arial" w:eastAsia="Arial" w:hAnsi="Arial"/>
          <w:sz w:val="16"/>
          <w:szCs w:val="16"/>
          <w:color w:val="auto"/>
        </w:rPr>
        <w:t xml:space="preserve">Subject to Applicable Requirements, when Seller is required to repurchase a Mortgage Loan, REO Property or Servicing Rights from Purchaser, such repurchase shall be accomplished by Seller within thirty (30) days following receipt of written demand from Purchaser pursuant hereto, or such shorter period as required by the Investors. Purchaser may, in its discretion, sub-service such repurchased Mortgage Loan or REO Property for such period of time that will enable the Parties to provide proper transfer notices to be given to the Mortgagor in accordance with Applicable Requirements, but in no event for longer than thirty (30) days, and Purchaser shall be entitled to all Servicing Fees and Ancillary Fees for such period as consideration for sub-servicing the Mortgage Loan or REO Property. Upon completion of such repurchase by Seller, Purchaser shall forward to Seller all Mortgage Files relating to such Mortgage Loans, REO Property and/or Servicing Rights, as applicable, in accordance with Applicable Requirements. Any failure to satisfy the timing deadlines imposed by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(other than those imposed by the Investors) shall not result in forfeiture of any rights hereunder, but shall result only in a diminution in the amount of recovery otherwise permitted by this Section based upon any actual prejudice caused directly by such delay.</w:t>
      </w:r>
    </w:p>
    <w:p>
      <w:pPr>
        <w:spacing w:after="0" w:line="135" w:lineRule="exact"/>
        <w:rPr>
          <w:sz w:val="20"/>
          <w:szCs w:val="20"/>
          <w:color w:val="auto"/>
        </w:rPr>
      </w:pPr>
    </w:p>
    <w:p>
      <w:pPr>
        <w:jc w:val="both"/>
        <w:ind w:firstLine="545"/>
        <w:spacing w:after="0" w:line="257" w:lineRule="auto"/>
        <w:rPr>
          <w:sz w:val="20"/>
          <w:szCs w:val="20"/>
          <w:color w:val="auto"/>
        </w:rPr>
      </w:pPr>
      <w:r>
        <w:rPr>
          <w:rFonts w:ascii="Arial" w:cs="Arial" w:eastAsia="Arial" w:hAnsi="Arial"/>
          <w:sz w:val="18"/>
          <w:szCs w:val="18"/>
          <w:color w:val="auto"/>
        </w:rPr>
        <w:t xml:space="preserve">If an Investor chooses not to exercise its repurchase rights as set forth in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instead proposes a risk fee or repurchase alternative agreement (each a “</w:t>
      </w:r>
      <w:r>
        <w:rPr>
          <w:rFonts w:ascii="Arial" w:cs="Arial" w:eastAsia="Arial" w:hAnsi="Arial"/>
          <w:sz w:val="18"/>
          <w:szCs w:val="18"/>
          <w:u w:val="single" w:color="auto"/>
          <w:color w:val="auto"/>
        </w:rPr>
        <w:t>Repurchase Alternative Agreement</w:t>
      </w:r>
      <w:r>
        <w:rPr>
          <w:rFonts w:ascii="Arial" w:cs="Arial" w:eastAsia="Arial" w:hAnsi="Arial"/>
          <w:sz w:val="18"/>
          <w:szCs w:val="18"/>
          <w:color w:val="auto"/>
        </w:rPr>
        <w:t>”) which Purchaser and Seller deem acceptable, Seller shall reimburse Purchaser for any costs, fees, or expenses incurred by Purchaser arising under such Repurchase Alternative Agreement and Seller shall indemnify, defend and hold Purchaser harmless for any and all Losses incurred by Purchaser that arise out of, relate to, or otherwise result from a Repurchase Alternative Agreement. To the extent that an Investor ultimately requires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320" w:top="1222" w:right="319" w:bottom="1440" w:gutter="0" w:footer="0" w:header="0"/>
        </w:sectPr>
      </w:pPr>
    </w:p>
    <w:bookmarkStart w:id="165" w:name="page166"/>
    <w:bookmarkEnd w:id="165"/>
    <w:p>
      <w:pPr>
        <w:jc w:val="both"/>
        <w:spacing w:after="0" w:line="286" w:lineRule="auto"/>
        <w:rPr>
          <w:sz w:val="20"/>
          <w:szCs w:val="20"/>
          <w:color w:val="auto"/>
        </w:rPr>
      </w:pPr>
      <w:r>
        <w:rPr>
          <w:rFonts w:ascii="Arial" w:cs="Arial" w:eastAsia="Arial" w:hAnsi="Arial"/>
          <w:sz w:val="17"/>
          <w:szCs w:val="17"/>
          <w:color w:val="auto"/>
        </w:rPr>
        <w:t xml:space="preserve">to repurchase any Mortgage Loan subject to a Repurchase Alternative Agreement, Seller will repurchase such Mortgage Loan from Purchaser in accordance with this </w:t>
      </w:r>
      <w:r>
        <w:rPr>
          <w:rFonts w:ascii="Arial" w:cs="Arial" w:eastAsia="Arial" w:hAnsi="Arial"/>
          <w:sz w:val="17"/>
          <w:szCs w:val="17"/>
          <w:u w:val="single" w:color="auto"/>
          <w:color w:val="auto"/>
        </w:rPr>
        <w:t>Section 10.2</w:t>
      </w:r>
      <w:r>
        <w:rPr>
          <w:rFonts w:ascii="Arial" w:cs="Arial" w:eastAsia="Arial" w:hAnsi="Arial"/>
          <w:sz w:val="17"/>
          <w:szCs w:val="17"/>
          <w:color w:val="auto"/>
        </w:rPr>
        <w:t>. Notwithstanding anything else to the contrary herein, Purchaser shall be under no obligation to offer a risk free agreement or other repurchase alternative offered by an Investor, but shall not in each case unreasonably withhold such an offer.</w:t>
      </w:r>
    </w:p>
    <w:p>
      <w:pPr>
        <w:spacing w:after="0" w:line="129" w:lineRule="exact"/>
        <w:rPr>
          <w:sz w:val="20"/>
          <w:szCs w:val="20"/>
          <w:color w:val="auto"/>
        </w:rPr>
      </w:pPr>
    </w:p>
    <w:p>
      <w:pPr>
        <w:jc w:val="both"/>
        <w:ind w:firstLine="545"/>
        <w:spacing w:after="0" w:line="259" w:lineRule="auto"/>
        <w:rPr>
          <w:sz w:val="20"/>
          <w:szCs w:val="20"/>
          <w:color w:val="auto"/>
        </w:rPr>
      </w:pPr>
      <w:r>
        <w:rPr>
          <w:rFonts w:ascii="Arial" w:cs="Arial" w:eastAsia="Arial" w:hAnsi="Arial"/>
          <w:sz w:val="18"/>
          <w:szCs w:val="18"/>
          <w:color w:val="auto"/>
        </w:rPr>
        <w:t xml:space="preserve">Nothing herein is intended to limit or otherwise impair the right of Seller to dispute with an Investor any responsibility or liability for any demands from such Investor. Purchaser shall use commercially reasonable efforts to notify Seller within ten (10) Business Days of any Investor demands and permit Seller to reasonably contest and/or appeal such demands. Any amount paid by Seller pursuant to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shall be without duplication of amounts paid pursuant to </w:t>
      </w:r>
      <w:r>
        <w:rPr>
          <w:rFonts w:ascii="Arial" w:cs="Arial" w:eastAsia="Arial" w:hAnsi="Arial"/>
          <w:sz w:val="18"/>
          <w:szCs w:val="18"/>
          <w:u w:val="single" w:color="auto"/>
          <w:color w:val="auto"/>
        </w:rPr>
        <w:t>Sections 10.1 or 10.5.</w:t>
      </w:r>
    </w:p>
    <w:p>
      <w:pPr>
        <w:spacing w:after="0" w:line="14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8"/>
          <w:szCs w:val="18"/>
          <w:b w:val="1"/>
          <w:bCs w:val="1"/>
          <w:color w:val="auto"/>
        </w:rPr>
        <w:t>Section X.3</w:t>
      </w:r>
      <w:r>
        <w:rPr>
          <w:sz w:val="20"/>
          <w:szCs w:val="20"/>
          <w:color w:val="auto"/>
        </w:rPr>
        <w:tab/>
      </w:r>
      <w:r>
        <w:rPr>
          <w:rFonts w:ascii="Arial" w:cs="Arial" w:eastAsia="Arial" w:hAnsi="Arial"/>
          <w:sz w:val="17"/>
          <w:szCs w:val="17"/>
          <w:b w:val="1"/>
          <w:bCs w:val="1"/>
          <w:u w:val="single" w:color="auto"/>
          <w:color w:val="auto"/>
        </w:rPr>
        <w:t>Indemnification of Seller</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Purchaser shall indemnify and hold Seller harmless from, and will reimburse Seller for, any and all</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Losses incurred by Seller after the Transfer Date to the extent that such Losses result from:</w:t>
      </w:r>
    </w:p>
    <w:p>
      <w:pPr>
        <w:spacing w:after="0" w:line="174" w:lineRule="exact"/>
        <w:rPr>
          <w:sz w:val="20"/>
          <w:szCs w:val="20"/>
          <w:color w:val="auto"/>
        </w:rPr>
      </w:pPr>
    </w:p>
    <w:p>
      <w:pPr>
        <w:ind w:left="1620" w:hanging="540"/>
        <w:spacing w:after="0"/>
        <w:tabs>
          <w:tab w:leader="none" w:pos="1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inaccuracy of any representation or warranty made by Purchaser in this Agreement;</w:t>
      </w:r>
    </w:p>
    <w:p>
      <w:pPr>
        <w:spacing w:after="0" w:line="190" w:lineRule="exact"/>
        <w:rPr>
          <w:rFonts w:ascii="Arial" w:cs="Arial" w:eastAsia="Arial" w:hAnsi="Arial"/>
          <w:sz w:val="18"/>
          <w:szCs w:val="18"/>
          <w:color w:val="auto"/>
        </w:rPr>
      </w:pPr>
    </w:p>
    <w:p>
      <w:pPr>
        <w:ind w:left="1620" w:hanging="540"/>
        <w:spacing w:after="0"/>
        <w:tabs>
          <w:tab w:leader="none" w:pos="1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failure by Purchaser to perform or observe any term of provision of this Agreement; or</w:t>
      </w:r>
    </w:p>
    <w:p>
      <w:pPr>
        <w:spacing w:after="0" w:line="190" w:lineRule="exact"/>
        <w:rPr>
          <w:rFonts w:ascii="Arial" w:cs="Arial" w:eastAsia="Arial" w:hAnsi="Arial"/>
          <w:sz w:val="18"/>
          <w:szCs w:val="18"/>
          <w:color w:val="auto"/>
        </w:rPr>
      </w:pPr>
    </w:p>
    <w:p>
      <w:pPr>
        <w:jc w:val="both"/>
        <w:ind w:firstLine="1080"/>
        <w:spacing w:after="0" w:line="254" w:lineRule="auto"/>
        <w:tabs>
          <w:tab w:leader="none" w:pos="163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failure by Purchaser or its subservicer to service the Mortgage Loans in accordance with Applicable Requirements on or after the Transfer Date (other than in connection with the continuation by Purchaser or any subservicer of any past practices of Seller or any Prior Servicer (resulting from the information and electronic data provided by Seller/Prior Servicer to Purchaser) that fail to comply with Applicable Requirements; provided, however, that Purchaser shall remain responsible for any incremental losses arising after the period Purchaser or any such subservicer discovered (or should have discovered in accordance with standard servicing practices) such past practice that fails to comply with Applicable Requirements during the servicing of the Mortgage Loans after the Transfer Date and is continued by Purchaser or the subservicer following such discovery or after the time such past practice should have been discovered in accordance with standard servicing practices and there has been a reasonable opportunity to cure the past practice).</w:t>
      </w:r>
    </w:p>
    <w:p>
      <w:pPr>
        <w:spacing w:after="0" w:line="150"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8"/>
          <w:szCs w:val="18"/>
          <w:b w:val="1"/>
          <w:bCs w:val="1"/>
          <w:color w:val="auto"/>
        </w:rPr>
        <w:t>Section X.4</w:t>
      </w:r>
      <w:r>
        <w:rPr>
          <w:sz w:val="20"/>
          <w:szCs w:val="20"/>
          <w:color w:val="auto"/>
        </w:rPr>
        <w:tab/>
      </w:r>
      <w:r>
        <w:rPr>
          <w:rFonts w:ascii="Arial" w:cs="Arial" w:eastAsia="Arial" w:hAnsi="Arial"/>
          <w:sz w:val="16"/>
          <w:szCs w:val="16"/>
          <w:b w:val="1"/>
          <w:bCs w:val="1"/>
          <w:u w:val="single" w:color="auto"/>
          <w:color w:val="auto"/>
        </w:rPr>
        <w:t>Notice and Settlement of Claims.</w:t>
      </w:r>
    </w:p>
    <w:p>
      <w:pPr>
        <w:spacing w:after="0" w:line="194" w:lineRule="exact"/>
        <w:rPr>
          <w:sz w:val="20"/>
          <w:szCs w:val="20"/>
          <w:color w:val="auto"/>
        </w:rPr>
      </w:pPr>
    </w:p>
    <w:p>
      <w:pPr>
        <w:jc w:val="both"/>
        <w:ind w:firstLine="1080"/>
        <w:spacing w:after="0" w:line="275" w:lineRule="auto"/>
        <w:tabs>
          <w:tab w:leader="none" w:pos="163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Each Party to this Agreement shall notify the other Party in writing of the existence of any material fact known to it giving rise to any obligations of any Party under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in the case of any Claim brought by a third party, which may give rise to any such obligations, and each Party shall notify the other Party of the making of such Claim or the commencement of such action by a third party as and when same becomes known to it. The failure or delay in providing notice shall not relieve a Party obligated to provide indemnification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of any obligation to indemnify or reimburse the other Party (“</w:t>
      </w:r>
      <w:r>
        <w:rPr>
          <w:rFonts w:ascii="Arial" w:cs="Arial" w:eastAsia="Arial" w:hAnsi="Arial"/>
          <w:sz w:val="17"/>
          <w:szCs w:val="17"/>
          <w:u w:val="single" w:color="auto"/>
          <w:color w:val="auto"/>
        </w:rPr>
        <w:t>Indemnified Party</w:t>
      </w:r>
      <w:r>
        <w:rPr>
          <w:rFonts w:ascii="Arial" w:cs="Arial" w:eastAsia="Arial" w:hAnsi="Arial"/>
          <w:sz w:val="17"/>
          <w:szCs w:val="17"/>
          <w:color w:val="auto"/>
        </w:rPr>
        <w:t>”) hereunder unless such failure or delay materially prejudices the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320" w:top="1221" w:right="319" w:bottom="1440" w:gutter="0" w:footer="0" w:header="0"/>
        </w:sectPr>
      </w:pPr>
    </w:p>
    <w:bookmarkStart w:id="166" w:name="page167"/>
    <w:bookmarkEnd w:id="166"/>
    <w:p>
      <w:pPr>
        <w:jc w:val="both"/>
        <w:spacing w:after="0" w:line="267" w:lineRule="auto"/>
        <w:rPr>
          <w:sz w:val="20"/>
          <w:szCs w:val="20"/>
          <w:color w:val="auto"/>
        </w:rPr>
      </w:pPr>
      <w:r>
        <w:rPr>
          <w:rFonts w:ascii="Arial" w:cs="Arial" w:eastAsia="Arial" w:hAnsi="Arial"/>
          <w:sz w:val="17"/>
          <w:szCs w:val="17"/>
          <w:color w:val="auto"/>
        </w:rPr>
        <w:t xml:space="preserve">increases the liability of the Indemnifying Party with respect to the matter as to which such notice relates, and then such Indemnifying Party’s obligation to indemnify or reimburse hereunder shall be reduced only by the amount that it actually has been damaged thereby. The Indemnifying Party may, at its own cost and expenses, assume and control defense of any Claim, including the right to designate counsel and to control, all negotiations, litigation, settlements, compromises and appeals of any such Claim or potential Claim; provided that such counsel shall be reasonably satisfactory to the Indemnified Party in the exercise of its reasonable discretion. Notwithstanding the foregoing, if Purchaser is the Indemnified Party and Purchaser reasonably believes that the assumption of the defense or prosecution of all or a portion of such Claim is necessary to assure that its right or ability to enforce a material portion of its other Mortgage Loans or Servicing Rights or to assure that its method of doing business or its authority and approvals to service are not materially impaired, then, upon notice to Seller from Purchaser, Seller shall permit such assumption by Purchaser. The Party not controlling the defense or prosecution of any such Claim may participate at its own costs and expense. The Indemnifying Party shall not settle, compromise or consent to the entry of any judgment with respect to any Claim without the prior written consent of the Indemnified Party (such consent not to be unreasonably withheld, conditioned or delayed); provided, that, the Indemnifying Party may settle any such Claim without the Indemnified Party’s consent if such settlement (i) does not involve any finding or admission of any violation of applicable law or any violation of the rights of the Indemnified Party; (ii) does not involve any relief for monetary Losses that would be paid by the Indemnified Party; and (iii) releases the Indemnified Party in connection with such Claim. Following the discharge of the Indemnifying Party’s obligations with respect to any Claim under this Article X, the Indemnified Party shall, subject to Applicable Requirements, assign to the Indemnifying Party any and all related Claims against third parties. Within thirty (30) days after receipt, the Indemnified Party shall refund to the Indemnifying Party the amounts of all recoveries received by the Indemnified Party with respect to any claim with respect to which it is reimbursed for Losses. The obligations of the Indemnifying Party under this </w:t>
      </w:r>
      <w:r>
        <w:rPr>
          <w:rFonts w:ascii="Arial" w:cs="Arial" w:eastAsia="Arial" w:hAnsi="Arial"/>
          <w:sz w:val="17"/>
          <w:szCs w:val="17"/>
          <w:u w:val="single" w:color="auto"/>
          <w:color w:val="auto"/>
        </w:rPr>
        <w:t>Section 10.4(a)</w:t>
      </w:r>
      <w:r>
        <w:rPr>
          <w:rFonts w:ascii="Arial" w:cs="Arial" w:eastAsia="Arial" w:hAnsi="Arial"/>
          <w:sz w:val="17"/>
          <w:szCs w:val="17"/>
          <w:color w:val="auto"/>
        </w:rPr>
        <w:t xml:space="preserve"> shall include Losses for Claims that are settled (with the Indemnifying Party’s prior written consent) whether or not such settlement includes any acknowledgment or admission of fault, liability or breach by the Indemnifying Party.</w:t>
      </w:r>
    </w:p>
    <w:p>
      <w:pPr>
        <w:spacing w:after="0" w:line="146" w:lineRule="exact"/>
        <w:rPr>
          <w:sz w:val="20"/>
          <w:szCs w:val="20"/>
          <w:color w:val="auto"/>
        </w:rPr>
      </w:pPr>
    </w:p>
    <w:p>
      <w:pPr>
        <w:jc w:val="both"/>
        <w:ind w:firstLine="1080"/>
        <w:spacing w:after="0" w:line="254" w:lineRule="auto"/>
        <w:tabs>
          <w:tab w:leader="none" w:pos="16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Following the receipt of written notice from the Indemnified Party of a demand for indemnification, the Indemnifying Party shall (i) seek to cure the problem giving rise to the demand, if possible, and (ii) within thirty (30) days or such lesser time as may be required by an Investor, Insurer or third party claimant, pay the amount for which it is liable or otherwise take the actions which it is required to take. As to any Claim for indemnity for which notice is given as hereinbefore provided, the corresponding obligation of indemnity shall continue to survive, subject to </w:t>
      </w:r>
      <w:r>
        <w:rPr>
          <w:rFonts w:ascii="Arial" w:cs="Arial" w:eastAsia="Arial" w:hAnsi="Arial"/>
          <w:sz w:val="18"/>
          <w:szCs w:val="18"/>
          <w:u w:val="single" w:color="auto"/>
          <w:color w:val="auto"/>
        </w:rPr>
        <w:t>Section 12.4</w:t>
      </w:r>
      <w:r>
        <w:rPr>
          <w:rFonts w:ascii="Arial" w:cs="Arial" w:eastAsia="Arial" w:hAnsi="Arial"/>
          <w:sz w:val="18"/>
          <w:szCs w:val="18"/>
          <w:color w:val="auto"/>
        </w:rPr>
        <w:t>, until whichever of the following events first occurs: (A) the Indemnifying Party shall have discharged its obligation of indemnity to the Indemnified Party with respect to such Claim, as required hereunder; (B) a court of competent jurisdiction shall have finally determined that the Indemnifying Party is not liable to the Indemnified Party with respect to such Claim; or (C) the Indemnified Party shall have released in writing (or be held to have released) the Indemnifying Party from any liability with respect to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320" w:top="1221" w:right="319" w:bottom="1440" w:gutter="0" w:footer="0" w:header="0"/>
        </w:sectPr>
      </w:pPr>
    </w:p>
    <w:bookmarkStart w:id="167" w:name="page168"/>
    <w:bookmarkEnd w:id="167"/>
    <w:p>
      <w:pPr>
        <w:ind w:right="20" w:firstLine="1080"/>
        <w:spacing w:after="0" w:line="278" w:lineRule="auto"/>
        <w:tabs>
          <w:tab w:leader="none" w:pos="163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indemnification provided by Seller and Purchaser hereunder shall be with respect to Losses involving third parties and Losses involving the indemnified party.</w:t>
      </w:r>
    </w:p>
    <w:p>
      <w:pPr>
        <w:spacing w:after="0" w:line="133" w:lineRule="exact"/>
        <w:rPr>
          <w:rFonts w:ascii="Arial" w:cs="Arial" w:eastAsia="Arial" w:hAnsi="Arial"/>
          <w:sz w:val="18"/>
          <w:szCs w:val="18"/>
          <w:color w:val="auto"/>
        </w:rPr>
      </w:pPr>
    </w:p>
    <w:p>
      <w:pPr>
        <w:jc w:val="both"/>
        <w:ind w:firstLine="1080"/>
        <w:spacing w:after="0" w:line="259" w:lineRule="auto"/>
        <w:tabs>
          <w:tab w:leader="none" w:pos="1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Following the discharge of the Indemnifying Party’s obligations with respect to any Claim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the Indemnified Party shall, subject to Applicable Requirements, assign to the Indemnifying Party any related Claims against third parties. Within thirty (30) days after receipt, the Indemnified Party shall refund to the Indemnifying Party the amounts of all recoveries received by the Indemnified Party with respect to any Claim with respect to which it is reimbursed for Losses.</w:t>
      </w:r>
    </w:p>
    <w:p>
      <w:pPr>
        <w:spacing w:after="0" w:line="146" w:lineRule="exact"/>
        <w:rPr>
          <w:sz w:val="20"/>
          <w:szCs w:val="20"/>
          <w:color w:val="auto"/>
        </w:rPr>
      </w:pPr>
    </w:p>
    <w:p>
      <w:pPr>
        <w:jc w:val="both"/>
        <w:ind w:firstLine="545"/>
        <w:spacing w:after="0" w:line="290" w:lineRule="auto"/>
        <w:rPr>
          <w:sz w:val="20"/>
          <w:szCs w:val="20"/>
          <w:color w:val="auto"/>
        </w:rPr>
      </w:pPr>
      <w:r>
        <w:rPr>
          <w:rFonts w:ascii="Arial" w:cs="Arial" w:eastAsia="Arial" w:hAnsi="Arial"/>
          <w:sz w:val="16"/>
          <w:szCs w:val="16"/>
          <w:b w:val="1"/>
          <w:bCs w:val="1"/>
          <w:color w:val="auto"/>
        </w:rPr>
        <w:t xml:space="preserve">Section X.5 </w:t>
      </w:r>
      <w:r>
        <w:rPr>
          <w:rFonts w:ascii="Arial" w:cs="Arial" w:eastAsia="Arial" w:hAnsi="Arial"/>
          <w:sz w:val="16"/>
          <w:szCs w:val="16"/>
          <w:b w:val="1"/>
          <w:bCs w:val="1"/>
          <w:u w:val="single" w:color="auto"/>
          <w:color w:val="auto"/>
        </w:rPr>
        <w:t>Compensatory Fees</w:t>
      </w:r>
      <w:r>
        <w:rPr>
          <w:rFonts w:ascii="Arial" w:cs="Arial" w:eastAsia="Arial" w:hAnsi="Arial"/>
          <w:sz w:val="16"/>
          <w:szCs w:val="16"/>
          <w:b w:val="1"/>
          <w:bCs w:val="1"/>
          <w:color w:val="auto"/>
        </w:rPr>
        <w:t xml:space="preserve">. </w:t>
      </w:r>
      <w:r>
        <w:rPr>
          <w:rFonts w:ascii="Arial" w:cs="Arial" w:eastAsia="Arial" w:hAnsi="Arial"/>
          <w:sz w:val="16"/>
          <w:szCs w:val="16"/>
          <w:color w:val="auto"/>
        </w:rPr>
        <w:t>Seller agrees to reimburse Purchaser for any Compensatory Fees with respect to Mortgage Loans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imposed by an Investor with respect to the servicing of any Mortgage Loan prior to the Transfer Date. Purchaser shall notify Seller within ten (10) Business Days of any demand from an Investor for such amounts and permit Seller to reasonably contest and/or appeal such demands and, if requested by Seller, Purchaser shall pay such amounts from funds provided by Seller subject to a written reservation of Seller’s rights to dispute such amounts. Purchaser agrees to cooperate with reasonable requests by Seller to compile information required to appeal the Compensatory Fee assessment. Seller shall provide Purchaser with all funds relating to the payment of Compensatory Fees or penalties that are the responsibility of Seller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in a timely manner so as to allow Purchaser to comply with Applicable Requirements regarding the payment of such amounts to an Investor. Any amount paid by Seller pursuant to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be without duplication of amounts paid pursuant to </w:t>
      </w:r>
      <w:r>
        <w:rPr>
          <w:rFonts w:ascii="Arial" w:cs="Arial" w:eastAsia="Arial" w:hAnsi="Arial"/>
          <w:sz w:val="16"/>
          <w:szCs w:val="16"/>
          <w:u w:val="single" w:color="auto"/>
          <w:color w:val="auto"/>
        </w:rPr>
        <w:t>Sections 10.1 or 10.2.</w:t>
      </w: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XI</w:t>
      </w:r>
    </w:p>
    <w:p>
      <w:pPr>
        <w:spacing w:after="0" w:line="19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TERMINATION</w:t>
      </w:r>
    </w:p>
    <w:p>
      <w:pPr>
        <w:spacing w:after="0" w:line="213"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8"/>
          <w:szCs w:val="18"/>
          <w:b w:val="1"/>
          <w:bCs w:val="1"/>
          <w:color w:val="auto"/>
        </w:rPr>
        <w:t>Section XI.1</w:t>
      </w:r>
      <w:r>
        <w:rPr>
          <w:sz w:val="20"/>
          <w:szCs w:val="20"/>
          <w:color w:val="auto"/>
        </w:rPr>
        <w:tab/>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Agreement and the Parties obligations to engage in or complete the Transaction may be terminated as follows:</w:t>
      </w:r>
    </w:p>
    <w:p>
      <w:pPr>
        <w:spacing w:after="0" w:line="194" w:lineRule="exact"/>
        <w:rPr>
          <w:sz w:val="20"/>
          <w:szCs w:val="20"/>
          <w:color w:val="auto"/>
        </w:rPr>
      </w:pPr>
    </w:p>
    <w:p>
      <w:pPr>
        <w:ind w:left="1620" w:hanging="540"/>
        <w:spacing w:after="0"/>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mutual written consent of the Parties;</w:t>
      </w:r>
    </w:p>
    <w:p>
      <w:pPr>
        <w:spacing w:after="0" w:line="190" w:lineRule="exact"/>
        <w:rPr>
          <w:rFonts w:ascii="Arial" w:cs="Arial" w:eastAsia="Arial" w:hAnsi="Arial"/>
          <w:sz w:val="18"/>
          <w:szCs w:val="18"/>
          <w:color w:val="auto"/>
        </w:rPr>
      </w:pPr>
    </w:p>
    <w:p>
      <w:pPr>
        <w:jc w:val="both"/>
        <w:ind w:firstLine="1080"/>
        <w:spacing w:after="0" w:line="264" w:lineRule="auto"/>
        <w:tabs>
          <w:tab w:leader="none" w:pos="16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prior to the Sale Date (or in the case of case of clause (v) below, the Transfer Date), either Party may immediately terminate this Agreement with respect to the Servicing Rights to be sold on the Sale Date (or, in the case of clause (v) below, with respect to the Mortgage Loans to be transferred on the Transfer Date) if any of the following shall occur:</w:t>
      </w:r>
    </w:p>
    <w:p>
      <w:pPr>
        <w:spacing w:after="0" w:line="145" w:lineRule="exact"/>
        <w:rPr>
          <w:rFonts w:ascii="Arial" w:cs="Arial" w:eastAsia="Arial" w:hAnsi="Arial"/>
          <w:sz w:val="18"/>
          <w:szCs w:val="18"/>
          <w:color w:val="auto"/>
        </w:rPr>
      </w:pPr>
    </w:p>
    <w:p>
      <w:pPr>
        <w:jc w:val="both"/>
        <w:ind w:left="540" w:firstLine="1085"/>
        <w:spacing w:after="0" w:line="264" w:lineRule="auto"/>
        <w:tabs>
          <w:tab w:leader="none" w:pos="216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by Purchaser or Seller, by written notice to the other, if the other Party fails to comply in any material respect with any term, covenant, condition or agreement applicable to it hereunder, and does not cure such failure within thirty (30) days’ notice from Purchaser or Seller, as applicable;</w:t>
      </w:r>
    </w:p>
    <w:p>
      <w:pPr>
        <w:spacing w:after="0" w:line="145" w:lineRule="exact"/>
        <w:rPr>
          <w:rFonts w:ascii="Arial" w:cs="Arial" w:eastAsia="Arial" w:hAnsi="Arial"/>
          <w:sz w:val="18"/>
          <w:szCs w:val="18"/>
          <w:color w:val="auto"/>
        </w:rPr>
      </w:pPr>
    </w:p>
    <w:p>
      <w:pPr>
        <w:ind w:left="540" w:firstLine="1085"/>
        <w:spacing w:after="0" w:line="278" w:lineRule="auto"/>
        <w:tabs>
          <w:tab w:leader="none" w:pos="216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by Purchaser or Seller, by written notice to the other, if the other Party breaches any of the representations or warranties made by it hereunder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320" w:top="1221" w:right="319" w:bottom="1440" w:gutter="0" w:footer="0" w:header="0"/>
        </w:sectPr>
      </w:pPr>
    </w:p>
    <w:bookmarkStart w:id="168" w:name="page169"/>
    <w:bookmarkEnd w:id="168"/>
    <w:p>
      <w:pPr>
        <w:ind w:left="540"/>
        <w:spacing w:after="0"/>
        <w:rPr>
          <w:sz w:val="20"/>
          <w:szCs w:val="20"/>
          <w:color w:val="auto"/>
        </w:rPr>
      </w:pPr>
      <w:r>
        <w:rPr>
          <w:rFonts w:ascii="Arial" w:cs="Arial" w:eastAsia="Arial" w:hAnsi="Arial"/>
          <w:sz w:val="18"/>
          <w:szCs w:val="18"/>
          <w:color w:val="auto"/>
        </w:rPr>
        <w:t>material respects, and does not cure such breach within thirty (30) days’ notice from Purchaser or Seller, as applicable;</w:t>
      </w:r>
    </w:p>
    <w:p>
      <w:pPr>
        <w:spacing w:after="0" w:line="190" w:lineRule="exact"/>
        <w:rPr>
          <w:sz w:val="20"/>
          <w:szCs w:val="20"/>
          <w:color w:val="auto"/>
        </w:rPr>
      </w:pPr>
    </w:p>
    <w:p>
      <w:pPr>
        <w:jc w:val="both"/>
        <w:ind w:left="540" w:firstLine="1085"/>
        <w:spacing w:after="0" w:line="259" w:lineRule="auto"/>
        <w:tabs>
          <w:tab w:leader="none" w:pos="217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by Purchaser or Seller, by written notice to the other Party, if any condition precedent to Purchaser or Seller’s obligations, as applicable, under this Agreement is not met within the specified time period; provided, however, that neither of the Parties may terminate this Agreement pursuant to this </w:t>
      </w:r>
      <w:r>
        <w:rPr>
          <w:rFonts w:ascii="Arial" w:cs="Arial" w:eastAsia="Arial" w:hAnsi="Arial"/>
          <w:sz w:val="18"/>
          <w:szCs w:val="18"/>
          <w:u w:val="single" w:color="auto"/>
          <w:color w:val="auto"/>
        </w:rPr>
        <w:t>Section 11.1(b)(iii)</w:t>
      </w:r>
      <w:r>
        <w:rPr>
          <w:rFonts w:ascii="Arial" w:cs="Arial" w:eastAsia="Arial" w:hAnsi="Arial"/>
          <w:sz w:val="18"/>
          <w:szCs w:val="18"/>
          <w:color w:val="auto"/>
        </w:rPr>
        <w:t xml:space="preserve"> if such Party is in breach in any material respect of any of its representations, warranties, covenants, conditions or agreements set forth herein; or</w:t>
      </w:r>
    </w:p>
    <w:p>
      <w:pPr>
        <w:spacing w:after="0" w:line="150" w:lineRule="exact"/>
        <w:rPr>
          <w:rFonts w:ascii="Arial" w:cs="Arial" w:eastAsia="Arial" w:hAnsi="Arial"/>
          <w:sz w:val="18"/>
          <w:szCs w:val="18"/>
          <w:color w:val="auto"/>
        </w:rPr>
      </w:pPr>
    </w:p>
    <w:p>
      <w:pPr>
        <w:jc w:val="both"/>
        <w:ind w:left="540" w:firstLine="1085"/>
        <w:spacing w:after="0" w:line="312" w:lineRule="auto"/>
        <w:tabs>
          <w:tab w:leader="none" w:pos="216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by Purchaser, by written notice to Seller, if an Investor Consent is not obtained, or in the event that any such Investor Consent contains any term or condition that could adversely affect the value or marketability of the related Servicing Rights, the interest of Purchaser, or impose any material cost or obligation on Purchaser not normally imposed in the ordinary course of a transfer of servicing rights; or</w:t>
      </w:r>
    </w:p>
    <w:p>
      <w:pPr>
        <w:spacing w:after="0" w:line="110" w:lineRule="exact"/>
        <w:rPr>
          <w:rFonts w:ascii="Arial" w:cs="Arial" w:eastAsia="Arial" w:hAnsi="Arial"/>
          <w:sz w:val="16"/>
          <w:szCs w:val="16"/>
          <w:color w:val="auto"/>
        </w:rPr>
      </w:pPr>
    </w:p>
    <w:p>
      <w:pPr>
        <w:ind w:left="540" w:right="20" w:firstLine="1085"/>
        <w:spacing w:after="0" w:line="278" w:lineRule="auto"/>
        <w:tabs>
          <w:tab w:leader="none" w:pos="217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Purchaser, by written notice to Seller, if an Investor has either (a) withdrawn the Investor Consent, (b) objected to the Transactions contemplated by this Agreement or (c) not provided the Investor Consent by the Transfer Date; or</w:t>
      </w:r>
    </w:p>
    <w:p>
      <w:pPr>
        <w:spacing w:after="0" w:line="133" w:lineRule="exact"/>
        <w:rPr>
          <w:rFonts w:ascii="Arial" w:cs="Arial" w:eastAsia="Arial" w:hAnsi="Arial"/>
          <w:sz w:val="18"/>
          <w:szCs w:val="18"/>
          <w:color w:val="auto"/>
        </w:rPr>
      </w:pPr>
    </w:p>
    <w:p>
      <w:pPr>
        <w:ind w:left="2160" w:hanging="535"/>
        <w:spacing w:after="0"/>
        <w:tabs>
          <w:tab w:leader="none" w:pos="2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Purchaser or Seller, by written notice to the other Party, on or after the Termination Date.</w:t>
      </w:r>
    </w:p>
    <w:p>
      <w:pPr>
        <w:spacing w:after="0" w:line="186" w:lineRule="exact"/>
        <w:rPr>
          <w:sz w:val="20"/>
          <w:szCs w:val="20"/>
          <w:color w:val="auto"/>
        </w:rPr>
      </w:pPr>
    </w:p>
    <w:p>
      <w:pPr>
        <w:jc w:val="both"/>
        <w:ind w:firstLine="545"/>
        <w:spacing w:after="0" w:line="271" w:lineRule="auto"/>
        <w:rPr>
          <w:sz w:val="20"/>
          <w:szCs w:val="20"/>
          <w:color w:val="auto"/>
        </w:rPr>
      </w:pPr>
      <w:r>
        <w:rPr>
          <w:rFonts w:ascii="Arial" w:cs="Arial" w:eastAsia="Arial" w:hAnsi="Arial"/>
          <w:sz w:val="17"/>
          <w:szCs w:val="17"/>
          <w:b w:val="1"/>
          <w:bCs w:val="1"/>
          <w:color w:val="auto"/>
        </w:rPr>
        <w:t xml:space="preserve">Section XI.2 </w:t>
      </w:r>
      <w:r>
        <w:rPr>
          <w:rFonts w:ascii="Arial" w:cs="Arial" w:eastAsia="Arial" w:hAnsi="Arial"/>
          <w:sz w:val="17"/>
          <w:szCs w:val="17"/>
          <w:b w:val="1"/>
          <w:bCs w:val="1"/>
          <w:u w:val="single" w:color="auto"/>
          <w:color w:val="auto"/>
        </w:rPr>
        <w:t>Effect of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this Agreement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11.1</w:t>
      </w:r>
      <w:r>
        <w:rPr>
          <w:rFonts w:ascii="Arial" w:cs="Arial" w:eastAsia="Arial" w:hAnsi="Arial"/>
          <w:sz w:val="17"/>
          <w:szCs w:val="17"/>
          <w:color w:val="auto"/>
        </w:rPr>
        <w:t>, this Agreement shall forthwith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become void and have no further force, except that the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 7.12, 7.17, 12.2, 12.7, 12.8, 12.9, 12.10, 12.11, and 12.14</w:t>
      </w:r>
      <w:r>
        <w:rPr>
          <w:rFonts w:ascii="Arial" w:cs="Arial" w:eastAsia="Arial" w:hAnsi="Arial"/>
          <w:sz w:val="17"/>
          <w:szCs w:val="17"/>
          <w:color w:val="auto"/>
        </w:rPr>
        <w:t>, and any other provision which, by its terms, relates to post-termination rights or obligations, shall survive such termination of this Agreement and remain in full force and effect. If this Agreement is terminated between the Sale Date and Transfer Date, within two (2) Business Days after such termination, Seller shall return to Purchaser any portions of the Purchase Price paid by Purchaser to Seller related to the applicable Servicing Rights. The termination of this Agreement shall not affect the rights of either Party with respect to any liabilities incurred or suffered by such Party as a result of the breach by the other Party of any of its representations, warranties, covenants or agreements in this Agreement. The right to terminate this Agreement shall be in addition to any other rights of the Parties under this Agreement, at law or equity.</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XII</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XII.1 </w:t>
      </w:r>
      <w:r>
        <w:rPr>
          <w:rFonts w:ascii="Arial" w:cs="Arial" w:eastAsia="Arial" w:hAnsi="Arial"/>
          <w:sz w:val="18"/>
          <w:szCs w:val="18"/>
          <w:b w:val="1"/>
          <w:bCs w:val="1"/>
          <w:u w:val="single" w:color="auto"/>
          <w:color w:val="auto"/>
        </w:rPr>
        <w:t>Supplementary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prior to and after the Transfer Date, each Party shall furnish to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information supplementary to the information contained in the documents and schedules delivered pursuant hereto which is reasonably available and may reasonably be requested or which may be necessary for compliance with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320" w:top="1221" w:right="319" w:bottom="1440" w:gutter="0" w:footer="0" w:header="0"/>
        </w:sectPr>
      </w:pPr>
    </w:p>
    <w:bookmarkStart w:id="169" w:name="page170"/>
    <w:bookmarkEnd w:id="169"/>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XII.2 </w:t>
      </w:r>
      <w:r>
        <w:rPr>
          <w:rFonts w:ascii="Arial" w:cs="Arial" w:eastAsia="Arial" w:hAnsi="Arial"/>
          <w:sz w:val="18"/>
          <w:szCs w:val="18"/>
          <w:b w:val="1"/>
          <w:bCs w:val="1"/>
          <w:u w:val="single" w:color="auto"/>
          <w:color w:val="auto"/>
        </w:rPr>
        <w:t>No Broker’s Fees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hereto represents and warrants to the other Party that it has made no agreement to pay any agent,</w:t>
      </w:r>
      <w:r>
        <w:rPr>
          <w:rFonts w:ascii="Arial" w:cs="Arial" w:eastAsia="Arial" w:hAnsi="Arial"/>
          <w:sz w:val="18"/>
          <w:szCs w:val="18"/>
          <w:b w:val="1"/>
          <w:bCs w:val="1"/>
          <w:color w:val="auto"/>
        </w:rPr>
        <w:t xml:space="preserve"> </w:t>
      </w:r>
      <w:r>
        <w:rPr>
          <w:rFonts w:ascii="Arial" w:cs="Arial" w:eastAsia="Arial" w:hAnsi="Arial"/>
          <w:sz w:val="18"/>
          <w:szCs w:val="18"/>
          <w:color w:val="auto"/>
        </w:rPr>
        <w:t>finder, or broker or any other representative, any fee or commission in the nature of a finder’s or broker’s fee arising out of or in connection with the subject matter of this Agreement.</w:t>
      </w:r>
    </w:p>
    <w:p>
      <w:pPr>
        <w:spacing w:after="0" w:line="140" w:lineRule="exact"/>
        <w:rPr>
          <w:sz w:val="20"/>
          <w:szCs w:val="20"/>
          <w:color w:val="auto"/>
        </w:rPr>
      </w:pPr>
    </w:p>
    <w:p>
      <w:pPr>
        <w:jc w:val="both"/>
        <w:ind w:firstLine="545"/>
        <w:spacing w:after="0" w:line="281" w:lineRule="auto"/>
        <w:rPr>
          <w:sz w:val="20"/>
          <w:szCs w:val="20"/>
          <w:color w:val="auto"/>
        </w:rPr>
      </w:pPr>
      <w:r>
        <w:rPr>
          <w:rFonts w:ascii="Arial" w:cs="Arial" w:eastAsia="Arial" w:hAnsi="Arial"/>
          <w:sz w:val="17"/>
          <w:szCs w:val="17"/>
          <w:b w:val="1"/>
          <w:bCs w:val="1"/>
          <w:color w:val="auto"/>
        </w:rPr>
        <w:t xml:space="preserve">Section XII.3 </w:t>
      </w:r>
      <w:r>
        <w:rPr>
          <w:rFonts w:ascii="Arial" w:cs="Arial" w:eastAsia="Arial" w:hAnsi="Arial"/>
          <w:sz w:val="17"/>
          <w:szCs w:val="17"/>
          <w:b w:val="1"/>
          <w:bCs w:val="1"/>
          <w:u w:val="single" w:color="auto"/>
          <w:color w:val="auto"/>
        </w:rPr>
        <w:t>Further Assurances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shall, at any time and from time to time, promptly, upon the reasonable request of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or its representatives, execute, acknowledge, deliver or perform all such further acts, deeds, assignments, transfers, conveyances, and assurances as may be required for the better vesting and confining to Purchaser and its successors and assigns of title to Servicing Rights or as shall be necessary to effect the Transaction. Purchaser and Seller shall cooperate in good faith to consummate the Transaction.</w:t>
      </w:r>
    </w:p>
    <w:p>
      <w:pPr>
        <w:spacing w:after="0" w:line="128"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XII.4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else to the contrary herein, all warranties, representations, covenants, indemnities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of the Parties set forth herein shall survive the Effective Date, the Sale Date and the Transfer Date, as applicable.</w:t>
      </w:r>
    </w:p>
    <w:p>
      <w:pPr>
        <w:spacing w:after="0" w:line="125" w:lineRule="exact"/>
        <w:rPr>
          <w:sz w:val="20"/>
          <w:szCs w:val="20"/>
          <w:color w:val="auto"/>
        </w:rPr>
      </w:pPr>
    </w:p>
    <w:p>
      <w:pPr>
        <w:jc w:val="both"/>
        <w:ind w:firstLine="545"/>
        <w:spacing w:after="0" w:line="303" w:lineRule="auto"/>
        <w:rPr>
          <w:sz w:val="20"/>
          <w:szCs w:val="20"/>
          <w:color w:val="auto"/>
        </w:rPr>
      </w:pPr>
      <w:r>
        <w:rPr>
          <w:rFonts w:ascii="Arial" w:cs="Arial" w:eastAsia="Arial" w:hAnsi="Arial"/>
          <w:sz w:val="16"/>
          <w:szCs w:val="16"/>
          <w:b w:val="1"/>
          <w:bCs w:val="1"/>
          <w:color w:val="auto"/>
        </w:rPr>
        <w:t xml:space="preserve">Section XII.5 </w:t>
      </w: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bind and inure to the benefit of and be enforceable by Seller and Purchaser and the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successors and assigns of Seller and the successors and assigns of Purchaser. This Agreement shall not be assigned, pledged or hypothecated by Seller to a third party without the prior written consent of Purchaser, which consent may be withheld by Purchaser in its sole discretion. This Agreement may be assigned, pledged or hypothecated by Purchaser, in whole or in part, on or after the Sale Date, without the prior consent of Seller.</w:t>
      </w:r>
    </w:p>
    <w:p>
      <w:pPr>
        <w:spacing w:after="0" w:line="115"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8"/>
          <w:szCs w:val="18"/>
          <w:b w:val="1"/>
          <w:bCs w:val="1"/>
          <w:color w:val="auto"/>
        </w:rPr>
        <w:t xml:space="preserve">Section XII.6 </w:t>
      </w:r>
      <w:r>
        <w:rPr>
          <w:rFonts w:ascii="Arial" w:cs="Arial" w:eastAsia="Arial" w:hAnsi="Arial"/>
          <w:sz w:val="18"/>
          <w:szCs w:val="18"/>
          <w:b w:val="1"/>
          <w:bCs w:val="1"/>
          <w:u w:val="single" w:color="auto"/>
          <w:color w:val="auto"/>
        </w:rPr>
        <w:t>Due 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that the provision of any information and documents by Seller, and the review thereof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determinations made by Purchaser in connection with its due diligence review of any information and documents shall have no bearing on, and shall not limit the effect of, Seller’s representations, warranties, covenants, indemnities and other obligations under this Agreement, or any rights or remedies of Purchaser.</w:t>
      </w:r>
    </w:p>
    <w:p>
      <w:pPr>
        <w:spacing w:after="0" w:line="143" w:lineRule="exact"/>
        <w:rPr>
          <w:sz w:val="20"/>
          <w:szCs w:val="20"/>
          <w:color w:val="auto"/>
        </w:rPr>
      </w:pPr>
    </w:p>
    <w:p>
      <w:pPr>
        <w:jc w:val="both"/>
        <w:ind w:firstLine="545"/>
        <w:spacing w:after="0" w:line="289" w:lineRule="auto"/>
        <w:rPr>
          <w:sz w:val="20"/>
          <w:szCs w:val="20"/>
          <w:color w:val="auto"/>
        </w:rPr>
      </w:pPr>
      <w:r>
        <w:rPr>
          <w:rFonts w:ascii="Arial" w:cs="Arial" w:eastAsia="Arial" w:hAnsi="Arial"/>
          <w:sz w:val="17"/>
          <w:szCs w:val="17"/>
          <w:b w:val="1"/>
          <w:bCs w:val="1"/>
          <w:color w:val="auto"/>
        </w:rPr>
        <w:t xml:space="preserve">Section XII.7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expressly permitted by this Agreement, all notices and statements to be given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are to be in writing, delivered by (i) hand, (ii) national overnight mail service, or (iii) first class United States mail, postage prepaid and registered or certified, with return receipt requested, to the following addresses, as applicable (which addresses may be revised by notice):</w:t>
      </w:r>
    </w:p>
    <w:p>
      <w:pPr>
        <w:spacing w:after="0" w:line="126" w:lineRule="exact"/>
        <w:rPr>
          <w:sz w:val="20"/>
          <w:szCs w:val="20"/>
          <w:color w:val="auto"/>
        </w:rPr>
      </w:pPr>
    </w:p>
    <w:p>
      <w:pPr>
        <w:ind w:left="1620" w:hanging="540"/>
        <w:spacing w:after="0"/>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9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PHH Mortgage Corporation</w:t>
      </w:r>
    </w:p>
    <w:p>
      <w:pPr>
        <w:spacing w:after="0" w:line="24" w:lineRule="exact"/>
        <w:rPr>
          <w:rFonts w:ascii="Arial" w:cs="Arial" w:eastAsia="Arial" w:hAnsi="Arial"/>
          <w:sz w:val="18"/>
          <w:szCs w:val="18"/>
          <w:color w:val="auto"/>
        </w:rPr>
      </w:pPr>
    </w:p>
    <w:p>
      <w:pPr>
        <w:ind w:left="1620" w:right="6740"/>
        <w:spacing w:after="0" w:line="249" w:lineRule="auto"/>
        <w:rPr>
          <w:rFonts w:ascii="Arial" w:cs="Arial" w:eastAsia="Arial" w:hAnsi="Arial"/>
          <w:sz w:val="18"/>
          <w:szCs w:val="18"/>
          <w:color w:val="auto"/>
        </w:rPr>
      </w:pPr>
      <w:r>
        <w:rPr>
          <w:rFonts w:ascii="Arial" w:cs="Arial" w:eastAsia="Arial" w:hAnsi="Arial"/>
          <w:sz w:val="18"/>
          <w:szCs w:val="18"/>
          <w:color w:val="auto"/>
        </w:rPr>
        <w:t>3000 Leadenhall Road, Mailstop PCLG Mount Laurel, NJ 08054</w:t>
      </w:r>
    </w:p>
    <w:p>
      <w:pPr>
        <w:spacing w:after="0" w:line="1" w:lineRule="exact"/>
        <w:rPr>
          <w:rFonts w:ascii="Arial" w:cs="Arial" w:eastAsia="Arial" w:hAnsi="Arial"/>
          <w:sz w:val="18"/>
          <w:szCs w:val="18"/>
          <w:color w:val="auto"/>
        </w:rPr>
      </w:pPr>
    </w:p>
    <w:p>
      <w:pPr>
        <w:jc w:val="both"/>
        <w:ind w:left="1620" w:right="8540"/>
        <w:spacing w:after="0" w:line="589" w:lineRule="auto"/>
        <w:rPr>
          <w:rFonts w:ascii="Arial" w:cs="Arial" w:eastAsia="Arial" w:hAnsi="Arial"/>
          <w:sz w:val="18"/>
          <w:szCs w:val="18"/>
          <w:color w:val="auto"/>
        </w:rPr>
      </w:pPr>
      <w:r>
        <w:rPr>
          <w:rFonts w:ascii="Arial" w:cs="Arial" w:eastAsia="Arial" w:hAnsi="Arial"/>
          <w:sz w:val="16"/>
          <w:szCs w:val="16"/>
          <w:color w:val="auto"/>
        </w:rPr>
        <w:t>Attn: Secretary with a copy to: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320" w:top="1217" w:right="319" w:bottom="1440" w:gutter="0" w:footer="0" w:header="0"/>
        </w:sectPr>
      </w:pPr>
    </w:p>
    <w:bookmarkStart w:id="170" w:name="page171"/>
    <w:bookmarkEnd w:id="170"/>
    <w:p>
      <w:pPr>
        <w:ind w:left="1620"/>
        <w:spacing w:after="0"/>
        <w:rPr>
          <w:sz w:val="20"/>
          <w:szCs w:val="20"/>
          <w:color w:val="auto"/>
        </w:rPr>
      </w:pPr>
      <w:r>
        <w:rPr>
          <w:rFonts w:ascii="Arial" w:cs="Arial" w:eastAsia="Arial" w:hAnsi="Arial"/>
          <w:sz w:val="18"/>
          <w:szCs w:val="18"/>
          <w:color w:val="auto"/>
        </w:rPr>
        <w:t>Ocwen Financial Corporation</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West Palm Beach, FL 33409</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Attn: Secretary</w:t>
      </w:r>
    </w:p>
    <w:p>
      <w:pPr>
        <w:spacing w:after="0" w:line="197" w:lineRule="exact"/>
        <w:rPr>
          <w:sz w:val="20"/>
          <w:szCs w:val="20"/>
          <w:color w:val="auto"/>
        </w:rPr>
      </w:pPr>
    </w:p>
    <w:p>
      <w:pPr>
        <w:ind w:left="1620" w:hanging="540"/>
        <w:spacing w:after="0"/>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to Seller, to:</w:t>
      </w:r>
    </w:p>
    <w:p>
      <w:pPr>
        <w:spacing w:after="0" w:line="190" w:lineRule="exact"/>
        <w:rPr>
          <w:rFonts w:ascii="Arial" w:cs="Arial" w:eastAsia="Arial" w:hAnsi="Arial"/>
          <w:sz w:val="18"/>
          <w:szCs w:val="18"/>
          <w:color w:val="auto"/>
        </w:rPr>
      </w:pPr>
    </w:p>
    <w:p>
      <w:pPr>
        <w:ind w:left="1620" w:right="6800"/>
        <w:spacing w:after="0" w:line="259" w:lineRule="auto"/>
        <w:rPr>
          <w:rFonts w:ascii="Arial" w:cs="Arial" w:eastAsia="Arial" w:hAnsi="Arial"/>
          <w:sz w:val="18"/>
          <w:szCs w:val="18"/>
          <w:color w:val="auto"/>
        </w:rPr>
      </w:pPr>
      <w:r>
        <w:rPr>
          <w:rFonts w:ascii="Arial" w:cs="Arial" w:eastAsia="Arial" w:hAnsi="Arial"/>
          <w:sz w:val="18"/>
          <w:szCs w:val="18"/>
          <w:color w:val="auto"/>
        </w:rPr>
        <w:t>AmeriHome Mortgage Company, LLC 1 Baxter Way, Suite 300</w:t>
      </w:r>
    </w:p>
    <w:p>
      <w:pPr>
        <w:ind w:left="1620" w:right="7180"/>
        <w:spacing w:after="0" w:line="249" w:lineRule="auto"/>
        <w:rPr>
          <w:rFonts w:ascii="Arial" w:cs="Arial" w:eastAsia="Arial" w:hAnsi="Arial"/>
          <w:sz w:val="18"/>
          <w:szCs w:val="18"/>
          <w:color w:val="auto"/>
        </w:rPr>
      </w:pPr>
      <w:r>
        <w:rPr>
          <w:rFonts w:ascii="Arial" w:cs="Arial" w:eastAsia="Arial" w:hAnsi="Arial"/>
          <w:sz w:val="18"/>
          <w:szCs w:val="18"/>
          <w:color w:val="auto"/>
        </w:rPr>
        <w:t>Thousand Oaks, California 91362 Attention: Kathleen Conte Telephone:</w:t>
      </w:r>
    </w:p>
    <w:p>
      <w:pPr>
        <w:spacing w:after="0" w:line="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19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with copies to:</w:t>
      </w:r>
    </w:p>
    <w:p>
      <w:pPr>
        <w:spacing w:after="0" w:line="212" w:lineRule="exact"/>
        <w:rPr>
          <w:rFonts w:ascii="Arial" w:cs="Arial" w:eastAsia="Arial" w:hAnsi="Arial"/>
          <w:sz w:val="18"/>
          <w:szCs w:val="18"/>
          <w:color w:val="auto"/>
        </w:rPr>
      </w:pPr>
    </w:p>
    <w:p>
      <w:pPr>
        <w:ind w:left="1620" w:right="6800"/>
        <w:spacing w:after="0" w:line="259" w:lineRule="auto"/>
        <w:rPr>
          <w:rFonts w:ascii="Arial" w:cs="Arial" w:eastAsia="Arial" w:hAnsi="Arial"/>
          <w:sz w:val="18"/>
          <w:szCs w:val="18"/>
          <w:color w:val="auto"/>
        </w:rPr>
      </w:pPr>
      <w:r>
        <w:rPr>
          <w:rFonts w:ascii="Arial" w:cs="Arial" w:eastAsia="Arial" w:hAnsi="Arial"/>
          <w:sz w:val="18"/>
          <w:szCs w:val="18"/>
          <w:color w:val="auto"/>
        </w:rPr>
        <w:t>AmeriHome Mortgage Company, LLC 1 Baxter Way, Suite 300</w:t>
      </w:r>
    </w:p>
    <w:p>
      <w:pPr>
        <w:ind w:left="1620" w:right="7180"/>
        <w:spacing w:after="0" w:line="249" w:lineRule="auto"/>
        <w:rPr>
          <w:rFonts w:ascii="Arial" w:cs="Arial" w:eastAsia="Arial" w:hAnsi="Arial"/>
          <w:sz w:val="18"/>
          <w:szCs w:val="18"/>
          <w:color w:val="auto"/>
        </w:rPr>
      </w:pPr>
      <w:r>
        <w:rPr>
          <w:rFonts w:ascii="Arial" w:cs="Arial" w:eastAsia="Arial" w:hAnsi="Arial"/>
          <w:sz w:val="18"/>
          <w:szCs w:val="18"/>
          <w:color w:val="auto"/>
        </w:rPr>
        <w:t>Thousand Oaks, California 91362 Attention: Josh Adler Telephone:</w:t>
      </w:r>
    </w:p>
    <w:p>
      <w:pPr>
        <w:spacing w:after="0" w:line="2" w:lineRule="exact"/>
        <w:rPr>
          <w:rFonts w:ascii="Arial" w:cs="Arial" w:eastAsia="Arial" w:hAnsi="Arial"/>
          <w:sz w:val="18"/>
          <w:szCs w:val="18"/>
          <w:color w:val="auto"/>
        </w:rPr>
      </w:pPr>
    </w:p>
    <w:p>
      <w:pPr>
        <w:ind w:left="1620" w:right="9160"/>
        <w:spacing w:after="0" w:line="505" w:lineRule="auto"/>
        <w:rPr>
          <w:rFonts w:ascii="Arial" w:cs="Arial" w:eastAsia="Arial" w:hAnsi="Arial"/>
          <w:sz w:val="18"/>
          <w:szCs w:val="18"/>
          <w:color w:val="auto"/>
        </w:rPr>
      </w:pPr>
      <w:r>
        <w:rPr>
          <w:rFonts w:ascii="Arial" w:cs="Arial" w:eastAsia="Arial" w:hAnsi="Arial"/>
          <w:sz w:val="17"/>
          <w:szCs w:val="17"/>
          <w:color w:val="auto"/>
        </w:rPr>
        <w:t>Email: and</w:t>
      </w:r>
    </w:p>
    <w:p>
      <w:pPr>
        <w:ind w:left="1620" w:right="6800"/>
        <w:spacing w:after="0" w:line="259" w:lineRule="auto"/>
        <w:rPr>
          <w:rFonts w:ascii="Arial" w:cs="Arial" w:eastAsia="Arial" w:hAnsi="Arial"/>
          <w:sz w:val="18"/>
          <w:szCs w:val="18"/>
          <w:color w:val="auto"/>
        </w:rPr>
      </w:pPr>
      <w:r>
        <w:rPr>
          <w:rFonts w:ascii="Arial" w:cs="Arial" w:eastAsia="Arial" w:hAnsi="Arial"/>
          <w:sz w:val="18"/>
          <w:szCs w:val="18"/>
          <w:color w:val="auto"/>
        </w:rPr>
        <w:t>AmeriHome Mortgage Company, LLC 1 Baxter Way, Suite 300</w:t>
      </w:r>
    </w:p>
    <w:p>
      <w:pPr>
        <w:ind w:left="1620" w:right="7180"/>
        <w:spacing w:after="0" w:line="255" w:lineRule="auto"/>
        <w:rPr>
          <w:rFonts w:ascii="Arial" w:cs="Arial" w:eastAsia="Arial" w:hAnsi="Arial"/>
          <w:sz w:val="18"/>
          <w:szCs w:val="18"/>
          <w:color w:val="auto"/>
        </w:rPr>
      </w:pPr>
      <w:r>
        <w:rPr>
          <w:rFonts w:ascii="Arial" w:cs="Arial" w:eastAsia="Arial" w:hAnsi="Arial"/>
          <w:sz w:val="18"/>
          <w:szCs w:val="18"/>
          <w:color w:val="auto"/>
        </w:rPr>
        <w:t>Thousand Oaks, California 91362 Attention: Legal Department Email:</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notices and statements shall be deemed given, delivered, received and effective upon personal and actual delivery or receipt of hand delivery, telegram or overnight mail service, or by receipt of the return receipt used in sending notices via certified first class United States mail in the manner set forth above.</w:t>
      </w:r>
    </w:p>
    <w:p>
      <w:pPr>
        <w:spacing w:after="0" w:line="141"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XII.8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 amendments, modifications or supplements of this Agreement shall be binding unless executed in writing by the Parties hereto. The Exhibits and Schedules are part of this Agreement.</w:t>
      </w:r>
    </w:p>
    <w:p>
      <w:pPr>
        <w:spacing w:after="0" w:line="140" w:lineRule="exact"/>
        <w:rPr>
          <w:sz w:val="20"/>
          <w:szCs w:val="20"/>
          <w:color w:val="auto"/>
        </w:rPr>
      </w:pPr>
    </w:p>
    <w:p>
      <w:pPr>
        <w:jc w:val="both"/>
        <w:ind w:right="20" w:firstLine="545"/>
        <w:spacing w:after="0" w:line="314" w:lineRule="auto"/>
        <w:rPr>
          <w:sz w:val="20"/>
          <w:szCs w:val="20"/>
          <w:color w:val="auto"/>
        </w:rPr>
      </w:pPr>
      <w:r>
        <w:rPr>
          <w:rFonts w:ascii="Arial" w:cs="Arial" w:eastAsia="Arial" w:hAnsi="Arial"/>
          <w:sz w:val="17"/>
          <w:szCs w:val="17"/>
          <w:b w:val="1"/>
          <w:bCs w:val="1"/>
          <w:color w:val="auto"/>
        </w:rPr>
        <w:t xml:space="preserve">Section XII.9 </w:t>
      </w:r>
      <w:r>
        <w:rPr>
          <w:rFonts w:ascii="Arial" w:cs="Arial" w:eastAsia="Arial" w:hAnsi="Arial"/>
          <w:sz w:val="17"/>
          <w:szCs w:val="17"/>
          <w:b w:val="1"/>
          <w:bCs w:val="1"/>
          <w:u w:val="single" w:color="auto"/>
          <w:color w:val="auto"/>
        </w:rPr>
        <w:t>Binding Effect; Third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inure to the benefit of and be binding upon the Parties hereto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successors and permitted assigns. Nothing in this Agreement, express or implied, is intended to confer on any Person,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20" w:top="1221" w:right="31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Parties hereto and their successors and permitted assigns, any rights, obligations, remedies or liabilities.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Section XII.10 </w:t>
      </w:r>
      <w:r>
        <w:rPr>
          <w:rFonts w:ascii="Arial" w:cs="Arial" w:eastAsia="Arial" w:hAnsi="Arial"/>
          <w:sz w:val="18"/>
          <w:szCs w:val="18"/>
          <w:b w:val="1"/>
          <w:bCs w:val="1"/>
          <w:u w:val="single" w:color="auto"/>
          <w:color w:val="auto"/>
        </w:rPr>
        <w:t>Applicable Laws</w:t>
      </w:r>
      <w:r>
        <w:rPr>
          <w:rFonts w:ascii="Arial" w:cs="Arial" w:eastAsia="Arial" w:hAnsi="Arial"/>
          <w:sz w:val="18"/>
          <w:szCs w:val="18"/>
          <w:b w:val="1"/>
          <w:bCs w:val="1"/>
          <w:color w:val="auto"/>
        </w:rPr>
        <w:t>.</w:t>
      </w:r>
    </w:p>
    <w:p>
      <w:pPr>
        <w:spacing w:after="0" w:line="194" w:lineRule="exact"/>
        <w:rPr>
          <w:sz w:val="20"/>
          <w:szCs w:val="20"/>
          <w:color w:val="auto"/>
        </w:rPr>
      </w:pPr>
    </w:p>
    <w:p>
      <w:pPr>
        <w:jc w:val="both"/>
        <w:ind w:firstLine="1080"/>
        <w:spacing w:after="0" w:line="259" w:lineRule="auto"/>
        <w:tabs>
          <w:tab w:leader="none" w:pos="16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WITHOUT REFERENCE TO ITS CONFLICT OF LAW PROVISIONS (OTHER THAN SECTIONS 51401 AND 51402 OF THE GENERAL OBLIGATIONS LAW), AND THE OBLIGATIONS, RIGHTS AND REMEDIES OF THE PARTIES HEREUNDER SHALL BE DETERMINED IN ACCORDANCE WITH SUCH LAWS.</w:t>
      </w:r>
    </w:p>
    <w:p>
      <w:pPr>
        <w:spacing w:after="0" w:line="150" w:lineRule="exact"/>
        <w:rPr>
          <w:rFonts w:ascii="Arial" w:cs="Arial" w:eastAsia="Arial" w:hAnsi="Arial"/>
          <w:sz w:val="18"/>
          <w:szCs w:val="18"/>
          <w:color w:val="auto"/>
        </w:rPr>
      </w:pPr>
    </w:p>
    <w:p>
      <w:pPr>
        <w:jc w:val="both"/>
        <w:ind w:right="20" w:firstLine="1080"/>
        <w:spacing w:after="0" w:line="257" w:lineRule="auto"/>
        <w:tabs>
          <w:tab w:leader="none" w:pos="16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PARTIES HEREUNDER EACH KNOWINGLY, VOLUNTARILY AND INTENTIONALLY WAIVES ANY AND ALL RIGHTS IT MAY HAVE TO A TRIAL BY JURY IN RESPECT OR ANY LITIGATION BASED ON, OR ARISING OUT OF, UNDER, OR IN CONNECTION WITH, THIS AGREEMENT, OR ANY OTHER DOCUMENTS AND INSTRUMENTS EXECUTED IN CONNECTION HEREWITH, OR ANY COURSE OF CONDUCT, COURSE OF DEALING, STATEMENTS (WHETHER ORAL OR WRITTEN), OR ACTIONS OF THE OTHER PARTY. THIS PROVISION IS A MATERIAL INDUCEMENT FOR EACH PARTY TO ENTER INTO THIS AGREEMENT.</w:t>
      </w:r>
    </w:p>
    <w:p>
      <w:pPr>
        <w:spacing w:after="0" w:line="151" w:lineRule="exact"/>
        <w:rPr>
          <w:rFonts w:ascii="Arial" w:cs="Arial" w:eastAsia="Arial" w:hAnsi="Arial"/>
          <w:sz w:val="18"/>
          <w:szCs w:val="18"/>
          <w:color w:val="auto"/>
        </w:rPr>
      </w:pPr>
    </w:p>
    <w:p>
      <w:pPr>
        <w:jc w:val="both"/>
        <w:ind w:firstLine="1080"/>
        <w:spacing w:after="0" w:line="257" w:lineRule="auto"/>
        <w:tabs>
          <w:tab w:leader="none" w:pos="16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 respect to any claim or action arising under this Agreement, the Parties (i) irrevocably submit to the exclusive jurisdiction of the courts of the State of New York within the County of New York and the United States District Court for the Southern District of New York, and appellate courts from any thereof, and (ii) irrevocably waive any objection which such Party may have at any time to the laying of venue of any suit, action or proceeding arising out of or relating to this Agreement brought in any such court, and irrevocably waive any claim that any such suit action or proceeding brought in any such court has been brought in an inconvenient forum.</w:t>
      </w:r>
    </w:p>
    <w:p>
      <w:pPr>
        <w:spacing w:after="0" w:line="151" w:lineRule="exact"/>
        <w:rPr>
          <w:rFonts w:ascii="Arial" w:cs="Arial" w:eastAsia="Arial" w:hAnsi="Arial"/>
          <w:sz w:val="18"/>
          <w:szCs w:val="18"/>
          <w:color w:val="auto"/>
        </w:rPr>
      </w:pPr>
    </w:p>
    <w:p>
      <w:pPr>
        <w:jc w:val="both"/>
        <w:ind w:firstLine="1080"/>
        <w:spacing w:after="0" w:line="264" w:lineRule="auto"/>
        <w:tabs>
          <w:tab w:leader="none" w:pos="16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connection with any claim or action arising under this Agreement, the prevailing Party shall be entitled to recover from the other Party all reasonable fees, costs and expenses incurred in connection with such claim or action (including without limitation, external attorneys’ fees and expenses, court costs and other related costs and expenses).</w:t>
      </w:r>
    </w:p>
    <w:p>
      <w:pPr>
        <w:spacing w:after="0" w:line="141" w:lineRule="exact"/>
        <w:rPr>
          <w:sz w:val="20"/>
          <w:szCs w:val="20"/>
          <w:color w:val="auto"/>
        </w:rPr>
      </w:pPr>
    </w:p>
    <w:p>
      <w:pPr>
        <w:jc w:val="both"/>
        <w:ind w:firstLine="545"/>
        <w:spacing w:after="0" w:line="289" w:lineRule="auto"/>
        <w:rPr>
          <w:sz w:val="20"/>
          <w:szCs w:val="20"/>
          <w:color w:val="auto"/>
        </w:rPr>
      </w:pPr>
      <w:r>
        <w:rPr>
          <w:rFonts w:ascii="Arial" w:cs="Arial" w:eastAsia="Arial" w:hAnsi="Arial"/>
          <w:sz w:val="17"/>
          <w:szCs w:val="17"/>
          <w:b w:val="1"/>
          <w:bCs w:val="1"/>
          <w:color w:val="auto"/>
        </w:rPr>
        <w:t xml:space="preserve">Section XII.11 </w:t>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any number of counterparts, which together shall constitute full and proper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hereof. The Parties agree that this Agreement and signature pages may be transmitted between them by facsimile or electronic images and that faxed or electronically imaged signatures shall constitute original signatures and is binding upon the applicable Party.</w:t>
      </w:r>
    </w:p>
    <w:p>
      <w:pPr>
        <w:spacing w:after="0" w:line="122"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XII.12 </w:t>
      </w:r>
      <w:r>
        <w:rPr>
          <w:rFonts w:ascii="Arial" w:cs="Arial" w:eastAsia="Arial" w:hAnsi="Arial"/>
          <w:sz w:val="18"/>
          <w:szCs w:val="18"/>
          <w:b w:val="1"/>
          <w:bCs w:val="1"/>
          <w:u w:val="single" w:color="auto"/>
          <w:color w:val="auto"/>
        </w:rPr>
        <w:t>No Remedy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No remedy under this Agreement is intended to be exclusive of any other available remedy, but each</w:t>
      </w:r>
      <w:r>
        <w:rPr>
          <w:rFonts w:ascii="Arial" w:cs="Arial" w:eastAsia="Arial" w:hAnsi="Arial"/>
          <w:sz w:val="18"/>
          <w:szCs w:val="18"/>
          <w:b w:val="1"/>
          <w:bCs w:val="1"/>
          <w:color w:val="auto"/>
        </w:rPr>
        <w:t xml:space="preserve"> </w:t>
      </w:r>
      <w:r>
        <w:rPr>
          <w:rFonts w:ascii="Arial" w:cs="Arial" w:eastAsia="Arial" w:hAnsi="Arial"/>
          <w:sz w:val="18"/>
          <w:szCs w:val="18"/>
          <w:color w:val="auto"/>
        </w:rPr>
        <w:t>remedy shall be cumulative and shall be in addition to any remedies given under this Agreement, under any other agreement, or existing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320" w:top="1222" w:right="319" w:bottom="1440" w:gutter="0" w:footer="0" w:header="0"/>
        </w:sectPr>
      </w:pPr>
    </w:p>
    <w:bookmarkStart w:id="172" w:name="page173"/>
    <w:bookmarkEnd w:id="172"/>
    <w:p>
      <w:pPr>
        <w:jc w:val="both"/>
        <w:ind w:firstLine="545"/>
        <w:spacing w:after="0" w:line="258" w:lineRule="auto"/>
        <w:rPr>
          <w:sz w:val="20"/>
          <w:szCs w:val="20"/>
          <w:color w:val="auto"/>
        </w:rPr>
      </w:pPr>
      <w:r>
        <w:rPr>
          <w:rFonts w:ascii="Arial" w:cs="Arial" w:eastAsia="Arial" w:hAnsi="Arial"/>
          <w:sz w:val="18"/>
          <w:szCs w:val="18"/>
          <w:b w:val="1"/>
          <w:bCs w:val="1"/>
          <w:color w:val="auto"/>
        </w:rPr>
        <w:t xml:space="preserve">Section XII.13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term or provision of this Agreement may be waived or modified unless such waiver or modification is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the Party against whom such waiver or modification is sought to be enforced. Any forbearance by a Party in exercising any right or remedy under this Agreement or otherwise afforded by applicable law shall not be a waiver or preclude the exercise of that or any other right or remedy. The waiver by either Party hereto of a breach of any provision of this Agreement shall not operate or be construed as a waiver of any other or subsequent breach.</w:t>
      </w:r>
    </w:p>
    <w:p>
      <w:pPr>
        <w:spacing w:after="0" w:line="147" w:lineRule="exact"/>
        <w:rPr>
          <w:sz w:val="20"/>
          <w:szCs w:val="20"/>
          <w:color w:val="auto"/>
        </w:rPr>
      </w:pPr>
    </w:p>
    <w:p>
      <w:pPr>
        <w:jc w:val="both"/>
        <w:ind w:firstLine="545"/>
        <w:spacing w:after="0" w:line="266" w:lineRule="auto"/>
        <w:rPr>
          <w:sz w:val="20"/>
          <w:szCs w:val="20"/>
          <w:color w:val="auto"/>
        </w:rPr>
      </w:pPr>
      <w:r>
        <w:rPr>
          <w:rFonts w:ascii="Arial" w:cs="Arial" w:eastAsia="Arial" w:hAnsi="Arial"/>
          <w:sz w:val="18"/>
          <w:szCs w:val="18"/>
          <w:b w:val="1"/>
          <w:bCs w:val="1"/>
          <w:color w:val="auto"/>
        </w:rPr>
        <w:t xml:space="preserve">Section XII.14 </w:t>
      </w:r>
      <w:r>
        <w:rPr>
          <w:rFonts w:ascii="Arial" w:cs="Arial" w:eastAsia="Arial" w:hAnsi="Arial"/>
          <w:sz w:val="18"/>
          <w:szCs w:val="18"/>
          <w:b w:val="1"/>
          <w:bCs w:val="1"/>
          <w:u w:val="single" w:color="auto"/>
          <w:color w:val="auto"/>
        </w:rPr>
        <w:t>Announcements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shall issue press releases or announcements regarding, or otherwise disclose to the general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or mortgage industry, the existence or terms of this Agreement without the prior written approval of the other Parties hereto, except to the extent required by any court, tribunal, regulatory authority or law.</w:t>
      </w:r>
    </w:p>
    <w:p>
      <w:pPr>
        <w:spacing w:after="0" w:line="140" w:lineRule="exact"/>
        <w:rPr>
          <w:sz w:val="20"/>
          <w:szCs w:val="20"/>
          <w:color w:val="auto"/>
        </w:rPr>
      </w:pPr>
    </w:p>
    <w:p>
      <w:pPr>
        <w:jc w:val="both"/>
        <w:ind w:right="20" w:firstLine="545"/>
        <w:spacing w:after="0" w:line="261" w:lineRule="auto"/>
        <w:rPr>
          <w:sz w:val="20"/>
          <w:szCs w:val="20"/>
          <w:color w:val="auto"/>
        </w:rPr>
      </w:pPr>
      <w:r>
        <w:rPr>
          <w:rFonts w:ascii="Arial" w:cs="Arial" w:eastAsia="Arial" w:hAnsi="Arial"/>
          <w:sz w:val="18"/>
          <w:szCs w:val="18"/>
          <w:b w:val="1"/>
          <w:bCs w:val="1"/>
          <w:color w:val="auto"/>
        </w:rPr>
        <w:t xml:space="preserve">Section XII.15 </w:t>
      </w:r>
      <w:r>
        <w:rPr>
          <w:rFonts w:ascii="Arial" w:cs="Arial" w:eastAsia="Arial" w:hAnsi="Arial"/>
          <w:sz w:val="18"/>
          <w:szCs w:val="18"/>
          <w:b w:val="1"/>
          <w:bCs w:val="1"/>
          <w:u w:val="single" w:color="auto"/>
          <w:color w:val="auto"/>
        </w:rPr>
        <w:t>Exclusivity</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Effective Date to the earlier of the scheduled Transfer Date or the termination of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hereof, Seller and its Affiliates, shareholders, employees, directors and agents shall not, and Seller shall cause its Affiliates, shareholders, employees, directors and agents to not, directly or indirectly, initiate, encourage, entertain or accept any bid, submission, proposal or offer to purchase directly or indirectly all or a portion of the Servicing Rights.</w:t>
      </w:r>
    </w:p>
    <w:p>
      <w:pPr>
        <w:spacing w:after="0" w:line="143" w:lineRule="exact"/>
        <w:rPr>
          <w:sz w:val="20"/>
          <w:szCs w:val="20"/>
          <w:color w:val="auto"/>
        </w:rPr>
      </w:pPr>
    </w:p>
    <w:p>
      <w:pPr>
        <w:jc w:val="both"/>
        <w:ind w:firstLine="545"/>
        <w:spacing w:after="0" w:line="283" w:lineRule="auto"/>
        <w:rPr>
          <w:sz w:val="20"/>
          <w:szCs w:val="20"/>
          <w:color w:val="auto"/>
        </w:rPr>
      </w:pPr>
      <w:r>
        <w:rPr>
          <w:rFonts w:ascii="Arial" w:cs="Arial" w:eastAsia="Arial" w:hAnsi="Arial"/>
          <w:sz w:val="18"/>
          <w:szCs w:val="18"/>
          <w:b w:val="1"/>
          <w:bCs w:val="1"/>
          <w:color w:val="auto"/>
        </w:rPr>
        <w:t xml:space="preserve">Section XII.16 </w:t>
      </w:r>
      <w:r>
        <w:rPr>
          <w:rFonts w:ascii="Arial" w:cs="Arial" w:eastAsia="Arial" w:hAnsi="Arial"/>
          <w:sz w:val="18"/>
          <w:szCs w:val="18"/>
          <w:b w:val="1"/>
          <w:bCs w:val="1"/>
          <w:u w:val="single" w:color="auto"/>
          <w:color w:val="auto"/>
        </w:rPr>
        <w:t>Time of the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time is of the essence in the performance of their respective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320" w:top="1217" w:right="319" w:bottom="1440" w:gutter="0" w:footer="0" w:header="0"/>
        </w:sectPr>
      </w:pPr>
    </w:p>
    <w:bookmarkStart w:id="173" w:name="page174"/>
    <w:bookmarkEnd w:id="173"/>
    <w:p>
      <w:pPr>
        <w:ind w:firstLine="545"/>
        <w:spacing w:after="0" w:line="28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Parties to this Agreement has caused this Agreement to be duly executed in its name by one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duly authorized officers, all as of the date first above written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PHH MORTGAGE CORPORATION, as Purchaser</w:t>
      </w:r>
    </w:p>
    <w:p>
      <w:pPr>
        <w:spacing w:after="0" w:line="200" w:lineRule="exact"/>
        <w:rPr>
          <w:sz w:val="20"/>
          <w:szCs w:val="20"/>
          <w:color w:val="auto"/>
        </w:rPr>
      </w:pPr>
    </w:p>
    <w:p>
      <w:pPr>
        <w:spacing w:after="0" w:line="22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Britti</w:t>
      </w:r>
    </w:p>
    <w:p>
      <w:pPr>
        <w:spacing w:after="0" w:line="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John Britti</w:t>
      </w:r>
    </w:p>
    <w:p>
      <w:pPr>
        <w:spacing w:after="0" w:line="5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Investment Officer – PHH Mortgage Corporation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AMERIHOME MORTGAGE COMPANY, LLC, as Seller</w:t>
      </w:r>
    </w:p>
    <w:p>
      <w:pPr>
        <w:spacing w:after="0" w:line="28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Jim Furash</w:t>
      </w:r>
    </w:p>
    <w:p>
      <w:pPr>
        <w:spacing w:after="0" w:line="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Jim Furash</w:t>
      </w:r>
    </w:p>
    <w:p>
      <w:pPr>
        <w:spacing w:after="0" w:line="5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ectPr>
          <w:pgSz w:w="11900" w:h="16838" w:orient="portrait"/>
          <w:cols w:equalWidth="0" w:num="1">
            <w:col w:w="11240"/>
          </w:cols>
          <w:pgMar w:left="320" w:top="1218" w:right="33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9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PURCHASE PRICE PERCENTAGE</w:t>
      </w:r>
    </w:p>
    <w:p>
      <w:pPr>
        <w:spacing w:after="0" w:line="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1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FORM OF BILL OF SALE</w:t>
      </w:r>
    </w:p>
    <w:p>
      <w:pPr>
        <w:spacing w:after="0" w:line="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[Omitted]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1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SERVICING TRANSFER INSTRUCTIONS</w:t>
      </w:r>
    </w:p>
    <w:p>
      <w:pPr>
        <w:spacing w:after="0" w:line="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36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Exhibit D</w:t>
      </w:r>
    </w:p>
    <w:p>
      <w:pPr>
        <w:spacing w:after="0" w:line="1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INTERIM SERVICING REQUIREMENTS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SELLER’S OFFICER’S CERTIFICATE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35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Exhibit F</w:t>
      </w:r>
    </w:p>
    <w:p>
      <w:pPr>
        <w:spacing w:after="0" w:line="1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CONTENTS OF MORTGAGE LOAN SCHEDULE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1433" w:right="1440" w:bottom="1440" w:gutter="0" w:footer="0" w:header="0"/>
        </w:sectPr>
      </w:pPr>
    </w:p>
    <w:bookmarkStart w:id="175" w:name="page176"/>
    <w:bookmarkEnd w:id="175"/>
    <w:p>
      <w:pPr>
        <w:ind w:left="4260"/>
        <w:spacing w:after="0"/>
        <w:rPr>
          <w:sz w:val="20"/>
          <w:szCs w:val="20"/>
          <w:color w:val="auto"/>
        </w:rPr>
      </w:pPr>
      <w:r>
        <w:rPr>
          <w:rFonts w:ascii="Arial" w:cs="Arial" w:eastAsia="Arial" w:hAnsi="Arial"/>
          <w:sz w:val="18"/>
          <w:szCs w:val="18"/>
          <w:b w:val="1"/>
          <w:bCs w:val="1"/>
          <w:color w:val="auto"/>
        </w:rPr>
        <w:t>Exhibit G</w:t>
      </w:r>
    </w:p>
    <w:p>
      <w:pPr>
        <w:spacing w:after="0" w:line="19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SERVICING FILE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35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Exhibit H</w:t>
      </w:r>
    </w:p>
    <w:p>
      <w:pPr>
        <w:spacing w:after="0" w:line="19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PURCHASE PRICE COMPUTATION WORKSHEET</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35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Exhibit I</w:t>
      </w:r>
    </w:p>
    <w:p>
      <w:pPr>
        <w:spacing w:after="0" w:line="19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FORM OF LIMITED POWER OF ATTORNEY</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1217"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204470</wp:posOffset>
            </wp:positionH>
            <wp:positionV relativeFrom="page">
              <wp:posOffset>514350</wp:posOffset>
            </wp:positionV>
            <wp:extent cx="7139940"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9940" cy="14605"/>
                    </a:xfrm>
                    <a:prstGeom prst="rect">
                      <a:avLst/>
                    </a:prstGeom>
                    <a:noFill/>
                  </pic:spPr>
                </pic:pic>
              </a:graphicData>
            </a:graphic>
          </wp:anchor>
        </w:drawing>
        <w:t>EXHIBIT 31.1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 Glen A. Messina, certify that:</w:t>
      </w:r>
    </w:p>
    <w:p>
      <w:pPr>
        <w:spacing w:after="0" w:line="191" w:lineRule="exact"/>
        <w:rPr>
          <w:sz w:val="20"/>
          <w:szCs w:val="20"/>
          <w:color w:val="auto"/>
        </w:rPr>
      </w:pPr>
    </w:p>
    <w:p>
      <w:pPr>
        <w:ind w:left="740" w:hanging="273"/>
        <w:spacing w:after="0"/>
        <w:tabs>
          <w:tab w:leader="none" w:pos="7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Ocwen Financial Corporation;</w:t>
      </w:r>
    </w:p>
    <w:p>
      <w:pPr>
        <w:spacing w:after="0" w:line="213" w:lineRule="exact"/>
        <w:rPr>
          <w:rFonts w:ascii="Arial" w:cs="Arial" w:eastAsia="Arial" w:hAnsi="Arial"/>
          <w:sz w:val="15"/>
          <w:szCs w:val="15"/>
          <w:color w:val="auto"/>
        </w:rPr>
      </w:pPr>
    </w:p>
    <w:p>
      <w:pPr>
        <w:ind w:left="740" w:right="20" w:hanging="273"/>
        <w:spacing w:after="0" w:line="278" w:lineRule="auto"/>
        <w:tabs>
          <w:tab w:leader="none" w:pos="735" w:val="left"/>
        </w:tabs>
        <w:numPr>
          <w:ilvl w:val="0"/>
          <w:numId w:val="1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5"/>
          <w:szCs w:val="15"/>
          <w:color w:val="auto"/>
        </w:rPr>
      </w:pPr>
    </w:p>
    <w:p>
      <w:pPr>
        <w:ind w:left="740" w:right="260" w:hanging="273"/>
        <w:spacing w:after="0" w:line="278" w:lineRule="auto"/>
        <w:tabs>
          <w:tab w:leader="none" w:pos="735" w:val="left"/>
        </w:tabs>
        <w:numPr>
          <w:ilvl w:val="0"/>
          <w:numId w:val="1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5"/>
          <w:szCs w:val="15"/>
          <w:color w:val="auto"/>
        </w:rPr>
      </w:pPr>
    </w:p>
    <w:p>
      <w:pPr>
        <w:ind w:left="740" w:right="60" w:hanging="273"/>
        <w:spacing w:after="0" w:line="314" w:lineRule="auto"/>
        <w:tabs>
          <w:tab w:leader="none" w:pos="735"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left="1020" w:right="80" w:hanging="280"/>
        <w:spacing w:after="0" w:line="265" w:lineRule="auto"/>
        <w:tabs>
          <w:tab w:leader="none" w:pos="1011" w:val="left"/>
        </w:tabs>
        <w:numPr>
          <w:ilvl w:val="1"/>
          <w:numId w:val="12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ind w:left="1020" w:right="480" w:hanging="280"/>
        <w:spacing w:after="0" w:line="265" w:lineRule="auto"/>
        <w:tabs>
          <w:tab w:leader="none" w:pos="102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020" w:right="240" w:hanging="280"/>
        <w:spacing w:after="0" w:line="278" w:lineRule="auto"/>
        <w:tabs>
          <w:tab w:leader="none" w:pos="1011" w:val="left"/>
        </w:tabs>
        <w:numPr>
          <w:ilvl w:val="1"/>
          <w:numId w:val="1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5"/>
          <w:szCs w:val="15"/>
          <w:color w:val="auto"/>
        </w:rPr>
      </w:pPr>
    </w:p>
    <w:p>
      <w:pPr>
        <w:ind w:left="1020" w:right="220" w:hanging="280"/>
        <w:spacing w:after="0" w:line="265" w:lineRule="auto"/>
        <w:tabs>
          <w:tab w:leader="none" w:pos="102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740" w:right="240" w:hanging="273"/>
        <w:spacing w:after="0" w:line="278" w:lineRule="auto"/>
        <w:tabs>
          <w:tab w:leader="none" w:pos="735"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5"/>
          <w:szCs w:val="15"/>
          <w:color w:val="auto"/>
        </w:rPr>
      </w:pPr>
    </w:p>
    <w:p>
      <w:pPr>
        <w:ind w:left="1020" w:right="60" w:hanging="280"/>
        <w:spacing w:after="0" w:line="278" w:lineRule="auto"/>
        <w:tabs>
          <w:tab w:leader="none" w:pos="1011" w:val="left"/>
        </w:tabs>
        <w:numPr>
          <w:ilvl w:val="1"/>
          <w:numId w:val="1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5"/>
          <w:szCs w:val="15"/>
          <w:color w:val="auto"/>
        </w:rPr>
      </w:pPr>
    </w:p>
    <w:p>
      <w:pPr>
        <w:ind w:left="1020" w:hanging="280"/>
        <w:spacing w:after="0"/>
        <w:tabs>
          <w:tab w:leader="none" w:pos="10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41" w:lineRule="exact"/>
        <w:rPr>
          <w:rFonts w:ascii="Arial" w:cs="Arial" w:eastAsia="Arial" w:hAnsi="Arial"/>
          <w:sz w:val="13"/>
          <w:szCs w:val="13"/>
          <w:color w:val="auto"/>
        </w:rPr>
      </w:pPr>
    </w:p>
    <w:p>
      <w:pPr>
        <w:ind w:left="11220"/>
        <w:spacing w:after="0"/>
        <w:rPr>
          <w:rFonts w:ascii="Arial" w:cs="Arial" w:eastAsia="Arial" w:hAnsi="Arial"/>
          <w:sz w:val="13"/>
          <w:szCs w:val="13"/>
          <w:color w:val="auto"/>
        </w:rPr>
      </w:pPr>
      <w:r>
        <w:rPr>
          <w:rFonts w:ascii="Arial" w:cs="Arial" w:eastAsia="Arial" w:hAnsi="Arial"/>
          <w:sz w:val="14"/>
          <w:szCs w:val="14"/>
          <w:color w:val="auto"/>
        </w:rPr>
        <w:t>.</w:t>
      </w:r>
    </w:p>
    <w:p>
      <w:pPr>
        <w:spacing w:after="0" w:line="113" w:lineRule="exact"/>
        <w:rPr>
          <w:sz w:val="20"/>
          <w:szCs w:val="20"/>
          <w:color w:val="auto"/>
        </w:rPr>
      </w:pPr>
    </w:p>
    <w:p>
      <w:pPr>
        <w:spacing w:after="0"/>
        <w:tabs>
          <w:tab w:leader="none" w:pos="6180" w:val="left"/>
        </w:tabs>
        <w:rPr>
          <w:sz w:val="20"/>
          <w:szCs w:val="20"/>
          <w:color w:val="auto"/>
        </w:rPr>
      </w:pPr>
      <w:r>
        <w:rPr>
          <w:rFonts w:ascii="Arial" w:cs="Arial" w:eastAsia="Arial" w:hAnsi="Arial"/>
          <w:sz w:val="15"/>
          <w:szCs w:val="15"/>
          <w:color w:val="auto"/>
        </w:rPr>
        <w:t>Date: August 5, 2021</w:t>
      </w:r>
      <w:r>
        <w:rPr>
          <w:sz w:val="20"/>
          <w:szCs w:val="20"/>
          <w:color w:val="auto"/>
        </w:rPr>
        <w:tab/>
      </w:r>
      <w:r>
        <w:rPr>
          <w:rFonts w:ascii="Arial" w:cs="Arial" w:eastAsia="Arial" w:hAnsi="Arial"/>
          <w:sz w:val="13"/>
          <w:szCs w:val="13"/>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12700</wp:posOffset>
            </wp:positionV>
            <wp:extent cx="320611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206115" cy="698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5"/>
          <w:szCs w:val="15"/>
          <w:color w:val="auto"/>
        </w:rPr>
        <w:t>Glen A. Messina, President</w:t>
      </w:r>
    </w:p>
    <w:p>
      <w:pPr>
        <w:ind w:left="6200"/>
        <w:spacing w:after="0"/>
        <w:rPr>
          <w:sz w:val="20"/>
          <w:szCs w:val="20"/>
          <w:color w:val="auto"/>
        </w:rPr>
      </w:pPr>
      <w:r>
        <w:rPr>
          <w:rFonts w:ascii="Arial" w:cs="Arial" w:eastAsia="Arial" w:hAnsi="Arial"/>
          <w:sz w:val="15"/>
          <w:szCs w:val="15"/>
          <w:color w:val="auto"/>
        </w:rPr>
        <w:t>and Chief Executive Officer</w:t>
      </w:r>
    </w:p>
    <w:p>
      <w:pPr>
        <w:sectPr>
          <w:pgSz w:w="11900" w:h="16838" w:orient="portrait"/>
          <w:cols w:equalWidth="0" w:num="1">
            <w:col w:w="11260"/>
          </w:cols>
          <w:pgMar w:left="320" w:top="931"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204470</wp:posOffset>
            </wp:positionH>
            <wp:positionV relativeFrom="page">
              <wp:posOffset>513715</wp:posOffset>
            </wp:positionV>
            <wp:extent cx="713994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9940" cy="14605"/>
                    </a:xfrm>
                    <a:prstGeom prst="rect">
                      <a:avLst/>
                    </a:prstGeom>
                    <a:noFill/>
                  </pic:spPr>
                </pic:pic>
              </a:graphicData>
            </a:graphic>
          </wp:anchor>
        </w:drawing>
        <w:t>EXHIBIT 31.2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 June C. Campbell, certify that:</w:t>
      </w:r>
    </w:p>
    <w:p>
      <w:pPr>
        <w:spacing w:after="0" w:line="191" w:lineRule="exact"/>
        <w:rPr>
          <w:sz w:val="20"/>
          <w:szCs w:val="20"/>
          <w:color w:val="auto"/>
        </w:rPr>
      </w:pPr>
    </w:p>
    <w:p>
      <w:pPr>
        <w:ind w:left="740" w:hanging="273"/>
        <w:spacing w:after="0"/>
        <w:tabs>
          <w:tab w:leader="none" w:pos="74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Ocwen Financial Corporation;</w:t>
      </w:r>
    </w:p>
    <w:p>
      <w:pPr>
        <w:spacing w:after="0" w:line="213" w:lineRule="exact"/>
        <w:rPr>
          <w:rFonts w:ascii="Arial" w:cs="Arial" w:eastAsia="Arial" w:hAnsi="Arial"/>
          <w:sz w:val="15"/>
          <w:szCs w:val="15"/>
          <w:color w:val="auto"/>
        </w:rPr>
      </w:pPr>
    </w:p>
    <w:p>
      <w:pPr>
        <w:ind w:left="740" w:right="20" w:hanging="273"/>
        <w:spacing w:after="0" w:line="278" w:lineRule="auto"/>
        <w:tabs>
          <w:tab w:leader="none" w:pos="73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5"/>
          <w:szCs w:val="15"/>
          <w:color w:val="auto"/>
        </w:rPr>
      </w:pPr>
    </w:p>
    <w:p>
      <w:pPr>
        <w:ind w:left="740" w:right="260" w:hanging="273"/>
        <w:spacing w:after="0" w:line="278" w:lineRule="auto"/>
        <w:tabs>
          <w:tab w:leader="none" w:pos="73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5"/>
          <w:szCs w:val="15"/>
          <w:color w:val="auto"/>
        </w:rPr>
      </w:pPr>
    </w:p>
    <w:p>
      <w:pPr>
        <w:ind w:left="740" w:right="60" w:hanging="273"/>
        <w:spacing w:after="0" w:line="314" w:lineRule="auto"/>
        <w:tabs>
          <w:tab w:leader="none" w:pos="735"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left="1020" w:right="80" w:hanging="280"/>
        <w:spacing w:after="0" w:line="265" w:lineRule="auto"/>
        <w:tabs>
          <w:tab w:leader="none" w:pos="1011" w:val="left"/>
        </w:tabs>
        <w:numPr>
          <w:ilvl w:val="1"/>
          <w:numId w:val="1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ind w:left="1020" w:right="480" w:hanging="280"/>
        <w:spacing w:after="0" w:line="265" w:lineRule="auto"/>
        <w:tabs>
          <w:tab w:leader="none" w:pos="102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020" w:right="240" w:hanging="280"/>
        <w:spacing w:after="0" w:line="278" w:lineRule="auto"/>
        <w:tabs>
          <w:tab w:leader="none" w:pos="1011" w:val="left"/>
        </w:tabs>
        <w:numPr>
          <w:ilvl w:val="1"/>
          <w:numId w:val="1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5"/>
          <w:szCs w:val="15"/>
          <w:color w:val="auto"/>
        </w:rPr>
      </w:pPr>
    </w:p>
    <w:p>
      <w:pPr>
        <w:ind w:left="1020" w:right="220" w:hanging="280"/>
        <w:spacing w:after="0" w:line="265" w:lineRule="auto"/>
        <w:tabs>
          <w:tab w:leader="none" w:pos="102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740" w:right="240" w:hanging="273"/>
        <w:spacing w:after="0" w:line="278" w:lineRule="auto"/>
        <w:tabs>
          <w:tab w:leader="none" w:pos="73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5"/>
          <w:szCs w:val="15"/>
          <w:color w:val="auto"/>
        </w:rPr>
      </w:pPr>
    </w:p>
    <w:p>
      <w:pPr>
        <w:ind w:left="1020" w:right="60" w:hanging="280"/>
        <w:spacing w:after="0" w:line="278" w:lineRule="auto"/>
        <w:tabs>
          <w:tab w:leader="none" w:pos="1011" w:val="left"/>
        </w:tabs>
        <w:numPr>
          <w:ilvl w:val="1"/>
          <w:numId w:val="1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5"/>
          <w:szCs w:val="15"/>
          <w:color w:val="auto"/>
        </w:rPr>
      </w:pPr>
    </w:p>
    <w:p>
      <w:pPr>
        <w:ind w:left="1020" w:hanging="280"/>
        <w:spacing w:after="0"/>
        <w:tabs>
          <w:tab w:leader="none" w:pos="102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6180" w:val="left"/>
        </w:tabs>
        <w:rPr>
          <w:sz w:val="20"/>
          <w:szCs w:val="20"/>
          <w:color w:val="auto"/>
        </w:rPr>
      </w:pPr>
      <w:r>
        <w:rPr>
          <w:rFonts w:ascii="Arial" w:cs="Arial" w:eastAsia="Arial" w:hAnsi="Arial"/>
          <w:sz w:val="15"/>
          <w:szCs w:val="15"/>
          <w:color w:val="auto"/>
        </w:rPr>
        <w:t>Date: August 5, 2021</w:t>
      </w:r>
      <w:r>
        <w:rPr>
          <w:sz w:val="20"/>
          <w:szCs w:val="20"/>
          <w:color w:val="auto"/>
        </w:rPr>
        <w:tab/>
      </w:r>
      <w:r>
        <w:rPr>
          <w:rFonts w:ascii="Arial" w:cs="Arial" w:eastAsia="Arial" w:hAnsi="Arial"/>
          <w:sz w:val="13"/>
          <w:szCs w:val="13"/>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12700</wp:posOffset>
            </wp:positionV>
            <wp:extent cx="320611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3206115" cy="698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June C. Campbell, Executive Vice President and Chief Financial Officer</w:t>
      </w:r>
    </w:p>
    <w:p>
      <w:pPr>
        <w:sectPr>
          <w:pgSz w:w="11900" w:h="16838" w:orient="portrait"/>
          <w:cols w:equalWidth="0" w:num="1">
            <w:col w:w="11260"/>
          </w:cols>
          <w:pgMar w:left="320" w:top="930"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204470</wp:posOffset>
            </wp:positionH>
            <wp:positionV relativeFrom="page">
              <wp:posOffset>514350</wp:posOffset>
            </wp:positionV>
            <wp:extent cx="713994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9940" cy="14605"/>
                    </a:xfrm>
                    <a:prstGeom prst="rect">
                      <a:avLst/>
                    </a:prstGeom>
                    <a:noFill/>
                  </pic:spPr>
                </pic:pic>
              </a:graphicData>
            </a:graphic>
          </wp:anchor>
        </w:drawing>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 Glen A. Messina, state and attest that:</w:t>
      </w:r>
    </w:p>
    <w:p>
      <w:pPr>
        <w:spacing w:after="0" w:line="191" w:lineRule="exact"/>
        <w:rPr>
          <w:sz w:val="20"/>
          <w:szCs w:val="20"/>
          <w:color w:val="auto"/>
        </w:rPr>
      </w:pPr>
    </w:p>
    <w:p>
      <w:pPr>
        <w:ind w:left="400" w:hanging="341"/>
        <w:spacing w:after="0"/>
        <w:tabs>
          <w:tab w:leader="none" w:pos="4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I am the principal executive officer of Ocwen Financial Corporation (the Registrant).</w:t>
      </w:r>
    </w:p>
    <w:p>
      <w:pPr>
        <w:spacing w:after="0" w:line="213" w:lineRule="exact"/>
        <w:rPr>
          <w:rFonts w:ascii="Arial" w:cs="Arial" w:eastAsia="Arial" w:hAnsi="Arial"/>
          <w:sz w:val="15"/>
          <w:szCs w:val="15"/>
          <w:color w:val="auto"/>
        </w:rPr>
      </w:pPr>
    </w:p>
    <w:p>
      <w:pPr>
        <w:ind w:left="400" w:hanging="341"/>
        <w:spacing w:after="0"/>
        <w:tabs>
          <w:tab w:leader="none" w:pos="4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I hereby certify, pursuant to 18 U.S.C. Section 1350, as adopted pursuant to Section 906 of the Sarbanes-Oxley Act of 2002, that</w:t>
      </w:r>
    </w:p>
    <w:p>
      <w:pPr>
        <w:spacing w:after="0" w:line="213" w:lineRule="exact"/>
        <w:rPr>
          <w:rFonts w:ascii="Arial" w:cs="Arial" w:eastAsia="Arial" w:hAnsi="Arial"/>
          <w:sz w:val="15"/>
          <w:szCs w:val="15"/>
          <w:color w:val="auto"/>
        </w:rPr>
      </w:pPr>
    </w:p>
    <w:p>
      <w:pPr>
        <w:ind w:left="800" w:right="460" w:hanging="265"/>
        <w:spacing w:after="0" w:line="278" w:lineRule="auto"/>
        <w:tabs>
          <w:tab w:leader="none" w:pos="796"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June 30, 2021 (the periodic report) containing financial statements fully complies with the requirements of Section 13(a) or 15(d), as applicable, of the Securities Exchange Act of 1934 (15 U.S.C. 78m or 78o(d)); and</w:t>
      </w:r>
    </w:p>
    <w:p>
      <w:pPr>
        <w:spacing w:after="0" w:line="167" w:lineRule="exact"/>
        <w:rPr>
          <w:rFonts w:ascii="Arial" w:cs="Arial" w:eastAsia="Arial" w:hAnsi="Arial"/>
          <w:sz w:val="15"/>
          <w:szCs w:val="15"/>
          <w:color w:val="auto"/>
        </w:rPr>
      </w:pPr>
    </w:p>
    <w:p>
      <w:pPr>
        <w:ind w:left="800" w:right="200" w:hanging="265"/>
        <w:spacing w:after="0" w:line="278" w:lineRule="auto"/>
        <w:tabs>
          <w:tab w:leader="none" w:pos="796"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represents, in all material respects, the financial condition and results of operations of the Registrant for the periods presented.</w:t>
      </w:r>
    </w:p>
    <w:p>
      <w:pPr>
        <w:spacing w:after="0" w:line="224" w:lineRule="exact"/>
        <w:rPr>
          <w:sz w:val="20"/>
          <w:szCs w:val="20"/>
          <w:color w:val="auto"/>
        </w:rPr>
      </w:pPr>
    </w:p>
    <w:tbl>
      <w:tblPr>
        <w:tblLayout w:type="fixed"/>
        <w:tblInd w:w="480" w:type="dxa"/>
        <w:tblCellMar>
          <w:top w:w="0" w:type="dxa"/>
          <w:left w:w="0" w:type="dxa"/>
          <w:bottom w:w="0" w:type="dxa"/>
          <w:right w:w="0" w:type="dxa"/>
        </w:tblCellMar>
      </w:tblPr>
      <w:tr>
        <w:trPr>
          <w:trHeight w:val="191"/>
        </w:trPr>
        <w:tc>
          <w:tcPr>
            <w:tcW w:w="660" w:type="dxa"/>
            <w:vAlign w:val="bottom"/>
          </w:tcPr>
          <w:p>
            <w:pPr>
              <w:spacing w:after="0"/>
              <w:rPr>
                <w:sz w:val="20"/>
                <w:szCs w:val="20"/>
                <w:color w:val="auto"/>
              </w:rPr>
            </w:pPr>
            <w:r>
              <w:rPr>
                <w:rFonts w:ascii="Arial" w:cs="Arial" w:eastAsia="Arial" w:hAnsi="Arial"/>
                <w:sz w:val="15"/>
                <w:szCs w:val="15"/>
                <w:color w:val="auto"/>
              </w:rPr>
              <w:t>Name:</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Glen A. Messina</w:t>
            </w:r>
          </w:p>
        </w:tc>
      </w:tr>
      <w:tr>
        <w:trPr>
          <w:trHeight w:val="195"/>
        </w:trPr>
        <w:tc>
          <w:tcPr>
            <w:tcW w:w="660" w:type="dxa"/>
            <w:vAlign w:val="bottom"/>
          </w:tcPr>
          <w:p>
            <w:pPr>
              <w:spacing w:after="0"/>
              <w:rPr>
                <w:sz w:val="20"/>
                <w:szCs w:val="20"/>
                <w:color w:val="auto"/>
              </w:rPr>
            </w:pPr>
            <w:r>
              <w:rPr>
                <w:rFonts w:ascii="Arial" w:cs="Arial" w:eastAsia="Arial" w:hAnsi="Arial"/>
                <w:sz w:val="15"/>
                <w:szCs w:val="15"/>
                <w:color w:val="auto"/>
              </w:rPr>
              <w:t>Title:</w:t>
            </w:r>
          </w:p>
        </w:tc>
        <w:tc>
          <w:tcPr>
            <w:tcW w:w="472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r>
        <w:trPr>
          <w:trHeight w:val="216"/>
        </w:trPr>
        <w:tc>
          <w:tcPr>
            <w:tcW w:w="660" w:type="dxa"/>
            <w:vAlign w:val="bottom"/>
          </w:tcPr>
          <w:p>
            <w:pPr>
              <w:spacing w:after="0"/>
              <w:rPr>
                <w:sz w:val="20"/>
                <w:szCs w:val="20"/>
                <w:color w:val="auto"/>
              </w:rPr>
            </w:pPr>
            <w:r>
              <w:rPr>
                <w:rFonts w:ascii="Arial" w:cs="Arial" w:eastAsia="Arial" w:hAnsi="Arial"/>
                <w:sz w:val="15"/>
                <w:szCs w:val="15"/>
                <w:color w:val="auto"/>
              </w:rPr>
              <w:t>Date:</w:t>
            </w:r>
          </w:p>
        </w:tc>
        <w:tc>
          <w:tcPr>
            <w:tcW w:w="4720" w:type="dxa"/>
            <w:vAlign w:val="bottom"/>
          </w:tcPr>
          <w:p>
            <w:pPr>
              <w:ind w:left="20"/>
              <w:spacing w:after="0"/>
              <w:rPr>
                <w:sz w:val="20"/>
                <w:szCs w:val="20"/>
                <w:color w:val="auto"/>
              </w:rPr>
            </w:pPr>
            <w:r>
              <w:rPr>
                <w:rFonts w:ascii="Arial" w:cs="Arial" w:eastAsia="Arial" w:hAnsi="Arial"/>
                <w:sz w:val="15"/>
                <w:szCs w:val="15"/>
                <w:color w:val="auto"/>
              </w:rPr>
              <w:t>August 5, 2021</w:t>
            </w:r>
          </w:p>
        </w:tc>
      </w:tr>
    </w:tbl>
    <w:p>
      <w:pPr>
        <w:sectPr>
          <w:pgSz w:w="11900" w:h="16838" w:orient="portrait"/>
          <w:cols w:equalWidth="0" w:num="1">
            <w:col w:w="11260"/>
          </w:cols>
          <w:pgMar w:left="320" w:top="931"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204470</wp:posOffset>
            </wp:positionH>
            <wp:positionV relativeFrom="page">
              <wp:posOffset>514350</wp:posOffset>
            </wp:positionV>
            <wp:extent cx="713994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9940" cy="14605"/>
                    </a:xfrm>
                    <a:prstGeom prst="rect">
                      <a:avLst/>
                    </a:prstGeom>
                    <a:noFill/>
                  </pic:spPr>
                </pic:pic>
              </a:graphicData>
            </a:graphic>
          </wp:anchor>
        </w:drawing>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 June C. Campbell, state and attest that:</w:t>
      </w:r>
    </w:p>
    <w:p>
      <w:pPr>
        <w:spacing w:after="0" w:line="191" w:lineRule="exact"/>
        <w:rPr>
          <w:sz w:val="20"/>
          <w:szCs w:val="20"/>
          <w:color w:val="auto"/>
        </w:rPr>
      </w:pPr>
    </w:p>
    <w:p>
      <w:pPr>
        <w:ind w:left="400" w:hanging="341"/>
        <w:spacing w:after="0"/>
        <w:tabs>
          <w:tab w:leader="none" w:pos="4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 am the principal financial officer of Ocwen Financial Corporation (the Registrant).</w:t>
      </w:r>
    </w:p>
    <w:p>
      <w:pPr>
        <w:spacing w:after="0" w:line="213" w:lineRule="exact"/>
        <w:rPr>
          <w:rFonts w:ascii="Arial" w:cs="Arial" w:eastAsia="Arial" w:hAnsi="Arial"/>
          <w:sz w:val="15"/>
          <w:szCs w:val="15"/>
          <w:color w:val="auto"/>
        </w:rPr>
      </w:pPr>
    </w:p>
    <w:p>
      <w:pPr>
        <w:ind w:left="400" w:hanging="341"/>
        <w:spacing w:after="0"/>
        <w:tabs>
          <w:tab w:leader="none" w:pos="4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 hereby certify, pursuant to 18 U.S.C. Section 1350, as adopted pursuant to Section 906 of the Sarbanes-Oxley Act of 2002, that</w:t>
      </w:r>
    </w:p>
    <w:p>
      <w:pPr>
        <w:spacing w:after="0" w:line="213" w:lineRule="exact"/>
        <w:rPr>
          <w:rFonts w:ascii="Arial" w:cs="Arial" w:eastAsia="Arial" w:hAnsi="Arial"/>
          <w:sz w:val="15"/>
          <w:szCs w:val="15"/>
          <w:color w:val="auto"/>
        </w:rPr>
      </w:pPr>
    </w:p>
    <w:p>
      <w:pPr>
        <w:ind w:left="800" w:right="460" w:hanging="265"/>
        <w:spacing w:after="0" w:line="278" w:lineRule="auto"/>
        <w:tabs>
          <w:tab w:leader="none" w:pos="796" w:val="left"/>
        </w:tabs>
        <w:numPr>
          <w:ilvl w:val="1"/>
          <w:numId w:val="124"/>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June 30, 2021 (the periodic report) containing financial statements fully complies with the requirements of Section 13(a) or 15(d), as applicable, of the Securities Exchange Act of 1934 (15 U.S.C. 78m or 78o(d)); and</w:t>
      </w:r>
    </w:p>
    <w:p>
      <w:pPr>
        <w:spacing w:after="0" w:line="167" w:lineRule="exact"/>
        <w:rPr>
          <w:rFonts w:ascii="Arial" w:cs="Arial" w:eastAsia="Arial" w:hAnsi="Arial"/>
          <w:sz w:val="15"/>
          <w:szCs w:val="15"/>
          <w:color w:val="auto"/>
        </w:rPr>
      </w:pPr>
    </w:p>
    <w:p>
      <w:pPr>
        <w:ind w:left="800" w:right="200" w:hanging="265"/>
        <w:spacing w:after="0" w:line="278" w:lineRule="auto"/>
        <w:tabs>
          <w:tab w:leader="none" w:pos="796" w:val="left"/>
        </w:tabs>
        <w:numPr>
          <w:ilvl w:val="1"/>
          <w:numId w:val="124"/>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represents, in all material respects, the financial condition and results of operations of the Registrant for the periods presented.</w:t>
      </w:r>
    </w:p>
    <w:p>
      <w:pPr>
        <w:spacing w:after="0" w:line="224" w:lineRule="exact"/>
        <w:rPr>
          <w:sz w:val="20"/>
          <w:szCs w:val="20"/>
          <w:color w:val="auto"/>
        </w:rPr>
      </w:pPr>
    </w:p>
    <w:tbl>
      <w:tblPr>
        <w:tblLayout w:type="fixed"/>
        <w:tblInd w:w="480" w:type="dxa"/>
        <w:tblCellMar>
          <w:top w:w="0" w:type="dxa"/>
          <w:left w:w="0" w:type="dxa"/>
          <w:bottom w:w="0" w:type="dxa"/>
          <w:right w:w="0" w:type="dxa"/>
        </w:tblCellMar>
      </w:tblPr>
      <w:tr>
        <w:trPr>
          <w:trHeight w:val="191"/>
        </w:trPr>
        <w:tc>
          <w:tcPr>
            <w:tcW w:w="660" w:type="dxa"/>
            <w:vAlign w:val="bottom"/>
          </w:tcPr>
          <w:p>
            <w:pPr>
              <w:spacing w:after="0"/>
              <w:rPr>
                <w:sz w:val="20"/>
                <w:szCs w:val="20"/>
                <w:color w:val="auto"/>
              </w:rPr>
            </w:pPr>
            <w:r>
              <w:rPr>
                <w:rFonts w:ascii="Arial" w:cs="Arial" w:eastAsia="Arial" w:hAnsi="Arial"/>
                <w:sz w:val="15"/>
                <w:szCs w:val="15"/>
                <w:color w:val="auto"/>
              </w:rPr>
              <w:t>Name:</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June C. Campbell</w:t>
            </w:r>
          </w:p>
        </w:tc>
      </w:tr>
      <w:tr>
        <w:trPr>
          <w:trHeight w:val="206"/>
        </w:trPr>
        <w:tc>
          <w:tcPr>
            <w:tcW w:w="660" w:type="dxa"/>
            <w:vAlign w:val="bottom"/>
          </w:tcPr>
          <w:p>
            <w:pPr>
              <w:spacing w:after="0"/>
              <w:rPr>
                <w:sz w:val="20"/>
                <w:szCs w:val="20"/>
                <w:color w:val="auto"/>
              </w:rPr>
            </w:pPr>
            <w:r>
              <w:rPr>
                <w:rFonts w:ascii="Arial" w:cs="Arial" w:eastAsia="Arial" w:hAnsi="Arial"/>
                <w:sz w:val="15"/>
                <w:szCs w:val="15"/>
                <w:color w:val="auto"/>
              </w:rPr>
              <w:t>Title:</w:t>
            </w:r>
          </w:p>
        </w:tc>
        <w:tc>
          <w:tcPr>
            <w:tcW w:w="4720" w:type="dxa"/>
            <w:vAlign w:val="bottom"/>
          </w:tcPr>
          <w:p>
            <w:pPr>
              <w:ind w:left="20"/>
              <w:spacing w:after="0"/>
              <w:rPr>
                <w:sz w:val="20"/>
                <w:szCs w:val="20"/>
                <w:color w:val="auto"/>
              </w:rPr>
            </w:pPr>
            <w:r>
              <w:rPr>
                <w:rFonts w:ascii="Arial" w:cs="Arial" w:eastAsia="Arial" w:hAnsi="Arial"/>
                <w:sz w:val="15"/>
                <w:szCs w:val="15"/>
                <w:color w:val="auto"/>
              </w:rPr>
              <w:t>Executive Vice President and Chief Financial Officer</w:t>
            </w:r>
          </w:p>
        </w:tc>
      </w:tr>
      <w:tr>
        <w:trPr>
          <w:trHeight w:val="216"/>
        </w:trPr>
        <w:tc>
          <w:tcPr>
            <w:tcW w:w="660" w:type="dxa"/>
            <w:vAlign w:val="bottom"/>
          </w:tcPr>
          <w:p>
            <w:pPr>
              <w:spacing w:after="0"/>
              <w:rPr>
                <w:sz w:val="20"/>
                <w:szCs w:val="20"/>
                <w:color w:val="auto"/>
              </w:rPr>
            </w:pPr>
            <w:r>
              <w:rPr>
                <w:rFonts w:ascii="Arial" w:cs="Arial" w:eastAsia="Arial" w:hAnsi="Arial"/>
                <w:sz w:val="15"/>
                <w:szCs w:val="15"/>
                <w:color w:val="auto"/>
              </w:rPr>
              <w:t>Date:</w:t>
            </w:r>
          </w:p>
        </w:tc>
        <w:tc>
          <w:tcPr>
            <w:tcW w:w="4720" w:type="dxa"/>
            <w:vAlign w:val="bottom"/>
          </w:tcPr>
          <w:p>
            <w:pPr>
              <w:ind w:left="20"/>
              <w:spacing w:after="0"/>
              <w:rPr>
                <w:sz w:val="20"/>
                <w:szCs w:val="20"/>
                <w:color w:val="auto"/>
              </w:rPr>
            </w:pPr>
            <w:r>
              <w:rPr>
                <w:rFonts w:ascii="Arial" w:cs="Arial" w:eastAsia="Arial" w:hAnsi="Arial"/>
                <w:sz w:val="15"/>
                <w:szCs w:val="15"/>
                <w:color w:val="auto"/>
              </w:rPr>
              <w:t>August 5, 2021</w:t>
            </w:r>
          </w:p>
        </w:tc>
      </w:tr>
    </w:tbl>
    <w:p>
      <w:pPr>
        <w:spacing w:after="0" w:line="1" w:lineRule="exact"/>
        <w:rPr>
          <w:sz w:val="20"/>
          <w:szCs w:val="20"/>
          <w:color w:val="auto"/>
        </w:rPr>
      </w:pPr>
    </w:p>
    <w:sectPr>
      <w:pgSz w:w="11900" w:h="16838" w:orient="portrait"/>
      <w:cols w:equalWidth="0" w:num="1">
        <w:col w:w="11260"/>
      </w:cols>
      <w:pgMar w:left="320" w:top="9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1)"/>
      <w:numFmt w:val="decimal"/>
      <w:start w:val="1"/>
    </w:lvl>
  </w:abstractNum>
  <w:abstractNum w:abstractNumId="6">
    <w:nsid w:val="25A70BF7"/>
    <w:multiLevelType w:val="hybridMultilevel"/>
    <w:lvl w:ilvl="0">
      <w:lvlJc w:val="left"/>
      <w:lvlText w:val="(%1)"/>
      <w:numFmt w:val="lowerLetter"/>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1)"/>
      <w:numFmt w:val="decimal"/>
      <w:start w:val="1"/>
    </w:lvl>
  </w:abstractNum>
  <w:abstractNum w:abstractNumId="9">
    <w:nsid w:val="1F48EAA1"/>
    <w:multiLevelType w:val="hybridMultilevel"/>
    <w:lvl w:ilvl="0">
      <w:lvlJc w:val="left"/>
      <w:lvlText w:val="(%1)"/>
      <w:numFmt w:val="decimal"/>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1)"/>
      <w:numFmt w:val="decimal"/>
      <w:start w:val="1"/>
    </w:lvl>
  </w:abstractNum>
  <w:abstractNum w:abstractNumId="14">
    <w:nsid w:val="15014ACB"/>
    <w:multiLevelType w:val="hybridMultilevel"/>
    <w:lvl w:ilvl="0">
      <w:lvlJc w:val="left"/>
      <w:lvlText w:val="(%1)"/>
      <w:numFmt w:val="decimal"/>
      <w:start w:val="1"/>
    </w:lvl>
  </w:abstractNum>
  <w:abstractNum w:abstractNumId="15">
    <w:nsid w:val="5F5E7FD0"/>
    <w:multiLevelType w:val="hybridMultilevel"/>
    <w:lvl w:ilvl="0">
      <w:lvlJc w:val="left"/>
      <w:lvlText w:val="(%1)"/>
      <w:numFmt w:val="decimal"/>
      <w:start w:val="1"/>
    </w:lvl>
  </w:abstractNum>
  <w:abstractNum w:abstractNumId="16">
    <w:nsid w:val="98A3148"/>
    <w:multiLevelType w:val="hybridMultilevel"/>
    <w:lvl w:ilvl="0">
      <w:lvlJc w:val="left"/>
      <w:lvlText w:val="(%1)"/>
      <w:numFmt w:val="decimal"/>
      <w:start w:val="9"/>
    </w:lvl>
  </w:abstractNum>
  <w:abstractNum w:abstractNumId="17">
    <w:nsid w:val="799D0247"/>
    <w:multiLevelType w:val="hybridMultilevel"/>
    <w:lvl w:ilvl="0">
      <w:lvlJc w:val="left"/>
      <w:lvlText w:val="(%1)"/>
      <w:numFmt w:val="decimal"/>
      <w:start w:val="1"/>
    </w:lvl>
  </w:abstractNum>
  <w:abstractNum w:abstractNumId="18">
    <w:nsid w:val="6B94764"/>
    <w:multiLevelType w:val="hybridMultilevel"/>
    <w:lvl w:ilvl="0">
      <w:lvlJc w:val="left"/>
      <w:lvlText w:val="(%1)"/>
      <w:numFmt w:val="decimal"/>
      <w:start w:val="4"/>
    </w:lvl>
  </w:abstractNum>
  <w:abstractNum w:abstractNumId="19">
    <w:nsid w:val="42C296BD"/>
    <w:multiLevelType w:val="hybridMultilevel"/>
    <w:lvl w:ilvl="0">
      <w:lvlJc w:val="left"/>
      <w:lvlText w:val="(%1)"/>
      <w:numFmt w:val="decimal"/>
      <w:start w:val="1"/>
    </w:lvl>
  </w:abstractNum>
  <w:abstractNum w:abstractNumId="20">
    <w:nsid w:val="168E121F"/>
    <w:multiLevelType w:val="hybridMultilevel"/>
    <w:lvl w:ilvl="0">
      <w:lvlJc w:val="left"/>
      <w:lvlText w:val="(%1)"/>
      <w:numFmt w:val="decimal"/>
      <w:start w:val="1"/>
    </w:lvl>
  </w:abstractNum>
  <w:abstractNum w:abstractNumId="21">
    <w:nsid w:val="1EBA5D23"/>
    <w:multiLevelType w:val="hybridMultilevel"/>
    <w:lvl w:ilvl="0">
      <w:lvlJc w:val="left"/>
      <w:lvlText w:val="(%1)"/>
      <w:numFmt w:val="decimal"/>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1)"/>
      <w:numFmt w:val="decimal"/>
      <w:start w:val="1"/>
    </w:lvl>
  </w:abstractNum>
  <w:abstractNum w:abstractNumId="26">
    <w:nsid w:val="51D9C564"/>
    <w:multiLevelType w:val="hybridMultilevel"/>
    <w:lvl w:ilvl="0">
      <w:lvlJc w:val="left"/>
      <w:lvlText w:val="(%1)"/>
      <w:numFmt w:val="decimal"/>
      <w:start w:val="1"/>
    </w:lvl>
  </w:abstractNum>
  <w:abstractNum w:abstractNumId="27">
    <w:nsid w:val="613EFDC5"/>
    <w:multiLevelType w:val="hybridMultilevel"/>
    <w:lvl w:ilvl="0">
      <w:lvlJc w:val="left"/>
      <w:lvlText w:val="(%1)"/>
      <w:numFmt w:val="decimal"/>
      <w:start w:val="1"/>
    </w:lvl>
  </w:abstractNum>
  <w:abstractNum w:abstractNumId="28">
    <w:nsid w:val="BF72B14"/>
    <w:multiLevelType w:val="hybridMultilevel"/>
    <w:lvl w:ilvl="0">
      <w:lvlJc w:val="left"/>
      <w:lvlText w:val="(%1)"/>
      <w:numFmt w:val="lowerRoman"/>
      <w:start w:val="3"/>
    </w:lvl>
  </w:abstractNum>
  <w:abstractNum w:abstractNumId="29">
    <w:nsid w:val="11447B73"/>
    <w:multiLevelType w:val="hybridMultilevel"/>
    <w:lvl w:ilvl="0">
      <w:lvlJc w:val="left"/>
      <w:lvlText w:val="(%1)"/>
      <w:numFmt w:val="decimal"/>
      <w:start w:val="1"/>
    </w:lvl>
  </w:abstractNum>
  <w:abstractNum w:abstractNumId="30">
    <w:nsid w:val="42963E5A"/>
    <w:multiLevelType w:val="hybridMultilevel"/>
    <w:lvl w:ilvl="0">
      <w:lvlJc w:val="left"/>
      <w:lvlText w:val="(%1)"/>
      <w:numFmt w:val="decimal"/>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1)"/>
      <w:numFmt w:val="decimal"/>
      <w:start w:val="1"/>
    </w:lvl>
  </w:abstractNum>
  <w:abstractNum w:abstractNumId="36">
    <w:nsid w:val="4962813B"/>
    <w:multiLevelType w:val="hybridMultilevel"/>
    <w:lvl w:ilvl="0">
      <w:lvlJc w:val="left"/>
      <w:lvlText w:val="(%1)"/>
      <w:numFmt w:val="lowerRoman"/>
      <w:start w:val="2"/>
    </w:lvl>
  </w:abstractNum>
  <w:abstractNum w:abstractNumId="37">
    <w:nsid w:val="60B6DF70"/>
    <w:multiLevelType w:val="hybridMultilevel"/>
    <w:lvl w:ilvl="0">
      <w:lvlJc w:val="left"/>
      <w:lvlText w:val="(%1)"/>
      <w:numFmt w:val="decimal"/>
      <w:start w:val="1"/>
    </w:lvl>
  </w:abstractNum>
  <w:abstractNum w:abstractNumId="38">
    <w:nsid w:val="6A5EE64"/>
    <w:multiLevelType w:val="hybridMultilevel"/>
    <w:lvl w:ilvl="0">
      <w:lvlJc w:val="left"/>
      <w:lvlText w:val="(%1)"/>
      <w:numFmt w:val="decimal"/>
      <w:start w:val="1"/>
    </w:lvl>
  </w:abstractNum>
  <w:abstractNum w:abstractNumId="39">
    <w:nsid w:val="14330624"/>
    <w:multiLevelType w:val="hybridMultilevel"/>
    <w:lvl w:ilvl="0">
      <w:lvlJc w:val="left"/>
      <w:lvlText w:val="(%1)"/>
      <w:numFmt w:val="decimal"/>
      <w:start w:val="2"/>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1)"/>
      <w:numFmt w:val="decimal"/>
      <w:start w:val="4"/>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1)"/>
      <w:numFmt w:val="decimal"/>
      <w:start w:val="1"/>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1)"/>
      <w:numFmt w:val="decimal"/>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1)"/>
      <w:numFmt w:val="decimal"/>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1)"/>
      <w:numFmt w:val="decimal"/>
      <w:start w:val="1"/>
    </w:lvl>
  </w:abstractNum>
  <w:abstractNum w:abstractNumId="65">
    <w:nsid w:val="7F01579B"/>
    <w:multiLevelType w:val="hybridMultilevel"/>
    <w:lvl w:ilvl="0">
      <w:lvlJc w:val="left"/>
      <w:lvlText w:val="(%1)"/>
      <w:numFmt w:val="decimal"/>
      <w:start w:val="1"/>
    </w:lvl>
  </w:abstractNum>
  <w:abstractNum w:abstractNumId="66">
    <w:nsid w:val="49DA307D"/>
    <w:multiLevelType w:val="hybridMultilevel"/>
    <w:lvl w:ilvl="0">
      <w:lvlJc w:val="left"/>
      <w:lvlText w:val="%1"/>
      <w:numFmt w:val="decimal"/>
      <w:start w:val="101"/>
    </w:lvl>
  </w:abstractNum>
  <w:abstractNum w:abstractNumId="67">
    <w:nsid w:val="7055A5F5"/>
    <w:multiLevelType w:val="hybridMultilevel"/>
    <w:lvl w:ilvl="0">
      <w:lvlJc w:val="left"/>
      <w:lvlText w:val="%1"/>
      <w:numFmt w:val="decimal"/>
      <w:start w:val="104"/>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1)"/>
      <w:numFmt w:val="decimal"/>
      <w:start w:val="1"/>
    </w:lvl>
  </w:abstractNum>
  <w:abstractNum w:abstractNumId="70">
    <w:nsid w:val="488AC1A"/>
    <w:multiLevelType w:val="hybridMultilevel"/>
    <w:lvl w:ilvl="0">
      <w:lvlJc w:val="left"/>
      <w:lvlText w:val="%1)"/>
      <w:numFmt w:val="decimal"/>
      <w:start w:val="1"/>
    </w:lvl>
    <w:lvl w:ilvl="1">
      <w:lvlJc w:val="left"/>
      <w:lvlText w:val="(%2)"/>
      <w:numFmt w:val="lowerLetter"/>
      <w:start w:val="1"/>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3">
    <w:nsid w:val="7672BD23"/>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74">
    <w:nsid w:val="6FC75AF8"/>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75">
    <w:nsid w:val="6A5F7029"/>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76">
    <w:nsid w:val="7D5E18F8"/>
    <w:multiLevelType w:val="hybridMultilevel"/>
    <w:lvl w:ilvl="0">
      <w:lvlJc w:val="left"/>
      <w:lvlText w:val="%1."/>
      <w:numFmt w:val="lowerLetter"/>
      <w:start w:val="5"/>
    </w:lvl>
    <w:lvl w:ilvl="1">
      <w:lvlJc w:val="left"/>
      <w:lvlText w:val="%2"/>
      <w:numFmt w:val="decimal"/>
      <w:start w:val="1"/>
    </w:lvl>
    <w:lvl w:ilvl="2">
      <w:lvlJc w:val="left"/>
      <w:lvlText w:val="-"/>
      <w:numFmt w:val="bullet"/>
      <w:start w:val="1"/>
    </w:lvl>
  </w:abstractNum>
  <w:abstractNum w:abstractNumId="77">
    <w:nsid w:val="5F3534A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
      <w:numFmt w:val="bullet"/>
      <w:start w:val="1"/>
    </w:lvl>
  </w:abstractNum>
  <w:abstractNum w:abstractNumId="78">
    <w:nsid w:val="73A1821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79">
    <w:nsid w:val="7DE67713"/>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80">
    <w:nsid w:val="555C55B5"/>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81">
    <w:nsid w:val="3FA62ACA"/>
    <w:multiLevelType w:val="hybridMultilevel"/>
    <w:lvl w:ilvl="0">
      <w:lvlJc w:val="left"/>
      <w:lvlText w:val="%1."/>
      <w:numFmt w:val="lowerLetter"/>
      <w:start w:val="2"/>
    </w:lvl>
    <w:lvl w:ilvl="1">
      <w:lvlJc w:val="left"/>
      <w:lvlText w:val="-"/>
      <w:numFmt w:val="bullet"/>
      <w:start w:val="1"/>
    </w:lvl>
  </w:abstractNum>
  <w:abstractNum w:abstractNumId="82">
    <w:nsid w:val="14FCE74E"/>
    <w:multiLevelType w:val="hybridMultilevel"/>
    <w:lvl w:ilvl="0">
      <w:lvlJc w:val="left"/>
      <w:lvlText w:val="1"/>
      <w:numFmt w:val="bullet"/>
      <w:start w:val="1"/>
    </w:lvl>
  </w:abstractNum>
  <w:abstractNum w:abstractNumId="83">
    <w:nsid w:val="6A3DD3E8"/>
    <w:multiLevelType w:val="hybridMultilevel"/>
    <w:lvl w:ilvl="0">
      <w:lvlJc w:val="left"/>
      <w:lvlText w:val="(%1)"/>
      <w:numFmt w:val="lowerRoman"/>
      <w:start w:val="1"/>
    </w:lvl>
  </w:abstractNum>
  <w:abstractNum w:abstractNumId="84">
    <w:nsid w:val="71C91298"/>
    <w:multiLevelType w:val="hybridMultilevel"/>
    <w:lvl w:ilvl="0">
      <w:lvlJc w:val="left"/>
      <w:lvlText w:val="(%1)"/>
      <w:numFmt w:val="lowerLetter"/>
      <w:start w:val="1"/>
    </w:lvl>
  </w:abstractNum>
  <w:abstractNum w:abstractNumId="85">
    <w:nsid w:val="9DAF632"/>
    <w:multiLevelType w:val="hybridMultilevel"/>
    <w:lvl w:ilvl="0">
      <w:lvlJc w:val="left"/>
      <w:lvlText w:val="(%1)"/>
      <w:numFmt w:val="lowerLetter"/>
      <w:start w:val="2"/>
    </w:lvl>
  </w:abstractNum>
  <w:abstractNum w:abstractNumId="86">
    <w:nsid w:val="53299938"/>
    <w:multiLevelType w:val="hybridMultilevel"/>
    <w:lvl w:ilvl="0">
      <w:lvlJc w:val="left"/>
      <w:lvlText w:val="(%1)"/>
      <w:numFmt w:val="lowerLetter"/>
      <w:start w:val="1"/>
    </w:lvl>
  </w:abstractNum>
  <w:abstractNum w:abstractNumId="87">
    <w:nsid w:val="1FBFE8E0"/>
    <w:multiLevelType w:val="hybridMultilevel"/>
    <w:lvl w:ilvl="0">
      <w:lvlJc w:val="left"/>
      <w:lvlText w:val="(%1)"/>
      <w:numFmt w:val="lowerLetter"/>
      <w:start w:val="1"/>
    </w:lvl>
  </w:abstractNum>
  <w:abstractNum w:abstractNumId="88">
    <w:nsid w:val="5092CA79"/>
    <w:multiLevelType w:val="hybridMultilevel"/>
    <w:lvl w:ilvl="0">
      <w:lvlJc w:val="left"/>
      <w:lvlText w:val="(%1)"/>
      <w:numFmt w:val="lowerLetter"/>
      <w:start w:val="1"/>
    </w:lvl>
  </w:abstractNum>
  <w:abstractNum w:abstractNumId="89">
    <w:nsid w:val="1D545C4D"/>
    <w:multiLevelType w:val="hybridMultilevel"/>
    <w:lvl w:ilvl="0">
      <w:lvlJc w:val="left"/>
      <w:lvlText w:val="(%1)"/>
      <w:numFmt w:val="lowerLetter"/>
      <w:start w:val="3"/>
    </w:lvl>
  </w:abstractNum>
  <w:abstractNum w:abstractNumId="90">
    <w:nsid w:val="59ADEA3D"/>
    <w:multiLevelType w:val="hybridMultilevel"/>
    <w:lvl w:ilvl="0">
      <w:lvlJc w:val="left"/>
      <w:lvlText w:val="(%1)"/>
      <w:numFmt w:val="lowerLetter"/>
      <w:start w:val="5"/>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lowerLetter"/>
      <w:start w:val="2"/>
    </w:lvl>
  </w:abstractNum>
  <w:abstractNum w:abstractNumId="93">
    <w:nsid w:val="1D9F6E5F"/>
    <w:multiLevelType w:val="hybridMultilevel"/>
    <w:lvl w:ilvl="0">
      <w:lvlJc w:val="left"/>
      <w:lvlText w:val="(%1)"/>
      <w:numFmt w:val="lowerLetter"/>
      <w:start w:val="1"/>
    </w:lvl>
  </w:abstractNum>
  <w:abstractNum w:abstractNumId="94">
    <w:nsid w:val="97E1B4E"/>
    <w:multiLevelType w:val="hybridMultilevel"/>
    <w:lvl w:ilvl="0">
      <w:lvlJc w:val="left"/>
      <w:lvlText w:val="(%1)"/>
      <w:numFmt w:val="lowerLetter"/>
      <w:start w:val="6"/>
    </w:lvl>
  </w:abstractNum>
  <w:abstractNum w:abstractNumId="95">
    <w:nsid w:val="51088277"/>
    <w:multiLevelType w:val="hybridMultilevel"/>
    <w:lvl w:ilvl="0">
      <w:lvlJc w:val="left"/>
      <w:lvlText w:val="(%1)"/>
      <w:numFmt w:val="lowerLetter"/>
      <w:start w:val="9"/>
    </w:lvl>
  </w:abstractNum>
  <w:abstractNum w:abstractNumId="96">
    <w:nsid w:val="1CA0C5FA"/>
    <w:multiLevelType w:val="hybridMultilevel"/>
    <w:lvl w:ilvl="0">
      <w:lvlJc w:val="left"/>
      <w:lvlText w:val="(%1)"/>
      <w:numFmt w:val="lowerRoman"/>
      <w:start w:val="1"/>
    </w:lvl>
  </w:abstractNum>
  <w:abstractNum w:abstractNumId="97">
    <w:nsid w:val="53584BCB"/>
    <w:multiLevelType w:val="hybridMultilevel"/>
    <w:lvl w:ilvl="0">
      <w:lvlJc w:val="left"/>
      <w:lvlText w:val="(%1)"/>
      <w:numFmt w:val="lowerLetter"/>
      <w:start w:val="12"/>
    </w:lvl>
  </w:abstractNum>
  <w:abstractNum w:abstractNumId="98">
    <w:nsid w:val="415E286C"/>
    <w:multiLevelType w:val="hybridMultilevel"/>
    <w:lvl w:ilvl="0">
      <w:lvlJc w:val="left"/>
      <w:lvlText w:val="(%1)"/>
      <w:numFmt w:val="lowerLetter"/>
      <w:start w:val="15"/>
    </w:lvl>
  </w:abstractNum>
  <w:abstractNum w:abstractNumId="99">
    <w:nsid w:val="7C58FD05"/>
    <w:multiLevelType w:val="hybridMultilevel"/>
    <w:lvl w:ilvl="0">
      <w:lvlJc w:val="left"/>
      <w:lvlText w:val="(%1)"/>
      <w:numFmt w:val="lowerLetter"/>
      <w:start w:val="19"/>
    </w:lvl>
  </w:abstractNum>
  <w:abstractNum w:abstractNumId="100">
    <w:nsid w:val="23D86AAC"/>
    <w:multiLevelType w:val="hybridMultilevel"/>
    <w:lvl w:ilvl="0">
      <w:lvlJc w:val="left"/>
      <w:lvlText w:val="(%1)"/>
      <w:numFmt w:val="lowerLetter"/>
      <w:start w:val="25"/>
    </w:lvl>
  </w:abstractNum>
  <w:abstractNum w:abstractNumId="101">
    <w:nsid w:val="45E6D486"/>
    <w:multiLevelType w:val="hybridMultilevel"/>
    <w:lvl w:ilvl="0">
      <w:lvlJc w:val="left"/>
      <w:lvlText w:val="(%1)"/>
      <w:numFmt w:val="lowerLetter"/>
      <w:start w:val="27"/>
    </w:lvl>
  </w:abstractNum>
  <w:abstractNum w:abstractNumId="102">
    <w:nsid w:val="5C10FE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3">
    <w:nsid w:val="E7FFA2B"/>
    <w:multiLevelType w:val="hybridMultilevel"/>
    <w:lvl w:ilvl="0">
      <w:lvlJc w:val="left"/>
      <w:lvlText w:val="%1"/>
      <w:numFmt w:val="lowerLetter"/>
      <w:start w:val="1"/>
    </w:lvl>
    <w:lvl w:ilvl="1">
      <w:lvlJc w:val="left"/>
      <w:lvlText w:val="(%2)"/>
      <w:numFmt w:val="lowerRoman"/>
      <w:start w:val="2"/>
    </w:lvl>
  </w:abstractNum>
  <w:abstractNum w:abstractNumId="104">
    <w:nsid w:val="3C5991AA"/>
    <w:multiLevelType w:val="hybridMultilevel"/>
    <w:lvl w:ilvl="0">
      <w:lvlJc w:val="left"/>
      <w:lvlText w:val="(%1)"/>
      <w:numFmt w:val="lowerLetter"/>
      <w:start w:val="3"/>
    </w:lvl>
    <w:lvl w:ilvl="1">
      <w:lvlJc w:val="left"/>
      <w:lvlText w:val="%2"/>
      <w:numFmt w:val="lowerRoman"/>
      <w:start w:val="1"/>
    </w:lvl>
  </w:abstractNum>
  <w:abstractNum w:abstractNumId="105">
    <w:nsid w:val="4BD8591A"/>
    <w:multiLevelType w:val="hybridMultilevel"/>
    <w:lvl w:ilvl="0">
      <w:lvlJc w:val="left"/>
      <w:lvlText w:val="(%1)"/>
      <w:numFmt w:val="lowerLetter"/>
      <w:start w:val="5"/>
    </w:lvl>
  </w:abstractNum>
  <w:abstractNum w:abstractNumId="106">
    <w:nsid w:val="78DF6A55"/>
    <w:multiLevelType w:val="hybridMultilevel"/>
    <w:lvl w:ilvl="0">
      <w:lvlJc w:val="left"/>
      <w:lvlText w:val="(%1)"/>
      <w:numFmt w:val="lowerLetter"/>
      <w:start w:val="2"/>
    </w:lvl>
  </w:abstractNum>
  <w:abstractNum w:abstractNumId="107">
    <w:nsid w:val="39B7AAA2"/>
    <w:multiLevelType w:val="hybridMultilevel"/>
    <w:lvl w:ilvl="0">
      <w:lvlJc w:val="left"/>
      <w:lvlText w:val="(%1)"/>
      <w:numFmt w:val="lowerLetter"/>
      <w:start w:val="1"/>
    </w:lvl>
  </w:abstractNum>
  <w:abstractNum w:abstractNumId="108">
    <w:nsid w:val="2B0D8DBE"/>
    <w:multiLevelType w:val="hybridMultilevel"/>
    <w:lvl w:ilvl="0">
      <w:lvlJc w:val="left"/>
      <w:lvlText w:val="(%1)"/>
      <w:numFmt w:val="lowerLetter"/>
      <w:start w:val="1"/>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1)"/>
      <w:numFmt w:val="lowerLetter"/>
      <w:start w:val="2"/>
    </w:lvl>
  </w:abstractNum>
  <w:abstractNum w:abstractNumId="111">
    <w:nsid w:val="69E373"/>
    <w:multiLevelType w:val="hybridMultilevel"/>
    <w:lvl w:ilvl="0">
      <w:lvlJc w:val="left"/>
      <w:lvlText w:val="(%1)"/>
      <w:numFmt w:val="lowerLetter"/>
      <w:start w:val="1"/>
    </w:lvl>
  </w:abstractNum>
  <w:abstractNum w:abstractNumId="112">
    <w:nsid w:val="2C27173B"/>
    <w:multiLevelType w:val="hybridMultilevel"/>
    <w:lvl w:ilvl="0">
      <w:lvlJc w:val="left"/>
      <w:lvlText w:val="(%1)"/>
      <w:numFmt w:val="lowerLetter"/>
      <w:start w:val="1"/>
    </w:lvl>
  </w:abstractNum>
  <w:abstractNum w:abstractNumId="113">
    <w:nsid w:val="4C9B0904"/>
    <w:multiLevelType w:val="hybridMultilevel"/>
    <w:lvl w:ilvl="0">
      <w:lvlJc w:val="left"/>
      <w:lvlText w:val="(%1)"/>
      <w:numFmt w:val="lowerLetter"/>
      <w:start w:val="2"/>
    </w:lvl>
  </w:abstractNum>
  <w:abstractNum w:abstractNumId="114">
    <w:nsid w:val="6AA7B75C"/>
    <w:multiLevelType w:val="hybridMultilevel"/>
    <w:lvl w:ilvl="0">
      <w:lvlJc w:val="left"/>
      <w:lvlText w:val="(%1)"/>
      <w:numFmt w:val="lowerLetter"/>
      <w:start w:val="3"/>
    </w:lvl>
  </w:abstractNum>
  <w:abstractNum w:abstractNumId="115">
    <w:nsid w:val="1DF029D3"/>
    <w:multiLevelType w:val="hybridMultilevel"/>
    <w:lvl w:ilvl="0">
      <w:lvlJc w:val="left"/>
      <w:lvlText w:val="(%1)"/>
      <w:numFmt w:val="lowerLetter"/>
      <w:start w:val="1"/>
    </w:lvl>
    <w:lvl w:ilvl="1">
      <w:lvlJc w:val="left"/>
      <w:lvlText w:val="(%2)"/>
      <w:numFmt w:val="lowerRoman"/>
      <w:start w:val="1"/>
    </w:lvl>
  </w:abstractNum>
  <w:abstractNum w:abstractNumId="116">
    <w:nsid w:val="5675FF36"/>
    <w:multiLevelType w:val="hybridMultilevel"/>
    <w:lvl w:ilvl="0">
      <w:lvlJc w:val="left"/>
      <w:lvlText w:val="(%1)"/>
      <w:numFmt w:val="lowerRoman"/>
      <w:start w:val="3"/>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lowerLetter"/>
      <w:start w:val="2"/>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lvl w:ilvl="1">
      <w:lvlJc w:val="left"/>
      <w:lvlText w:val="•"/>
      <w:numFmt w:val="bullet"/>
      <w:start w:val="1"/>
    </w:lvl>
  </w:abstractNum>
  <w:abstractNum w:abstractNumId="123">
    <w:nsid w:val="53B0A9E"/>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61" Type="http://schemas.openxmlformats.org/officeDocument/2006/relationships/hyperlink" Target="http://www.sec.gov/Archives/edgar/data/873860/000162828020015371/a20200930ex31.htm" TargetMode="External"/><Relationship Id="rId162" Type="http://schemas.openxmlformats.org/officeDocument/2006/relationships/hyperlink" Target="http://www.sec.gov/Archives/edgar/data/873860/000149315219002478/ex3-1.htm" TargetMode="External"/><Relationship Id="rId163" Type="http://schemas.openxmlformats.org/officeDocument/2006/relationships/hyperlink" Target="http://www.sec.gov/Archives/edgar/data/873860/00014931522101284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2021-08-05T17:27:48Z</dcterms:created>
  <dcterms:modified xsi:type="dcterms:W3CDTF">2021-08-05T17:27:48Z</dcterms:modified>
</cp:coreProperties>
</file>