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744855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September 30, 2019</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1305" w:right="239" w:bottom="1440" w:gutter="0" w:footer="0" w:header="0"/>
        </w:sectPr>
      </w:pPr>
    </w:p>
    <w:p>
      <w:pPr>
        <w:spacing w:after="0" w:line="221"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40" w:space="720"/>
            <w:col w:w="1840" w:space="720"/>
            <w:col w:w="3900"/>
          </w:cols>
          <w:pgMar w:left="240" w:top="1305" w:right="2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7"/>
          <w:szCs w:val="17"/>
          <w:color w:val="auto"/>
        </w:rPr>
        <w:t>OCN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 (NYSE)</w:t>
      </w:r>
    </w:p>
    <w:p>
      <w:pPr>
        <w:spacing w:after="0" w:line="211" w:lineRule="exact"/>
        <w:rPr>
          <w:sz w:val="24"/>
          <w:szCs w:val="24"/>
          <w:color w:val="auto"/>
        </w:rPr>
      </w:pPr>
    </w:p>
    <w:p>
      <w:pPr>
        <w:sectPr>
          <w:pgSz w:w="11900" w:h="16838" w:orient="portrait"/>
          <w:cols w:equalWidth="0" w:num="3">
            <w:col w:w="4760" w:space="720"/>
            <w:col w:w="1700" w:space="720"/>
            <w:col w:w="3520"/>
          </w:cols>
          <w:pgMar w:left="240" w:top="1305" w:right="239" w:bottom="1440" w:gutter="0" w:footer="0" w:header="0"/>
          <w:type w:val="continuous"/>
        </w:sectPr>
      </w:pPr>
    </w:p>
    <w:p>
      <w:pPr>
        <w:spacing w:after="0" w:line="64"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1640"/>
              <w:spacing w:after="0"/>
              <w:rPr>
                <w:sz w:val="20"/>
                <w:szCs w:val="20"/>
                <w:color w:val="auto"/>
              </w:rPr>
            </w:pPr>
            <w:r>
              <w:rPr>
                <w:rFonts w:ascii="Arial" w:cs="Arial" w:eastAsia="Arial" w:hAnsi="Arial"/>
                <w:sz w:val="18"/>
                <w:szCs w:val="18"/>
                <w:color w:val="auto"/>
              </w:rPr>
              <w:t>o</w:t>
            </w:r>
          </w:p>
        </w:tc>
        <w:tc>
          <w:tcPr>
            <w:tcW w:w="402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520"/>
              <w:spacing w:after="0"/>
              <w:rPr>
                <w:sz w:val="20"/>
                <w:szCs w:val="20"/>
                <w:color w:val="auto"/>
              </w:rPr>
            </w:pPr>
            <w:r>
              <w:rPr>
                <w:rFonts w:ascii="Arial" w:cs="Arial" w:eastAsia="Arial" w:hAnsi="Arial"/>
                <w:sz w:val="17"/>
                <w:szCs w:val="17"/>
                <w:color w:val="auto"/>
                <w:w w:val="70"/>
              </w:rPr>
              <w:t>x</w:t>
            </w: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640"/>
              <w:spacing w:after="0"/>
              <w:rPr>
                <w:sz w:val="20"/>
                <w:szCs w:val="20"/>
                <w:color w:val="auto"/>
              </w:rPr>
            </w:pPr>
            <w:r>
              <w:rPr>
                <w:rFonts w:ascii="Arial" w:cs="Arial" w:eastAsia="Arial" w:hAnsi="Arial"/>
                <w:sz w:val="18"/>
                <w:szCs w:val="18"/>
                <w:color w:val="auto"/>
              </w:rPr>
              <w:t>o</w:t>
            </w:r>
          </w:p>
        </w:tc>
        <w:tc>
          <w:tcPr>
            <w:tcW w:w="402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520"/>
              <w:spacing w:after="0"/>
              <w:rPr>
                <w:sz w:val="20"/>
                <w:szCs w:val="20"/>
                <w:color w:val="auto"/>
              </w:rPr>
            </w:pPr>
            <w:r>
              <w:rPr>
                <w:rFonts w:ascii="Arial" w:cs="Arial" w:eastAsia="Arial" w:hAnsi="Arial"/>
                <w:sz w:val="15"/>
                <w:szCs w:val="15"/>
                <w:color w:val="auto"/>
                <w:w w:val="71"/>
              </w:rPr>
              <w:t>o</w:t>
            </w:r>
          </w:p>
        </w:tc>
      </w:tr>
      <w:tr>
        <w:trPr>
          <w:trHeight w:val="270"/>
        </w:trPr>
        <w:tc>
          <w:tcPr>
            <w:tcW w:w="32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02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520"/>
              <w:spacing w:after="0"/>
              <w:rPr>
                <w:sz w:val="20"/>
                <w:szCs w:val="20"/>
                <w:color w:val="auto"/>
              </w:rPr>
            </w:pPr>
            <w:r>
              <w:rPr>
                <w:rFonts w:ascii="Arial" w:cs="Arial" w:eastAsia="Arial" w:hAnsi="Arial"/>
                <w:sz w:val="15"/>
                <w:szCs w:val="15"/>
                <w:color w:val="auto"/>
                <w:w w:val="71"/>
              </w:rPr>
              <w:t>o</w:t>
            </w:r>
          </w:p>
        </w:tc>
      </w:tr>
    </w:tbl>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November 1, 2019: 134,771,626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0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at September 30, 2019 and December 31, 2018</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 for the Three and Nine Months Ended September 30, 2019 and 2018</w:t>
              </w:r>
            </w:hyperlink>
          </w:p>
        </w:tc>
        <w:tc>
          <w:tcPr>
            <w:tcW w:w="8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Comprehensive Loss for the Three and Nine Months Ended September 30, 2019 and 2018</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 for the Three and Nine Months Ended September 30, 2019 and 2018</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10">
              <w:r>
                <w:rPr>
                  <w:rFonts w:ascii="Arial" w:cs="Arial" w:eastAsia="Arial" w:hAnsi="Arial"/>
                  <w:sz w:val="18"/>
                  <w:szCs w:val="18"/>
                  <w:color w:val="auto"/>
                </w:rPr>
                <w:t>Consolidated Statements of Cash Flows for the Nine Months Ended September 30, 2019 and 2018</w:t>
              </w:r>
            </w:hyperlink>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12">
              <w:r>
                <w:rPr>
                  <w:rFonts w:ascii="Arial" w:cs="Arial" w:eastAsia="Arial" w:hAnsi="Arial"/>
                  <w:sz w:val="18"/>
                  <w:szCs w:val="18"/>
                  <w:color w:val="auto"/>
                </w:rPr>
                <w:t>Notes to 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68">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05">
              <w:r>
                <w:rPr>
                  <w:rFonts w:ascii="Arial" w:cs="Arial" w:eastAsia="Arial" w:hAnsi="Arial"/>
                  <w:sz w:val="18"/>
                  <w:szCs w:val="18"/>
                  <w:color w:val="auto"/>
                </w:rPr>
                <w:t>Item 3.</w:t>
              </w:r>
            </w:hyperlink>
          </w:p>
        </w:tc>
        <w:tc>
          <w:tcPr>
            <w:tcW w:w="9680" w:type="dxa"/>
            <w:vAlign w:val="bottom"/>
          </w:tcPr>
          <w:p>
            <w:pPr>
              <w:ind w:left="140"/>
              <w:spacing w:after="0"/>
              <w:rPr>
                <w:rFonts w:ascii="Arial" w:cs="Arial" w:eastAsia="Arial" w:hAnsi="Arial"/>
                <w:sz w:val="18"/>
                <w:szCs w:val="18"/>
                <w:color w:val="auto"/>
              </w:rPr>
            </w:pPr>
            <w:hyperlink w:anchor="page105">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Item 4.</w:t>
              </w:r>
            </w:hyperlink>
          </w:p>
        </w:tc>
        <w:tc>
          <w:tcPr>
            <w:tcW w:w="9680" w:type="dxa"/>
            <w:vAlign w:val="bottom"/>
          </w:tcPr>
          <w:p>
            <w:pPr>
              <w:ind w:left="140"/>
              <w:spacing w:after="0"/>
              <w:rPr>
                <w:rFonts w:ascii="Arial" w:cs="Arial" w:eastAsia="Arial" w:hAnsi="Arial"/>
                <w:sz w:val="18"/>
                <w:szCs w:val="18"/>
                <w:color w:val="auto"/>
              </w:rPr>
            </w:pPr>
            <w:hyperlink w:anchor="page109">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rFonts w:ascii="Arial" w:cs="Arial" w:eastAsia="Arial" w:hAnsi="Arial"/>
                <w:sz w:val="18"/>
                <w:szCs w:val="18"/>
                <w:b w:val="1"/>
                <w:bCs w:val="1"/>
                <w:color w:val="auto"/>
              </w:rPr>
            </w:pPr>
            <w:hyperlink w:anchor="page110">
              <w:r>
                <w:rPr>
                  <w:rFonts w:ascii="Arial" w:cs="Arial" w:eastAsia="Arial" w:hAnsi="Arial"/>
                  <w:sz w:val="18"/>
                  <w:szCs w:val="18"/>
                  <w:b w:val="1"/>
                  <w:bCs w:val="1"/>
                  <w:color w:val="auto"/>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Item 1A.</w:t>
              </w:r>
            </w:hyperlink>
          </w:p>
        </w:tc>
        <w:tc>
          <w:tcPr>
            <w:tcW w:w="968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Item 6.</w:t>
              </w:r>
            </w:hyperlink>
          </w:p>
        </w:tc>
        <w:tc>
          <w:tcPr>
            <w:tcW w:w="968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11">
              <w:r>
                <w:rPr>
                  <w:rFonts w:ascii="Arial" w:cs="Arial" w:eastAsia="Arial" w:hAnsi="Arial"/>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although not all forward-looking statements contain these words.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89" w:lineRule="exact"/>
        <w:rPr>
          <w:sz w:val="20"/>
          <w:szCs w:val="20"/>
          <w:color w:val="auto"/>
        </w:rPr>
      </w:pPr>
    </w:p>
    <w:p>
      <w:pPr>
        <w:ind w:left="660" w:right="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regarding incentive and other payments made by governmental entities;</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because of regulatory investigations, litigation, cease and desist orders or settlements;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settlements with regulatory agencies and state attorneys general on reasonable terms and to comply with the terms of our settlements;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fund and sell our loans held for sale, repay, renew and extend borrowings, borrow additional amounts as and when required, meet our asset investment objectives and comply with our debt agreements, including the financial and other covenants contained in them;</w:t>
      </w:r>
    </w:p>
    <w:p>
      <w:pPr>
        <w:spacing w:after="0" w:line="1" w:lineRule="exact"/>
        <w:rPr>
          <w:rFonts w:ascii="Arial" w:cs="Arial" w:eastAsia="Arial" w:hAnsi="Arial"/>
          <w:sz w:val="18"/>
          <w:szCs w:val="18"/>
          <w:color w:val="auto"/>
        </w:rPr>
      </w:pPr>
    </w:p>
    <w:p>
      <w:pPr>
        <w:ind w:left="660" w:right="5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mortgage servicing rights (MSRs) or other assets or businesses at adequate risk-adjusted returns, including our ability to negotiate and execute purchase documentation and satisfy closing conditions so as to consummate such acquisitions;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limits on our ability to repurchase our own stock as a result of regulatory settlements and other conditions;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cost re-engineering efforts to reduce operating costs while minimizing disruption from our workforce reduction and site closure initiatives;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3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long-term relationship with New Residential Investment Corp. (NRZ), our largest servicing client and the source for a substantial portion of our advance funding for non-agency MSRs;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and cost-effectively transfer MSRs under our agreements with NRZ;</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right="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PHH Corporation (PHH) and its business, and to realize the strategic objectives and other benefits of the acquisition at the time anticipated or at all, including our ability to integrate, maintain and enhance PHH’s servicing, subservicing and other business relationships, including its relationship with NRZ;</w:t>
      </w:r>
    </w:p>
    <w:p>
      <w:pPr>
        <w:ind w:left="660" w:right="4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identify and address any issues arising in connection with the transfer of loans to the Black Knight Financial Services, Inc. (Black Knight) LoanSphere MSP® servicing system (Black Knight MSP) without incurring significant cost or disruption to our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reduce organizational complexity through our corporate reorganization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 and our ability to execute effective executive officer leadership transitions;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GSEs, Ginnie Mae and trustees regarding loan put-backs, penalties and legal actions;</w:t>
      </w:r>
    </w:p>
    <w:p>
      <w:pPr>
        <w:ind w:left="660" w:right="10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manage and maintain real estate owned (REO) properties and vacant properties collateralizing loans that we service;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to our capital markets or other events impacting the availability of credit that could adversely impact our ability to access capital markets and finance our business;</w:t>
      </w:r>
    </w:p>
    <w:p>
      <w:pPr>
        <w:ind w:left="660" w:right="5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uncertainty related to our ability to grow our lending business and increase our lending volume in a competitive market and uncertain interest rate environment;</w:t>
      </w:r>
    </w:p>
    <w:p>
      <w:pPr>
        <w:ind w:left="660" w:right="10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correctly interpret and meet capital requirements established by, or agreed with, regulators or GSEs, Ginnie Mae or other counterparties;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2018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345,084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329,132</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(amounts related to VIEs of $13,725 and $20,968)</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1,455,553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1,457,149</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net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249,382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Match funded advances (related to VIEs)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825,760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937,294</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 ($207,645 and $176,525 carried at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Loans held for investment, at fair value (amounts related to VIEs of $24,445 and $26,520)</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6,073,687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5,498,719</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198,262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43,974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33,417</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Other assets ($8,339 and $7,568 carried at fair value)(amounts related to VIEs of $4,422 and $2,874)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513,449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379,567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Assets related to discontinued operations</w:t>
            </w:r>
          </w:p>
        </w:tc>
        <w:tc>
          <w:tcPr>
            <w:tcW w:w="4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794</w:t>
            </w:r>
          </w:p>
        </w:tc>
      </w:tr>
      <w:tr>
        <w:trPr>
          <w:trHeight w:val="27"/>
        </w:trPr>
        <w:tc>
          <w:tcPr>
            <w:tcW w:w="8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9,956,653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Home Equity Conversion Mortgage-Backed Securities (HMBS) related borrowings, at fair value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5,903,965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5,380,448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Match funded liabilities (related to VIEs)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687,497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778,284</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Other financing liabilities ($1,009,779 and $1,057,671 carried at fair value) (amounts related to VIEs of</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$22,827 and $24,815)</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1,069,594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1,127,613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secured borrowings, net (amounts related to VIEs $137,612 and $0)</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708,929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382,538</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notes, net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448,727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liabilities ($3,319 and $4,986 carried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894,695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703,636</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Liabilities related to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9,575,468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8,839,511</w:t>
            </w:r>
          </w:p>
        </w:tc>
      </w:tr>
      <w:tr>
        <w:trPr>
          <w:trHeight w:val="27"/>
        </w:trPr>
        <w:tc>
          <w:tcPr>
            <w:tcW w:w="8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(Notes 20 and 21)</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Common stock, $.01 par value; 200,000,000 shares authorized; 134,595,798 and 133,912,425 shares issued</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at September 30, 2019 and December 31, 2018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556,097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554,056</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 retained earnings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income taxes</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(4,257)</w:t>
            </w:r>
          </w:p>
        </w:tc>
      </w:tr>
      <w:tr>
        <w:trPr>
          <w:trHeight w:val="27"/>
        </w:trPr>
        <w:tc>
          <w:tcPr>
            <w:tcW w:w="8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554,705</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9,956,653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w:t>
            </w:r>
          </w:p>
        </w:tc>
        <w:tc>
          <w:tcPr>
            <w:tcW w:w="140" w:type="dxa"/>
            <w:vAlign w:val="bottom"/>
          </w:tcPr>
          <w:p>
            <w:pPr>
              <w:spacing w:after="0"/>
              <w:rPr>
                <w:sz w:val="18"/>
                <w:szCs w:val="18"/>
                <w:color w:val="auto"/>
              </w:rPr>
            </w:pPr>
          </w:p>
        </w:tc>
        <w:tc>
          <w:tcPr>
            <w:tcW w:w="31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79"/>
              </w:rPr>
              <w:t>30,</w:t>
            </w: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247,714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213,730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742,759</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658,095</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70,299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32,886</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752,116</w:t>
            </w:r>
          </w:p>
        </w:tc>
      </w:tr>
      <w:tr>
        <w:trPr>
          <w:trHeight w:val="264"/>
        </w:trPr>
        <w:tc>
          <w:tcPr>
            <w:tcW w:w="4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250,393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211,220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 valuation adjustments,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91,452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110,821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61,080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67,306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19,814</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656,323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629,677</w:t>
            </w:r>
          </w:p>
        </w:tc>
      </w:tr>
      <w:tr>
        <w:trPr>
          <w:trHeight w:val="264"/>
        </w:trPr>
        <w:tc>
          <w:tcPr>
            <w:tcW w:w="4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10,018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(189,601)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repurchase of senior secured notes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(6,569)</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(369,152)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(186,152)</w:t>
            </w:r>
          </w:p>
        </w:tc>
      </w:tr>
      <w:tr>
        <w:trPr>
          <w:trHeight w:val="264"/>
        </w:trPr>
        <w:tc>
          <w:tcPr>
            <w:tcW w:w="4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4,541</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134,595,798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134,329,321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133,632,905</w:t>
            </w:r>
          </w:p>
        </w:tc>
      </w:tr>
      <w:tr>
        <w:trPr>
          <w:trHeight w:val="27"/>
        </w:trPr>
        <w:tc>
          <w:tcPr>
            <w:tcW w:w="4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560"/>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w:t>
            </w:r>
          </w:p>
        </w:tc>
        <w:tc>
          <w:tcPr>
            <w:tcW w:w="140" w:type="dxa"/>
            <w:vAlign w:val="bottom"/>
          </w:tcPr>
          <w:p>
            <w:pPr>
              <w:spacing w:after="0"/>
              <w:rPr>
                <w:sz w:val="18"/>
                <w:szCs w:val="18"/>
                <w:color w:val="auto"/>
              </w:rPr>
            </w:pPr>
          </w:p>
        </w:tc>
        <w:tc>
          <w:tcPr>
            <w:tcW w:w="31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79"/>
              </w:rPr>
              <w:t>30,</w:t>
            </w: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(68,254)</w:t>
            </w:r>
          </w:p>
        </w:tc>
      </w:tr>
      <w:tr>
        <w:trPr>
          <w:trHeight w:val="230"/>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5"/>
              </w:rPr>
              <w:t>Reclassification adjustment for losses on cash flow hedges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included in net income (1)</w:t>
            </w:r>
          </w:p>
        </w:tc>
        <w:tc>
          <w:tcPr>
            <w:tcW w:w="3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unfunded pension plan obligation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Comprehensive income attributable to non-controlling interests</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(175,584)</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380" w:type="dxa"/>
            <w:vAlign w:val="bottom"/>
            <w:gridSpan w:val="5"/>
            <w:vMerge w:val="restart"/>
          </w:tcPr>
          <w:p>
            <w:pPr>
              <w:jc w:val="right"/>
              <w:ind w:right="51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 Net of</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87"/>
              </w:rPr>
              <w:t>Three months ended September 30,</w:t>
            </w:r>
          </w:p>
        </w:tc>
        <w:tc>
          <w:tcPr>
            <w:tcW w:w="118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b w:val="1"/>
                <w:bCs w:val="1"/>
                <w:color w:val="auto"/>
                <w:w w:val="90"/>
              </w:rPr>
              <w:t>2019 and 2018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134,595,798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422,894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(42,767)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Equity-based compensation</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w w:val="98"/>
              </w:rPr>
              <w:t>Other comprehensive income, net of</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134,595,798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556,097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381,185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133,912,425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601,183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4"/>
              </w:rPr>
              <w:t>Equity-based compensation and other</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w w:val="98"/>
              </w:rPr>
              <w:t>Other comprehensive income, net of</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133,912,425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553,443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560,744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380" w:type="dxa"/>
            <w:vAlign w:val="bottom"/>
            <w:gridSpan w:val="5"/>
            <w:vMerge w:val="restart"/>
          </w:tcPr>
          <w:p>
            <w:pPr>
              <w:jc w:val="right"/>
              <w:ind w:right="51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 Net of</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00" w:type="dxa"/>
            <w:vAlign w:val="bottom"/>
            <w:gridSpan w:val="3"/>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90"/>
              </w:rPr>
              <w:t>Nine months ended September 30,</w:t>
            </w:r>
          </w:p>
        </w:tc>
        <w:tc>
          <w:tcPr>
            <w:tcW w:w="11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94"/>
              </w:rPr>
              <w:t>2019 and 2018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133,912,425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554,705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(176,998)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(176,998)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adoption of</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Financial Accounting Standards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Board (FASB) Accounting</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Standards Update (ASU) No. 2016-</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02</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Equity-based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683,373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Other comprehensive income, net of</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134,595,798</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556,097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(173,415)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381,185</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60" w:type="dxa"/>
            <w:vAlign w:val="bottom"/>
          </w:tcPr>
          <w:p>
            <w:pPr>
              <w:jc w:val="right"/>
              <w:spacing w:after="0"/>
              <w:rPr>
                <w:sz w:val="20"/>
                <w:szCs w:val="20"/>
                <w:color w:val="auto"/>
              </w:rPr>
            </w:pPr>
            <w:r>
              <w:rPr>
                <w:rFonts w:ascii="Arial" w:cs="Arial" w:eastAsia="Arial" w:hAnsi="Arial"/>
                <w:sz w:val="16"/>
                <w:szCs w:val="16"/>
                <w:color w:val="auto"/>
              </w:rPr>
              <w:t>131,484,058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1,315</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547,057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546,874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1,875,000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Cumulative effect of fair value election</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 MSRs</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82,043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Cumulative effect of adoption of</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00" w:type="dxa"/>
            <w:vAlign w:val="bottom"/>
          </w:tcPr>
          <w:p>
            <w:pPr>
              <w:ind w:left="300"/>
              <w:spacing w:after="0"/>
              <w:rPr>
                <w:sz w:val="20"/>
                <w:szCs w:val="20"/>
                <w:color w:val="auto"/>
              </w:rPr>
            </w:pPr>
            <w:r>
              <w:rPr>
                <w:rFonts w:ascii="Arial" w:cs="Arial" w:eastAsia="Arial" w:hAnsi="Arial"/>
                <w:sz w:val="16"/>
                <w:szCs w:val="16"/>
                <w:color w:val="auto"/>
              </w:rPr>
              <w:t>FASB ASU No. 2016-16</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Capital distribution to non-controlling</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w w:val="94"/>
              </w:rPr>
              <w:t>Equity-based compensation and other</w:t>
            </w:r>
          </w:p>
        </w:tc>
        <w:tc>
          <w:tcPr>
            <w:tcW w:w="1060" w:type="dxa"/>
            <w:vAlign w:val="bottom"/>
          </w:tcPr>
          <w:p>
            <w:pPr>
              <w:jc w:val="right"/>
              <w:spacing w:after="0"/>
              <w:rPr>
                <w:sz w:val="20"/>
                <w:szCs w:val="20"/>
                <w:color w:val="auto"/>
              </w:rPr>
            </w:pPr>
            <w:r>
              <w:rPr>
                <w:rFonts w:ascii="Arial" w:cs="Arial" w:eastAsia="Arial" w:hAnsi="Arial"/>
                <w:sz w:val="16"/>
                <w:szCs w:val="16"/>
                <w:color w:val="auto"/>
              </w:rPr>
              <w:t>553,367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Other comprehensive income, net of</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4"/>
        </w:trPr>
        <w:tc>
          <w:tcPr>
            <w:tcW w:w="27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133,912,425</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553,443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560,744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8140"/>
        <w:spacing w:after="0"/>
        <w:rPr>
          <w:sz w:val="20"/>
          <w:szCs w:val="20"/>
          <w:color w:val="auto"/>
        </w:rPr>
      </w:pPr>
      <w:r>
        <w:rPr>
          <w:rFonts w:ascii="Arial" w:cs="Arial" w:eastAsia="Arial" w:hAnsi="Arial"/>
          <w:sz w:val="17"/>
          <w:szCs w:val="17"/>
          <w:b w:val="1"/>
          <w:bCs w:val="1"/>
          <w:color w:val="auto"/>
        </w:rPr>
        <w:t>For the Nine Months Ended September</w:t>
      </w:r>
    </w:p>
    <w:p>
      <w:pPr>
        <w:spacing w:after="0" w:line="39"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(68,254)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121,705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91,695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MSRs,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40,269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repurchase of senior secured notes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(gain) on valuation of financing liability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(11,323)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Bargain purchase gain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(1,234,830)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1,154,526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advances and match funded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243,831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123,283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126,829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8,739</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291,533</w:t>
            </w:r>
          </w:p>
        </w:tc>
      </w:tr>
      <w:tr>
        <w:trPr>
          <w:trHeight w:val="264"/>
        </w:trPr>
        <w:tc>
          <w:tcPr>
            <w:tcW w:w="8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(675,898)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(711,035)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MSRs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(112,417)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MSRs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 of advances in connection with the purchase of MSRs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advances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(19,642)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(371,868)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(284,372)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1,875,926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2,211,606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mortgage loan warehouse facilities and other secured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(1,819,728)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(2,522,723)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and repurchases of Senior notes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additional senior secured term loan (SSTL)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SSTL borrowings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(62,563)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 related to SSTL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MSRs accounted for as a financing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279,586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Proceeds from sale of Home Equity Conversion Mortgages (HECM, or reverse mortgages) accounted for as 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financing (HMBS-related borrowings)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665,820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728,745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HMBS-related borrowings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(290,338)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 to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58,128</w:t>
            </w:r>
          </w:p>
        </w:tc>
      </w:tr>
      <w:tr>
        <w:trPr>
          <w:trHeight w:val="264"/>
        </w:trPr>
        <w:tc>
          <w:tcPr>
            <w:tcW w:w="8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397,010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302,560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2"/>
        </w:trPr>
        <w:tc>
          <w:tcPr>
            <w:tcW w:w="8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337"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403,745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280,353</w:t>
            </w: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Initial consolidation of mortgage-backed securitization trusts (VIEs):</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investment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financing liabilities</w:t>
            </w:r>
          </w:p>
        </w:tc>
        <w:tc>
          <w:tcPr>
            <w:tcW w:w="5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26,643</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9"/>
              </w:rPr>
              <w:t>Recognition of gross right-of-use asset and lease liability upon adoption of FASB ASU No. 2016-02:</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Right-of-use asset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Lease liability</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66,247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loans held for sale to real estate owned (REO)</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3,921</w:t>
            </w:r>
          </w:p>
        </w:tc>
      </w:tr>
      <w:tr>
        <w:trPr>
          <w:trHeight w:val="27"/>
        </w:trPr>
        <w:tc>
          <w:tcPr>
            <w:tcW w:w="8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The following table provides a reconciliation of cash, cash equivalents and restricted cash reported within the unaudited consolidated balance sheets that sums to the total of the same such amounts reported in the unaudited consolidated statements of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2018</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and equivalents:</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service accounts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restricted cash</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41,635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3,056</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reported in the statements of cash flows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403,745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280,353</w:t>
            </w: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34290</wp:posOffset>
            </wp:positionV>
            <wp:extent cx="6414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non-bank mortgage servicer and originator providing solutions through its primary operating subsidiaries, PHH Mortgage Corporation (PMC) and Liberty Home Equity Solutions, Inc. (Liberty). We are headquartered in West Palm Beach, Florida with offices in the United States (U.S.) and the United States Virgin Islands (USVI) and operations in India and the Philippines. Ocwen is a Florida corporation organized in February 1988.</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Ocwen directly or indirectly owns all of the outstanding common stock of its operating subsidiaries, including PMC since its acquisition on October 4, 2018, Liberty, Ocwen Financial Solutions Private Limited (OFSPL) and Ocwen Mortgage Servicing, Inc. (OMS).</w:t>
      </w:r>
    </w:p>
    <w:p>
      <w:pPr>
        <w:spacing w:after="0" w:line="6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5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generally servicing retained. The GSEs or Ginnie Mae guarantee these mortgage securitizations. We originate HECM loans, or reverse mortgages, that are insured by the FHA and are an approved issuer of HMBS that are guaranteed by Ginnie Mae.</w:t>
      </w:r>
    </w:p>
    <w:p>
      <w:pPr>
        <w:spacing w:after="0" w:line="7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had a total of approximately 5,600 employees at September 30, 2019 of which approximately 3,500 were located in India and approximately 500 were based in the Philippines. Our operations in India and the Philippines primarily provide internal support services, principally to our loan servicing business and our corporate functions. Of our foreign-based employees, nearly 80% were engaged in supporting our loan servicing operations as of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Losses have significantly eroded stockholders’ equity and weakened our financial condition. Our near-term priority is to return to profitability in the shortest timeframe possible within an appropriate risk and compliance environment. If we execute on our key business initiatives, we believe we will drive stronger financial performance.</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First, we have successfully executed the acquisition of PHH Corporation (PHH) and continue our planned integration of PHH ’s business with ours. See Note 2 - Business Acquisition for additional information regarding the acquisition of PHH.</w:t>
      </w:r>
    </w:p>
    <w:p>
      <w:pPr>
        <w:spacing w:after="0" w:line="17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Second, we must re-engineer our cost structure to go beyond eliminating redundant costs through the integration process. Our cost re-engineering plans address organizational, process and control redesign and automation, human capital planning, off-shore utilization, strategic sourcing and facilities rationalization. Our initiatives are targeted at increasing the degree of automation of our processes, leveraging our single servicing platform and technology, and through innovation. We believe these steps are necessary in order to simplify our operations and drive stronger financial performance.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88" w:right="259" w:bottom="1440" w:gutter="0" w:footer="0" w:header="0"/>
        </w:sectPr>
      </w:pPr>
    </w:p>
    <w:bookmarkStart w:id="12" w:name="page13"/>
    <w:bookmarkEnd w:id="12"/>
    <w:p>
      <w:pPr>
        <w:ind w:right="40" w:firstLine="324"/>
        <w:spacing w:after="0" w:line="264" w:lineRule="auto"/>
        <w:rPr>
          <w:sz w:val="20"/>
          <w:szCs w:val="20"/>
          <w:color w:val="auto"/>
        </w:rPr>
      </w:pPr>
      <w:r>
        <w:rPr>
          <w:rFonts w:ascii="Arial" w:cs="Arial" w:eastAsia="Arial" w:hAnsi="Arial"/>
          <w:sz w:val="18"/>
          <w:szCs w:val="18"/>
          <w:color w:val="auto"/>
        </w:rPr>
        <w:t>Third, we must manage the size of our servicing portfolio through expanding our lending business and permissible acquisitions of MSRs that are prudent and well-executed with appropriate financial return targets. During the first nine months of 2019, we closed MSR acquisitions with $11.9 billion unpaid principal balance (UPB).</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Fourth, we must manage our balance sheet to ensure adequate liquidity and provide a solid platform for executing on our other key business initiatives. On July 1, 2019, we established a financing facility secured by MSRs that provides up to $300.0 million in committed borrowing capacity. We believe this facility will enable the funding of the majority of our near term MSR acquisition initiatives. We intend to extend, renew or replace our SSTL that matures in December 2020 and must evaluate capital structure options that we believe will most effectively allow us to execute on our business plan.</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Finally, we must fulfill our regulatory commitments and resolve our remaining legal and regulatory matters on satisfactory terms. 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19 – Regulatory Requirements and Note 21 – Contingencies for further information.</w:t>
      </w:r>
    </w:p>
    <w:p>
      <w:pPr>
        <w:spacing w:after="0" w:line="19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recent periods, Ocwen has incurred significant losses as a result of declines in the fair value of our MSRs. Further interest rate decreases, prepayment speed increases and changes to other fair value inputs or assumptions could result in further fair value declines and hamper our ability to return to profitability. Starting in September 2019, we have implemented a hedging strategy to partially offset the changes in fair value of our net MSR portfolio. See Note 15 – Derivative Financial Instruments and Hedging Activities for further information.</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ability to execute on these key initiatives is not certain and is dependent on the successful execution of several complex actions, including our ability to grow our lending business and acquire MSRs with appropriate financial return targets, and execute on further organizational redesign and headcount reductions, as well as the absence of significant unforeseen costs, including regulatory or legal costs, that could negatively impact our cost re-engineering efforts, and our ability to extend, renew or replace our debt agreements in the ordinary course, including our SSTL. There can be no assurances that the desired strategic and financial benefits of these actions will be realized.</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Regarding the current maturities of our borrowings, as of September 30, 2019 we have approximately $808.7 million of debt outstanding under facilities coming due in the next 12 months. Portions of our match funded advance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PMC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13 – Borrowings, Note 19 – Regulatory Requirements and Note 21 – Contingencies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2019 are not necessarily indicative of the results that may be expected for any other interim period or for the year ending December 31, 2019. The unaudited consolidated financial statements presented herein should be read in conjunction with the audited consolidated financial statements and related notes thereto included in our Annual Report on Form 10-K for the year ended December 31, 2018.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Certain amounts in the unaudited consolidated statement of cash flows for the nine months ended September 30, 2018 have been reclassified to conform to the current year presentation as follows: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Cash flows from operating activities section, we reclassified Amortization of debt issuance costs of $2.3 million to Other, net.</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Cash flows from financing activities section, we reclassified repayments of the SSTL of $62.6 million from Repayment of mortgage loan warehouse facilities and other secured borrowings to a new separate line item (Repayment of SSTL borrowings).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reclassifications had no impact on our consolidated cash flows from operating, investing or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 ASU 2018-10, ASU 2018-11 and ASU 2019-01)</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ASU requires a lessee to recognize right-of-use (ROU) assets and lease liabilities on the balance sheet, regardless of whether the lease is classified as a finance or operating lease.</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adopted the new leasing guidance on January 1, 2019, and we elected practical expedients permitted by the new standard which provided us transition relief when assessing leases that commenced prior to the adoption date, including determining whether existing contracts are or contain leases, the classification of such leases as operating or financing, and the accounting for initial direct costs.</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adoption resulted in the recognition of a cumulative-effect adjustment to the opening balance of Retained earnings, the recognition of a gross ROU asset and lease liability, and the reclassification of existing balances for our leases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Recognition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Balances</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Balances as of</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Gross ROU Asset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January 1, 2019</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and Lease</w:t>
            </w: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Reclassification of</w:t>
            </w: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after Transition</w:t>
            </w:r>
          </w:p>
        </w:tc>
      </w:tr>
      <w:tr>
        <w:trPr>
          <w:trHeight w:val="234"/>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Existing Balances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Adjustments (2)</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Premises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66,231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(21,438)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44,793</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Prepaid expenses (rent)</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Liability for lease abandonments and deferred rent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Liabilities related to discontinued operations: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for lease abandonments (3)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effect of adopting ASU 2016-02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594"/>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4" w:name="page15"/>
    <w:bookmarkEnd w:id="14"/>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amounts related to leases impacted by the adoption of this ASU that were included in our December 31, 2018 consolidated balance sheet.</w:t>
      </w:r>
    </w:p>
    <w:p>
      <w:pPr>
        <w:spacing w:after="0" w:line="19"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ROU assets as of January 1, 2019 after transition adjustments includes $30.4 million related to premises located in the U.S., $13.6 million related to premises located in India and the Philippines, and $0.7 million related to equipment.</w:t>
      </w: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lease impairments recognized by PHH prior to the acquisition.</w:t>
      </w:r>
    </w:p>
    <w:p>
      <w:pPr>
        <w:spacing w:after="0" w:line="20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leases include non-cancelable operating leases for premises and equipment with maturities extending to 2025, exclusive of renewal option periods. At lease commencement date, we estimate the ROU assets and lease liability at present value using our estimated incremental borrowing rate of 7.5%. We elected to recognize ROU assets and lease liabilities that arise from short-term leases. A maturity analysis of our lease liability as of September 30, 2019 is summarized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Annual obligation for the twelve months ended September 30,</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15,533</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5,182</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829</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54,382</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Less: Adjustment to present value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(6,136)</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48,246</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Restricted cash includes a $23.2 million deposit as collateral for an irrevocable standby letter of credit issued in connection with one of our leased facilities. This letter of credit requirement under the terms of the lease agreement is primarily the result of PHH not meeting certain credit rating criteria prior to the acquisition. The required amount of the letter of credit will be reduced each month beginning in January 2021 through the lease expiration on December 31, 2022.</w:t>
      </w:r>
    </w:p>
    <w:p>
      <w:pPr>
        <w:spacing w:after="0" w:line="18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We amortize the balance of the ROU assets and interest on the lease liability and report in Occupancy and equipment expense on our unaudited consolidated statements of operations. Our lease liability is reduced as we make cash payments on our lease obligations. Our ROU lease assets are evaluated for impairment, in accordance with ASC 360, </w:t>
      </w:r>
      <w:r>
        <w:rPr>
          <w:rFonts w:ascii="Arial" w:cs="Arial" w:eastAsia="Arial" w:hAnsi="Arial"/>
          <w:sz w:val="18"/>
          <w:szCs w:val="18"/>
          <w:i w:val="1"/>
          <w:iCs w:val="1"/>
          <w:color w:val="auto"/>
        </w:rPr>
        <w:t>Premises and Equipment</w:t>
      </w:r>
      <w:r>
        <w:rPr>
          <w:rFonts w:ascii="Arial" w:cs="Arial" w:eastAsia="Arial" w:hAnsi="Arial"/>
          <w:sz w:val="18"/>
          <w:szCs w:val="18"/>
          <w:color w:val="auto"/>
        </w:rPr>
        <w:t>, at each reporting date.</w:t>
      </w:r>
    </w:p>
    <w:p>
      <w:pPr>
        <w:spacing w:after="0" w:line="7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Subsequent to adoption, we made the decision to vacate four leased properties prior to the contractual maturity date of the lease agreements. As a result of our plan to vacate the office space, we accelerated the recognition of amortization on the ROU assets based on the shortened remaining useful life of the leases. We recorded total accelerated amortization of $5.4 million during the nine months ended September 30,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 and ASU 2019-04)</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This ASU will require more timely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We are currently evaluating the effect of this standard.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13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This ASU modifies the disclosure requirements on fair value measurements in FASB ASC Topic 820, Fair Value Measurement. The main provisions in this update include removal of the following disclosure requirements from this ASC: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9" w:right="23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8"/>
          <w:szCs w:val="18"/>
          <w:color w:val="auto"/>
        </w:rPr>
        <w:t>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7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This standard will be effective for us on January 1, 2020. The amendments on changes in unrealized gains and losses, the range and weighted average of significant unobservable inputs used to develop Level 3 fair value measurements, and the narrative description of measurement uncertainty will be applied prospectively for only the most recent interim or annual period presented in the initial fiscal year of adoption. All other amendments will be applied retrospectively to all periods presented upon their effective date. We do not anticipate that our adoption of this standard will have a material impact on our consolidated financial statements.</w:t>
      </w:r>
    </w:p>
    <w:p>
      <w:pPr>
        <w:spacing w:after="0" w:line="76"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16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5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standard will be effective for us on January 1, 2020. Upon adoption, we will elect to apply the amendments in this ASU prospectively to all implementation costs incurred subsequent to that date. We do not anticipate that our adoption of this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October 4, 2018, we completed our acquisition of PHH, a non-bank servicer with established servicing and origination recapture capabilities. As a result of the acquisition, PHH became a wholly owned subsidiary of Ocwen.</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Assets acquired and liabilities assumed are recorded at their fair value as of the date of acquisition based on management’s estimates using currently available information. The results of PHH operations are included in Ocwen’s consolidated statements of operations from the date of acquisition. For U.S. income tax purposes, the acquisition of PHH is treated as a stock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purchase price allocation provided in the table below reflects the final determination of the fair value of assets acquired and liabilities assumed in the acquisition of PHH, with the excess of total identifiable net assets over total consideration paid recorded as a bargain purchase gain. Independent valuation specialists conducted analyses to assist management in determining the fair value of certain acquired assets and assumed liabilities. Management is responsible for these third-party valuations and appraisals. The methodologies that we use and key assumptions that we made to estimate the fair value of the acquired assets and assumed debt are described in Note 5 – Fair Value.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4, 2018</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Revised</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38,813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38,813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96,163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96,163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46,742</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REO</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3,289</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related to discontinued operations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liabilities (MSRs pledged,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(481,020)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secured borrowings,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(27,594)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(Senior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Loan repurchase and indemnification liability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(27,736)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(34,774)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related to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422,432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422,051</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paid to seller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(358,396)</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Bargain purchase gain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63,655</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acquired tax attributes, including the estimated future tax benefit of U.S. federal net operating losses (NOLs) valued at $30.2 million, state NOLs valued at $50.3 million and state tax credits of $9.2 million on the acquisition date. All of the acquired tax attributes were fully offset by a valuation allowance. All of these attributes are subject to annual limitations with regard to future utilization under Sections 382 and 383 of the Internal Revenue Code or the comparable provisions of state law. Accordingly, as of December 31, 2018, Ocwen combined had U.S. federal NOLs valued at $58.2 million, USVI NOLs valued at $3.1 million, state NOLs valued at $50.3 million and state tax credits of $9.2 million, all of which were fully offset by a valuation allowance. All of these attributes are subject to the provisions of Sections 382 and 383 of the Internal Revenue Code or the comparable provisions of foreign and state law. All of the attributes are subject to further potential annual limitations in the event of additional ownership changes in the future.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 Forma Results of Operations</w:t>
      </w:r>
    </w:p>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pro forma consolidated results presented below are not indicative of what Ocwen’s consolidated results would have been had we completed the acquisition on the date indicated due to a number of factors, including but not limited to expected reductions in servicing, origination and overhead costs through the realization of targeted cost synergies and improved economies of scale, the impact of incremental costs to integrate the two companies and differences in servicing practices and cost structures between Ocwen and PHH. In addition, the pro forma consolidated results do not purport to project combined future operating results of Ocwen and PHH nor do they reflect the expected realization of any cost savings associated with the acquisition of PHH.</w:t>
      </w:r>
    </w:p>
    <w:p>
      <w:pPr>
        <w:spacing w:after="0" w:line="5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table below presents supplemental pro forma information for Ocwen for the three and nine months ended September 30, 2018 as if the PHH acquisition occurred on January 1, 2017. Pro forma adjustments include the following:</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7" w:lineRule="exact"/>
        <w:rPr>
          <w:sz w:val="20"/>
          <w:szCs w:val="20"/>
          <w:color w:val="auto"/>
        </w:rPr>
      </w:pPr>
    </w:p>
    <w:p>
      <w:pPr>
        <w:ind w:left="200" w:right="300" w:hanging="161"/>
        <w:spacing w:after="0" w:line="277" w:lineRule="auto"/>
        <w:rPr>
          <w:sz w:val="20"/>
          <w:szCs w:val="20"/>
          <w:color w:val="auto"/>
        </w:rPr>
      </w:pPr>
      <w:r>
        <w:rPr>
          <w:rFonts w:ascii="Arial" w:cs="Arial" w:eastAsia="Arial" w:hAnsi="Arial"/>
          <w:sz w:val="18"/>
          <w:szCs w:val="18"/>
          <w:color w:val="auto"/>
        </w:rPr>
        <w:t>Increase in MSR valuation adjustments, net for acquired MSRs to conform the accounting for MSRs to the valuation policies of Ocwen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 interest expense for a total net decline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3" w:lineRule="exact"/>
        <w:rPr>
          <w:sz w:val="20"/>
          <w:szCs w:val="20"/>
          <w:color w:val="auto"/>
        </w:rPr>
      </w:pPr>
    </w:p>
    <w:p>
      <w:pPr>
        <w:ind w:left="200" w:right="220" w:hanging="161"/>
        <w:spacing w:after="0" w:line="277" w:lineRule="auto"/>
        <w:rPr>
          <w:sz w:val="20"/>
          <w:szCs w:val="20"/>
          <w:color w:val="auto"/>
        </w:rPr>
      </w:pPr>
      <w:r>
        <w:rPr>
          <w:rFonts w:ascii="Arial" w:cs="Arial" w:eastAsia="Arial" w:hAnsi="Arial"/>
          <w:sz w:val="18"/>
          <w:szCs w:val="18"/>
          <w:color w:val="auto"/>
        </w:rPr>
        <w:t>Report Ocwen and PHH acquisition-related charges for professional services as if they had been incurred in 2017 rather than 2018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net increase in revenue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3" w:lineRule="exact"/>
        <w:rPr>
          <w:sz w:val="20"/>
          <w:szCs w:val="20"/>
          <w:color w:val="auto"/>
        </w:rPr>
      </w:pPr>
    </w:p>
    <w:p>
      <w:pPr>
        <w:ind w:left="200" w:right="180" w:hanging="161"/>
        <w:spacing w:after="0" w:line="277" w:lineRule="auto"/>
        <w:rPr>
          <w:sz w:val="20"/>
          <w:szCs w:val="20"/>
          <w:color w:val="auto"/>
        </w:rPr>
      </w:pPr>
      <w:r>
        <w:rPr>
          <w:rFonts w:ascii="Arial" w:cs="Arial" w:eastAsia="Arial" w:hAnsi="Arial"/>
          <w:sz w:val="18"/>
          <w:szCs w:val="18"/>
          <w:color w:val="auto"/>
        </w:rPr>
        <w:t>Adjust depreciation expense to amortize internally developed software acquired from PHH on a straight-line basis based on a useful life of three years</w:t>
      </w:r>
    </w:p>
    <w:p>
      <w:pPr>
        <w:spacing w:after="0" w:line="8"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Income tax expense (benefit) based on management’s estimate of the blended applicable statutory tax rates and observing the continued need for a valuation allowance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Ended September</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September</w:t>
            </w:r>
          </w:p>
        </w:tc>
      </w:tr>
      <w:tr>
        <w:trPr>
          <w:trHeight w:val="234"/>
        </w:trPr>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30, 2018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30, 2018</w:t>
            </w: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24,442</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(30,598)</w:t>
            </w:r>
          </w:p>
        </w:tc>
      </w:tr>
      <w:tr>
        <w:trPr>
          <w:trHeight w:val="486"/>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(18,548)</w:t>
            </w:r>
          </w:p>
        </w:tc>
      </w:tr>
      <w:tr>
        <w:trPr>
          <w:trHeight w:val="270"/>
        </w:trPr>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39,156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120,616</w:t>
            </w:r>
          </w:p>
        </w:tc>
      </w:tr>
      <w:tr>
        <w:trPr>
          <w:trHeight w:val="378"/>
        </w:trPr>
        <w:tc>
          <w:tcPr>
            <w:tcW w:w="18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486"/>
        </w:trPr>
        <w:tc>
          <w:tcPr>
            <w:tcW w:w="18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339" w:lineRule="exact"/>
        <w:rPr>
          <w:sz w:val="20"/>
          <w:szCs w:val="20"/>
          <w:color w:val="auto"/>
        </w:rPr>
      </w:pPr>
    </w:p>
    <w:p>
      <w:pPr>
        <w:sectPr>
          <w:pgSz w:w="11900" w:h="16838" w:orient="portrait"/>
          <w:cols w:equalWidth="0" w:num="2">
            <w:col w:w="8020" w:space="60"/>
            <w:col w:w="3340"/>
          </w:cols>
          <w:pgMar w:left="240" w:top="688" w:right="239" w:bottom="1440" w:gutter="0" w:footer="0" w:header="0"/>
          <w:type w:val="continuous"/>
        </w:sectPr>
      </w:pPr>
    </w:p>
    <w:p>
      <w:pPr>
        <w:spacing w:after="0" w:line="2" w:lineRule="exact"/>
        <w:rPr>
          <w:sz w:val="20"/>
          <w:szCs w:val="20"/>
          <w:color w:val="auto"/>
        </w:rPr>
      </w:pPr>
    </w:p>
    <w:p>
      <w:pPr>
        <w:ind w:left="340" w:right="340" w:hanging="332"/>
        <w:spacing w:after="0" w:line="25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pertains to fair value adjustments of $18.6 million and $31.4 million for the three and nine months ended September 30, 2018, respectively, related to the assumed MSR secured liability using valuation assumptions consistent with Ocwen’s methodology, excluding the gross-up of PHH MSRs sold and accounted for as a secured borrowing.</w:t>
      </w:r>
    </w:p>
    <w:p>
      <w:pPr>
        <w:spacing w:after="0" w:line="1" w:lineRule="exact"/>
        <w:rPr>
          <w:rFonts w:ascii="Arial" w:cs="Arial" w:eastAsia="Arial" w:hAnsi="Arial"/>
          <w:sz w:val="16"/>
          <w:szCs w:val="16"/>
          <w:color w:val="auto"/>
        </w:rPr>
      </w:pPr>
    </w:p>
    <w:p>
      <w:pPr>
        <w:jc w:val="both"/>
        <w:ind w:left="340" w:right="60" w:hanging="332"/>
        <w:spacing w:after="0" w:line="24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pertains to an increase to revenue of $40.3 million and $127.7 million for the three and nine months ended September 30, 2018, respectively, for the gross-up of PHH MSRs sold and accounted for as a secured borrowing. The offset of the remaining adjustments are expenses, interest income and interest expense, with no net effect on earnings.</w:t>
      </w:r>
    </w:p>
    <w:p>
      <w:pPr>
        <w:ind w:left="340" w:right="100" w:hanging="332"/>
        <w:spacing w:after="0" w:line="27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net income tax benefit recorded as a result of pro forma adjustments represents lower current federal tax under the new base erosion and anti-abuse tax (BEAT) provision of the 2017 Tax Cuts and Jobs Act (Tax Act) assuming Ocwen and PHH would file a consol</w:t>
      </w:r>
      <w:r>
        <w:rPr>
          <w:rFonts w:ascii="Arial" w:cs="Arial" w:eastAsia="Arial" w:hAnsi="Arial"/>
          <w:sz w:val="18"/>
          <w:szCs w:val="18"/>
          <w:color w:val="auto"/>
        </w:rPr>
        <w:t>idated</w:t>
      </w:r>
      <w:r>
        <w:rPr>
          <w:rFonts w:ascii="Arial" w:cs="Arial" w:eastAsia="Arial" w:hAnsi="Arial"/>
          <w:sz w:val="16"/>
          <w:szCs w:val="16"/>
          <w:color w:val="auto"/>
        </w:rPr>
        <w:t xml:space="preserve"> federal tax return beginning January 1, 2017. The pro forma tax adjustments contemplate the effects of the Tax Act.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 September</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September</w:t>
            </w:r>
          </w:p>
        </w:tc>
      </w:tr>
      <w:tr>
        <w:trPr>
          <w:trHeight w:val="234"/>
        </w:trPr>
        <w:tc>
          <w:tcPr>
            <w:tcW w:w="8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30, 2018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30, 2018</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995,043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(133,594)</w:t>
            </w:r>
          </w:p>
        </w:tc>
      </w:tr>
    </w:tbl>
    <w:p>
      <w:pPr>
        <w:spacing w:after="0" w:line="233" w:lineRule="exact"/>
        <w:rPr>
          <w:sz w:val="20"/>
          <w:szCs w:val="20"/>
          <w:color w:val="auto"/>
        </w:rPr>
      </w:pPr>
    </w:p>
    <w:p>
      <w:pPr>
        <w:ind w:right="140" w:firstLine="324"/>
        <w:spacing w:after="0" w:line="275" w:lineRule="auto"/>
        <w:rPr>
          <w:sz w:val="20"/>
          <w:szCs w:val="20"/>
          <w:color w:val="auto"/>
        </w:rPr>
      </w:pPr>
      <w:r>
        <w:rPr>
          <w:rFonts w:ascii="Arial" w:cs="Arial" w:eastAsia="Arial" w:hAnsi="Arial"/>
          <w:sz w:val="16"/>
          <w:szCs w:val="16"/>
          <w:color w:val="auto"/>
        </w:rPr>
        <w:t>For purposes of determining pro forma results of operations for the three and nine months ended September 30, 2018, the bargain purchase gain is assumed to have been recorded in 2017 rather than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Cost Re-Engineering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In February 2019, we announced our intention to execute cost re-engineering opportunities in order to drive stronger financial performance and, in the longer term, simplify our operations. Our cost re-engineering plans extend beyond eliminating redundant costs through the integration process and address organizational, process and control redesign and automation, human capital planning, off-shore utilization, strategic sourcing and facilities rationalization. Costs estimated for this plan include severance, retention and other incentive awards, facilities-related costs and other costs to execute the reorganization.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88" w:right="23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8"/>
          <w:szCs w:val="18"/>
          <w:color w:val="auto"/>
        </w:rPr>
        <w:t>The following is a summary of expenses incurred to-date, including an estimate of remaining and total plan costs: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 September 30, 2019</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Employee-related</w:t>
            </w: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Facility-related</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incurred (1)</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20,787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22,115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18,347</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Estimate of remaining costs (2)</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14,412</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plan costs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340" w:hanging="332"/>
        <w:spacing w:after="0" w:line="26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above expenses were all incurred within the Corporate Items and Other segment. Employee-related costs and facility-related costs are reported in Compensation and benefits expense and Occupancy and equipment expense, respectively, in the unaudited consolidated statements of operations. Other costs are primarily reported in Professional services expense and Other expenses.</w:t>
      </w:r>
    </w:p>
    <w:p>
      <w:pPr>
        <w:spacing w:after="0" w:line="20"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to incur the remaining plan costs within the year ending December 31, 2019.</w:t>
      </w:r>
    </w:p>
    <w:p>
      <w:pPr>
        <w:spacing w:after="0" w:line="2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provides a summary of the aggregate activity of the liability for the re-engineering plan costs: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 September 30, 2019</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Employee-related</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Facility-related</w:t>
            </w:r>
          </w:p>
        </w:tc>
        <w:tc>
          <w:tcPr>
            <w:tcW w:w="42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12,432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50,588</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 Other</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(35,428)</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15,160</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liability for re-engineering plan costs is included in Other liabilities (Other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and (3) financings of MSRs.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VIEs for which we are the primary beneficiary.</w:t>
      </w:r>
    </w:p>
    <w:p>
      <w:pPr>
        <w:spacing w:after="0" w:line="62"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receive servicing fees based upon the securitized loan balances and certain ancillary fees, all of which are reported in Servicing and subservicing fees in the unaudited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from securitizations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998,204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fees collected</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30,233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Purchases of previously transferred assets, net of claims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reimbursed</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290,808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708,578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1,024,101</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connection with these transfers, we retained MSRs of $0.6 million and $2.2 million, and $1.4 million and $5.9 million, during the three and nine months ended September 30, 2019 and 2018, respectively, which are reported in Gain on loans held for sale, net in the unaudited consolidated statements of operations. See Note 6 – Loans Held for Sale for additional information regarding gains or losses on the transfer of loans held for sale.</w:t>
      </w:r>
    </w:p>
    <w:p>
      <w:pPr>
        <w:spacing w:after="0" w:line="5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guarantor for losses incurred due to material breach of contractual representations and warranties.</w:t>
      </w:r>
    </w:p>
    <w:p>
      <w:pPr>
        <w:spacing w:after="0" w:line="16"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60"/>
              <w:spacing w:after="0"/>
              <w:rPr>
                <w:sz w:val="20"/>
                <w:szCs w:val="20"/>
                <w:color w:val="auto"/>
              </w:rPr>
            </w:pPr>
            <w:r>
              <w:rPr>
                <w:rFonts w:ascii="Arial" w:cs="Arial" w:eastAsia="Arial" w:hAnsi="Arial"/>
                <w:sz w:val="18"/>
                <w:szCs w:val="18"/>
                <w:color w:val="auto"/>
              </w:rPr>
              <w:t>MSRs,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93,533</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132,774</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Advances and match funded advances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138,679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UPB of loans transferred (1)</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14,077,333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15,600,971</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14,313,949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15,872,424</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340" w:hanging="332"/>
        <w:spacing w:after="0" w:line="26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UPB of loans we transferred for which we continue to act as servicer or subservicer. Our estimate of maximum exposure to loss does not include loans that we do not service for which we have provided representations and warranties because we cannot estimate such amounts. Maximum exposure to loss does not consider any collateral liquidation proceeds.</w:t>
      </w:r>
    </w:p>
    <w:p>
      <w:pPr>
        <w:spacing w:after="0" w:line="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September 30, 2019 and December 31, 2018, 8.3% and 8.3%, respectively, of the transferred residential loans that we service were 60 days or more past due.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Other revenue, net in our unaudited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20" w:name="page21"/>
    <w:bookmarkEnd w:id="20"/>
    <w:p>
      <w:pPr>
        <w:ind w:right="120"/>
        <w:spacing w:after="0" w:line="259" w:lineRule="auto"/>
        <w:rPr>
          <w:sz w:val="20"/>
          <w:szCs w:val="20"/>
          <w:color w:val="auto"/>
        </w:rPr>
      </w:pPr>
      <w:r>
        <w:rPr>
          <w:rFonts w:ascii="Arial" w:cs="Arial" w:eastAsia="Arial" w:hAnsi="Arial"/>
          <w:sz w:val="18"/>
          <w:szCs w:val="18"/>
          <w:color w:val="auto"/>
        </w:rPr>
        <w:t>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The funds are held in interest earning accounts and those amounts related to match funded advance facilities are held in the name of the SPE created in connection with the facility.</w:t>
      </w:r>
    </w:p>
    <w:p>
      <w:pPr>
        <w:spacing w:after="0" w:line="7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Restricted cash (Debt service accounts), Match funded liabilities and amounts due to affiliates. Amounts due to affiliates are eliminated in consolidation in our unaudited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MSRs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July 1, 2019, we entered into a $300.0 million financing facility with a third-party secured by certain Fannie Mae and Freddie Mac MSRs. Two trusts were established in connection with this facility. On July 1, 2019 we entered into an MSR Excess Spread Participation Agreement under which we created a 100% participation interest in the Portfolio Excess Servicing Fees, as defined, pursuant to which the holder of the participation interest is entitled to receive certain funds collected on the related portfolio of mortgage loans (other than ancillary income and advance reimbursement amounts) with respect to such Portfolio Excess Servicing Fees. Portfolio Excess Servicing Fees are defined within the Excess Spread Participation Agreement as: (a) the portfolio collections received during the collection period, net of the base servicing fee; and (b) all other amounts payable by a loan owner or master servicer with respect to the servicing rights for the portfolio mortgage loans, including any portfolio termination payments. This participation interest has been contributed to the trusts.</w:t>
      </w:r>
    </w:p>
    <w:p>
      <w:pPr>
        <w:spacing w:after="0" w:line="8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connection with this facility, we entered into repurchase agreements with a third-party pursuant to which we sold trust certificates of the trusts representing certain indirect economic interests in the MSRs and agreed to repurchase such certificates at a future date at the repurchase price set forth in the repurchase agreements. Our obligations under the facility are secured by a lien on the related MSRs. In addition, Ocwen guarantees the obligations under the facility. This facility will terminate in June 2020 unless the parties mutually agree to renew or extend.</w:t>
      </w:r>
    </w:p>
    <w:p>
      <w:pPr>
        <w:spacing w:after="0" w:line="6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determined that the trusts are VIEs for which we are the primary beneficiary. Therefore, we have included the trusts in our consolidated financial statements effective July 1, 2019. We have the power to direct the activities of the VIEs that most significantly impact the VIE’s economic performance given that we are the servicer of the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15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At September 30, 2019, $137.6 million was outstanding under this facility which is included in Other secured borrowings, net on our unaudited consolidated balance sheet. See Note 13 – Borrowings for additional information. The carrying value of the pledged MSRs was $192.6 million at September 30, 2019. At September 30, 2019, $1.1 million of unamortized debt issuance costs related to this facility are included in Other assets. The assets and liabilities of the trusts include amounts due to or from affiliates which are eliminated in consolidation in our unaudited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21"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The table below presents the carrying value and classification of the assets and liabilities of two consolidated mortgage-backed securitization trusts included in our unaudited consolidated balance sheets as a result of residual securities issued by the trust that we acquired during 2018.</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24,815</w:t>
            </w:r>
          </w:p>
        </w:tc>
      </w:tr>
    </w:tbl>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Upon consolidation of the securitization trusts, we elected to apply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1" w:name="page22"/>
    <w:bookmarkEnd w:id="21"/>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financial liabilities of the trusts are measured as the difference between the fair value of the financial assets and the fair value of our investment in the residual securities of the trusts.</w:t>
      </w:r>
    </w:p>
    <w:p>
      <w:pPr>
        <w:spacing w:after="0" w:line="170"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Holders of the debt issued by these entities have recourse only to the assets of the SPE for satisfaction of the debt and have no recourse against the assets of Ocwen for satisfaction of the debt. Similarly, the general creditors of Ocwen have no claim on the assets of the trusts. Our exposure to loss as a result of our continuing involvement is limited to the carrying values of our investments in the residual securities of the trusts, our MSRs and related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elected to fair value future draw commitments for HECM loans purchased or originated after December 31, 2018. The estimated fair value is included in Loans held for investment on our unaudited consolidated balance sheets with changes in fair value recognized in Other revenue, net in our unaudited consolidated statements of operations. The value of future draw commitments for HECM loans purchased or originated before January 1, 2019 will be recognized over time as such future draws are securitized or sold.</w:t>
      </w:r>
    </w:p>
    <w:p>
      <w:pPr>
        <w:spacing w:after="0" w:line="18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2019</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275,579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275,579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242,622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6,049,242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6,049,242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5,472,199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5,472,199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Loans held for investment - Restricted for securitization investors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loans held for investment</w:t>
            </w: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6,073,687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6,073,687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5,498,719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5,498,719</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Advances (including match funded),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1,038,444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1,038,444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1,186,676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1,186,676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198,262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Mortgage-backed securities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notes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687,497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776,485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HMBS-related borrowings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5,903,965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5,380,448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liability - MSRs pledged (Rights to MSRs)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986,952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986,952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1,032,856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1,032,856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liability - Owed to securitization investors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59,815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53,570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6,973,559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6,953,451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6,508,061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6,491,689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term loan (c) (d)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227,449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380,810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155,713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708,929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708,665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92" w:right="239" w:bottom="0" w:gutter="0" w:footer="0" w:header="0"/>
        </w:sectPr>
      </w:pPr>
    </w:p>
    <w:bookmarkStart w:id="22" w:name="page23"/>
    <w:bookmarkEnd w:id="22"/>
    <w:p>
      <w:pPr>
        <w:ind w:left="18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20,973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13,246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119,924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119,258</w:t>
            </w:r>
          </w:p>
        </w:tc>
      </w:tr>
      <w:tr>
        <w:trPr>
          <w:trHeight w:val="27"/>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notes (c) (d)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244,868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306,889</w:t>
            </w:r>
          </w:p>
        </w:tc>
      </w:tr>
      <w:tr>
        <w:trPr>
          <w:trHeight w:val="297"/>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Senior notes</w:t>
            </w:r>
          </w:p>
        </w:tc>
        <w:tc>
          <w:tcPr>
            <w:tcW w:w="4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310,788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258,114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448,727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426,147</w:t>
            </w:r>
          </w:p>
        </w:tc>
      </w:tr>
      <w:tr>
        <w:trPr>
          <w:trHeight w:val="217"/>
        </w:trPr>
        <w:tc>
          <w:tcPr>
            <w:tcW w:w="5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Derivative financial instrument assets (liabilities)</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 (a)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Forward trades - Loans held for sale (a)</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(4,983)</w:t>
            </w:r>
          </w:p>
        </w:tc>
      </w:tr>
      <w:tr>
        <w:trPr>
          <w:trHeight w:val="27"/>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TBA / Forward mortgage-backed securities (MBS) trades - MSR</w:t>
            </w: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hedging (a)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rate caps (a)</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678</w:t>
            </w:r>
          </w:p>
        </w:tc>
      </w:tr>
      <w:tr>
        <w:trPr>
          <w:trHeight w:val="27"/>
        </w:trPr>
        <w:tc>
          <w:tcPr>
            <w:tcW w:w="5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MSRs (a)</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1,455,553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1,455,553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1,457,149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1,457,149</w:t>
            </w:r>
          </w:p>
        </w:tc>
      </w:tr>
      <w:tr>
        <w:trPr>
          <w:trHeight w:val="486"/>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79"/>
              </w:rPr>
              <w:t>20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values are net of unamortized debt issuance costs and discount. See Note 13 – Borrowings for additional information</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4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1"/>
          </w:cols>
          <w:pgMar w:left="248" w:top="697" w:right="1440" w:bottom="1440" w:gutter="0" w:footer="0" w:header="0"/>
        </w:sectPr>
      </w:pPr>
    </w:p>
    <w:bookmarkStart w:id="24" w:name="page25"/>
    <w:bookmarkEnd w:id="24"/>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Investment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Securit -</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Reverse</w:t>
            </w:r>
          </w:p>
        </w:tc>
        <w:tc>
          <w:tcPr>
            <w:tcW w:w="12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ization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w w:val="91"/>
              </w:rPr>
              <w:t>Three months ended</w:t>
            </w:r>
          </w:p>
        </w:tc>
        <w:tc>
          <w:tcPr>
            <w:tcW w:w="128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w w:val="84"/>
              </w:rPr>
              <w:t>September 30, 2019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5,872,407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1,312,633</w:t>
            </w:r>
          </w:p>
        </w:tc>
      </w:tr>
      <w:tr>
        <w:trPr>
          <w:trHeight w:val="220"/>
        </w:trPr>
        <w:tc>
          <w:tcPr>
            <w:tcW w:w="1500" w:type="dxa"/>
            <w:vAlign w:val="bottom"/>
            <w:gridSpan w:val="2"/>
          </w:tcPr>
          <w:p>
            <w:pPr>
              <w:ind w:left="40"/>
              <w:spacing w:after="0"/>
              <w:rPr>
                <w:sz w:val="20"/>
                <w:szCs w:val="20"/>
                <w:color w:val="auto"/>
              </w:rPr>
            </w:pPr>
            <w:r>
              <w:rPr>
                <w:rFonts w:ascii="Arial" w:cs="Arial" w:eastAsia="Arial" w:hAnsi="Arial"/>
                <w:sz w:val="16"/>
                <w:szCs w:val="16"/>
                <w:color w:val="auto"/>
                <w:w w:val="89"/>
              </w:rPr>
              <w:t>Purchases, issuances,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sales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11,801</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248,877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(240,714)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(151,292)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149,079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53,756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(3,105)</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Transfers (to) from:</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0"/>
        </w:trPr>
        <w:tc>
          <w:tcPr>
            <w:tcW w:w="40" w:type="dxa"/>
            <w:vAlign w:val="bottom"/>
          </w:tcPr>
          <w:p>
            <w:pPr>
              <w:spacing w:after="0"/>
              <w:rPr>
                <w:sz w:val="19"/>
                <w:szCs w:val="19"/>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w w:val="93"/>
              </w:rPr>
              <w:t>Loans held for sale,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300"/>
              <w:spacing w:after="0"/>
              <w:rPr>
                <w:sz w:val="20"/>
                <w:szCs w:val="20"/>
                <w:color w:val="auto"/>
              </w:rPr>
            </w:pPr>
            <w:r>
              <w:rPr>
                <w:rFonts w:ascii="Arial" w:cs="Arial" w:eastAsia="Arial" w:hAnsi="Arial"/>
                <w:sz w:val="16"/>
                <w:szCs w:val="16"/>
                <w:color w:val="auto"/>
              </w:rPr>
              <w:t>at fair 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8,681</w:t>
            </w:r>
          </w:p>
        </w:tc>
      </w:tr>
      <w:tr>
        <w:trPr>
          <w:trHeight w:val="200"/>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unrealized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(losses)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Included in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earnings: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Arial" w:cs="Arial" w:eastAsia="Arial" w:hAnsi="Arial"/>
                <w:sz w:val="16"/>
                <w:szCs w:val="16"/>
                <w:color w:val="auto"/>
              </w:rPr>
              <w:t>Change in fair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400"/>
              <w:spacing w:after="0"/>
              <w:rPr>
                <w:sz w:val="20"/>
                <w:szCs w:val="20"/>
                <w:color w:val="auto"/>
              </w:rPr>
            </w:pPr>
            <w:r>
              <w:rPr>
                <w:rFonts w:ascii="Arial" w:cs="Arial" w:eastAsia="Arial" w:hAnsi="Arial"/>
                <w:sz w:val="16"/>
                <w:szCs w:val="16"/>
                <w:color w:val="auto"/>
              </w:rPr>
              <w:t>value (1)</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80,071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(66,947)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134,239</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Calls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80,071</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(195,439)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134,239</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Transfers in and / or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 of Level 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6,049,242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(5,903,965)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(986,952)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1,455,553</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Investment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Securit -</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Reverse</w:t>
            </w:r>
          </w:p>
        </w:tc>
        <w:tc>
          <w:tcPr>
            <w:tcW w:w="12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ization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w w:val="91"/>
              </w:rPr>
              <w:t>Three months ended</w:t>
            </w:r>
          </w:p>
        </w:tc>
        <w:tc>
          <w:tcPr>
            <w:tcW w:w="128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w w:val="84"/>
              </w:rPr>
              <w:t>September 30, 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5,143,758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(5,040,983)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1,043,995</w:t>
            </w:r>
          </w:p>
        </w:tc>
      </w:tr>
      <w:tr>
        <w:trPr>
          <w:trHeight w:val="220"/>
        </w:trPr>
        <w:tc>
          <w:tcPr>
            <w:tcW w:w="1500" w:type="dxa"/>
            <w:vAlign w:val="bottom"/>
            <w:gridSpan w:val="2"/>
          </w:tcPr>
          <w:p>
            <w:pPr>
              <w:ind w:left="40"/>
              <w:spacing w:after="0"/>
              <w:rPr>
                <w:sz w:val="20"/>
                <w:szCs w:val="20"/>
                <w:color w:val="auto"/>
              </w:rPr>
            </w:pPr>
            <w:r>
              <w:rPr>
                <w:rFonts w:ascii="Arial" w:cs="Arial" w:eastAsia="Arial" w:hAnsi="Arial"/>
                <w:sz w:val="16"/>
                <w:szCs w:val="16"/>
                <w:color w:val="auto"/>
                <w:w w:val="89"/>
              </w:rPr>
              <w:t>Purchases, issuances,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sales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223,563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1,930</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Consolidation of</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1"/>
              </w:rPr>
              <w:t>mortgage-backed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securitization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trusts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(8,119)</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(110,584)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Transfers (to) from:</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Loans held for sale,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at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112,536</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realized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gains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1460" w:type="dxa"/>
            <w:vAlign w:val="bottom"/>
          </w:tcPr>
          <w:p>
            <w:pPr>
              <w:ind w:left="140"/>
              <w:spacing w:after="0"/>
              <w:rPr>
                <w:sz w:val="20"/>
                <w:szCs w:val="20"/>
                <w:color w:val="auto"/>
              </w:rPr>
            </w:pPr>
            <w:r>
              <w:rPr>
                <w:rFonts w:ascii="Arial" w:cs="Arial" w:eastAsia="Arial" w:hAnsi="Arial"/>
                <w:sz w:val="16"/>
                <w:szCs w:val="16"/>
                <w:color w:val="auto"/>
              </w:rPr>
              <w:t>Included in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30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value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(41,448)</w:t>
            </w:r>
          </w:p>
        </w:tc>
      </w:tr>
      <w:tr>
        <w:trPr>
          <w:trHeight w:val="237"/>
        </w:trPr>
        <w:tc>
          <w:tcPr>
            <w:tcW w:w="4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Arial" w:cs="Arial" w:eastAsia="Arial" w:hAnsi="Arial"/>
                <w:sz w:val="16"/>
                <w:szCs w:val="16"/>
                <w:color w:val="auto"/>
              </w:rPr>
              <w:t>Calls and other</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(41,448)</w:t>
            </w:r>
          </w:p>
        </w:tc>
      </w:tr>
      <w:tr>
        <w:trPr>
          <w:trHeight w:val="200"/>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Transfers in and / or</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out of Level 3</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5,279,187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999,282</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Reverse</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Securiti-</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zation 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w w:val="96"/>
              </w:rPr>
              <w:t>Nine months ended</w:t>
            </w: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w w:val="84"/>
              </w:rPr>
              <w:t>September 30, 2019</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5,472,199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(5,380,448)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(1,032,856)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1,457,149</w:t>
            </w:r>
          </w:p>
        </w:tc>
      </w:tr>
      <w:tr>
        <w:trPr>
          <w:trHeight w:val="220"/>
        </w:trPr>
        <w:tc>
          <w:tcPr>
            <w:tcW w:w="1500" w:type="dxa"/>
            <w:vAlign w:val="bottom"/>
          </w:tcPr>
          <w:p>
            <w:pPr>
              <w:ind w:left="180"/>
              <w:spacing w:after="0"/>
              <w:rPr>
                <w:sz w:val="20"/>
                <w:szCs w:val="20"/>
                <w:color w:val="auto"/>
              </w:rPr>
            </w:pPr>
            <w:r>
              <w:rPr>
                <w:rFonts w:ascii="Arial" w:cs="Arial" w:eastAsia="Arial" w:hAnsi="Arial"/>
                <w:sz w:val="16"/>
                <w:szCs w:val="16"/>
                <w:color w:val="auto"/>
              </w:rPr>
              <w:t>Purchases,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issuances, sales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and settlements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128,888</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675,898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377,094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157,173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(7,872)</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Transfers (to)</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1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from:</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0"/>
        </w:trPr>
        <w:tc>
          <w:tcPr>
            <w:tcW w:w="1500" w:type="dxa"/>
            <w:vAlign w:val="bottom"/>
          </w:tcPr>
          <w:p>
            <w:pPr>
              <w:ind w:left="380"/>
              <w:spacing w:after="0"/>
              <w:rPr>
                <w:sz w:val="20"/>
                <w:szCs w:val="20"/>
                <w:color w:val="auto"/>
              </w:rPr>
            </w:pPr>
            <w:r>
              <w:rPr>
                <w:rFonts w:ascii="Arial" w:cs="Arial" w:eastAsia="Arial" w:hAnsi="Arial"/>
                <w:sz w:val="16"/>
                <w:szCs w:val="16"/>
                <w:color w:val="auto"/>
              </w:rPr>
              <w:t>Loans held for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540"/>
              <w:spacing w:after="0"/>
              <w:rPr>
                <w:sz w:val="20"/>
                <w:szCs w:val="20"/>
                <w:color w:val="auto"/>
              </w:rPr>
            </w:pPr>
            <w:r>
              <w:rPr>
                <w:rFonts w:ascii="Arial" w:cs="Arial" w:eastAsia="Arial" w:hAnsi="Arial"/>
                <w:sz w:val="16"/>
                <w:szCs w:val="16"/>
                <w:color w:val="auto"/>
              </w:rPr>
              <w:t>sale, at fair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54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2"/>
              </w:rPr>
              <w:t>Receivables,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120,431</w:t>
            </w:r>
          </w:p>
        </w:tc>
      </w:tr>
      <w:tr>
        <w:trPr>
          <w:trHeight w:val="200"/>
        </w:trPr>
        <w:tc>
          <w:tcPr>
            <w:tcW w:w="1500" w:type="dxa"/>
            <w:vAlign w:val="bottom"/>
          </w:tcPr>
          <w:p>
            <w:pPr>
              <w:ind w:left="180"/>
              <w:spacing w:after="0"/>
              <w:rPr>
                <w:sz w:val="20"/>
                <w:szCs w:val="20"/>
                <w:color w:val="auto"/>
              </w:rPr>
            </w:pPr>
            <w:r>
              <w:rPr>
                <w:rFonts w:ascii="Arial" w:cs="Arial" w:eastAsia="Arial" w:hAnsi="Arial"/>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unrealized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4"/>
              </w:rPr>
              <w:t>(losses) included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in earnings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Included in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1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earnings: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0"/>
        </w:trPr>
        <w:tc>
          <w:tcPr>
            <w:tcW w:w="1500" w:type="dxa"/>
            <w:vAlign w:val="bottom"/>
          </w:tcPr>
          <w:p>
            <w:pPr>
              <w:ind w:left="380"/>
              <w:spacing w:after="0"/>
              <w:rPr>
                <w:sz w:val="20"/>
                <w:szCs w:val="20"/>
                <w:color w:val="auto"/>
              </w:rPr>
            </w:pPr>
            <w:r>
              <w:rPr>
                <w:rFonts w:ascii="Arial" w:cs="Arial" w:eastAsia="Arial" w:hAnsi="Arial"/>
                <w:sz w:val="16"/>
                <w:szCs w:val="16"/>
                <w:color w:val="auto"/>
              </w:rPr>
              <w:t>Change in fair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500" w:type="dxa"/>
            <w:vAlign w:val="bottom"/>
          </w:tcPr>
          <w:p>
            <w:pPr>
              <w:ind w:left="540"/>
              <w:spacing w:after="0"/>
              <w:rPr>
                <w:sz w:val="20"/>
                <w:szCs w:val="20"/>
                <w:color w:val="auto"/>
              </w:rPr>
            </w:pPr>
            <w:r>
              <w:rPr>
                <w:rFonts w:ascii="Arial" w:cs="Arial" w:eastAsia="Arial" w:hAnsi="Arial"/>
                <w:sz w:val="16"/>
                <w:szCs w:val="16"/>
                <w:color w:val="auto"/>
              </w:rPr>
              <w:t>value (1)</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286,924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(234,791)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(123,721)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(122,027)</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Calls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286,924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(234,791)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(110,037)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(122,027)</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Transfers in and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9"/>
        </w:trPr>
        <w:tc>
          <w:tcPr>
            <w:tcW w:w="1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or out of Level 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6,049,242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(5,903,965)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(986,952)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1,455,553</w:t>
            </w: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6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Reverse</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Securiti-</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zation 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w w:val="96"/>
              </w:rPr>
              <w:t>Nine months ended</w:t>
            </w: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w w:val="84"/>
              </w:rPr>
              <w:t>September 30, 2018</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4,715,831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671,962</w:t>
            </w:r>
          </w:p>
        </w:tc>
      </w:tr>
      <w:tr>
        <w:trPr>
          <w:trHeight w:val="220"/>
        </w:trPr>
        <w:tc>
          <w:tcPr>
            <w:tcW w:w="1500" w:type="dxa"/>
            <w:vAlign w:val="bottom"/>
          </w:tcPr>
          <w:p>
            <w:pPr>
              <w:ind w:left="180"/>
              <w:spacing w:after="0"/>
              <w:rPr>
                <w:sz w:val="20"/>
                <w:szCs w:val="20"/>
                <w:color w:val="auto"/>
              </w:rPr>
            </w:pPr>
            <w:r>
              <w:rPr>
                <w:rFonts w:ascii="Arial" w:cs="Arial" w:eastAsia="Arial" w:hAnsi="Arial"/>
                <w:sz w:val="16"/>
                <w:szCs w:val="16"/>
                <w:color w:val="auto"/>
              </w:rPr>
              <w:t>Purchases,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issuances, sales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and settlements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711,035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(728,745)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Consolidation of</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5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5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backed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5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securitization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trusts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(8,274)</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1500" w:type="dxa"/>
            <w:vAlign w:val="bottom"/>
          </w:tcPr>
          <w:p>
            <w:pPr>
              <w:ind w:left="280"/>
              <w:spacing w:after="0"/>
              <w:rPr>
                <w:sz w:val="20"/>
                <w:szCs w:val="20"/>
                <w:color w:val="auto"/>
              </w:rPr>
            </w:pPr>
            <w:r>
              <w:rPr>
                <w:rFonts w:ascii="Arial" w:cs="Arial" w:eastAsia="Arial" w:hAnsi="Arial"/>
                <w:sz w:val="16"/>
                <w:szCs w:val="16"/>
                <w:color w:val="auto"/>
              </w:rPr>
              <w:t>Transfers (to)</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500" w:type="dxa"/>
            <w:vAlign w:val="bottom"/>
          </w:tcPr>
          <w:p>
            <w:pPr>
              <w:ind w:left="440"/>
              <w:spacing w:after="0"/>
              <w:rPr>
                <w:sz w:val="20"/>
                <w:szCs w:val="20"/>
                <w:color w:val="auto"/>
              </w:rPr>
            </w:pPr>
            <w:r>
              <w:rPr>
                <w:rFonts w:ascii="Arial" w:cs="Arial" w:eastAsia="Arial" w:hAnsi="Arial"/>
                <w:sz w:val="16"/>
                <w:szCs w:val="16"/>
                <w:color w:val="auto"/>
              </w:rPr>
              <w:t>from:</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MSRs carried at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amortized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cost,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allowance</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418,925</w:t>
            </w:r>
          </w:p>
        </w:tc>
      </w:tr>
      <w:tr>
        <w:trPr>
          <w:trHeight w:val="220"/>
        </w:trPr>
        <w:tc>
          <w:tcPr>
            <w:tcW w:w="1500" w:type="dxa"/>
            <w:vAlign w:val="bottom"/>
          </w:tcPr>
          <w:p>
            <w:pPr>
              <w:ind w:left="380"/>
              <w:spacing w:after="0"/>
              <w:rPr>
                <w:sz w:val="20"/>
                <w:szCs w:val="20"/>
                <w:color w:val="auto"/>
              </w:rPr>
            </w:pPr>
            <w:r>
              <w:rPr>
                <w:rFonts w:ascii="Arial" w:cs="Arial" w:eastAsia="Arial" w:hAnsi="Arial"/>
                <w:sz w:val="16"/>
                <w:szCs w:val="16"/>
                <w:color w:val="auto"/>
              </w:rPr>
              <w:t>Loans held for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540"/>
              <w:spacing w:after="0"/>
              <w:rPr>
                <w:sz w:val="20"/>
                <w:szCs w:val="20"/>
                <w:color w:val="auto"/>
              </w:rPr>
            </w:pPr>
            <w:r>
              <w:rPr>
                <w:rFonts w:ascii="Arial" w:cs="Arial" w:eastAsia="Arial" w:hAnsi="Arial"/>
                <w:sz w:val="16"/>
                <w:szCs w:val="16"/>
                <w:color w:val="auto"/>
              </w:rPr>
              <w:t>sale, at fair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54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2"/>
              </w:rPr>
              <w:t>Receivables,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419,015</w:t>
            </w:r>
          </w:p>
        </w:tc>
      </w:tr>
      <w:tr>
        <w:trPr>
          <w:trHeight w:val="200"/>
        </w:trPr>
        <w:tc>
          <w:tcPr>
            <w:tcW w:w="1500" w:type="dxa"/>
            <w:vAlign w:val="bottom"/>
          </w:tcPr>
          <w:p>
            <w:pPr>
              <w:ind w:left="180"/>
              <w:spacing w:after="0"/>
              <w:rPr>
                <w:sz w:val="20"/>
                <w:szCs w:val="20"/>
                <w:color w:val="auto"/>
              </w:rPr>
            </w:pPr>
            <w:r>
              <w:rPr>
                <w:rFonts w:ascii="Arial" w:cs="Arial" w:eastAsia="Arial" w:hAnsi="Arial"/>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unrealized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4"/>
              </w:rPr>
              <w:t>(losses) included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in earnings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Included in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1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earnings: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0"/>
        </w:trPr>
        <w:tc>
          <w:tcPr>
            <w:tcW w:w="1500" w:type="dxa"/>
            <w:vAlign w:val="bottom"/>
          </w:tcPr>
          <w:p>
            <w:pPr>
              <w:ind w:left="500"/>
              <w:spacing w:after="0"/>
              <w:rPr>
                <w:sz w:val="20"/>
                <w:szCs w:val="20"/>
                <w:color w:val="auto"/>
              </w:rPr>
            </w:pPr>
            <w:r>
              <w:rPr>
                <w:rFonts w:ascii="Arial" w:cs="Arial" w:eastAsia="Arial" w:hAnsi="Arial"/>
                <w:sz w:val="16"/>
                <w:szCs w:val="16"/>
                <w:color w:val="auto"/>
                <w:w w:val="98"/>
              </w:rPr>
              <w:t>Change in fair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500" w:type="dxa"/>
            <w:vAlign w:val="bottom"/>
          </w:tcPr>
          <w:p>
            <w:pPr>
              <w:ind w:left="66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150,214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(144,264)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(91,695)</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Calls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1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150,214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(144,264)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13,549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(91,695)</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Transfers in and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9"/>
        </w:trPr>
        <w:tc>
          <w:tcPr>
            <w:tcW w:w="1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or out of Level 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5,279,187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(5,184,227)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(620,199)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999,282</w:t>
            </w: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20" w:hanging="332"/>
        <w:spacing w:after="0" w:line="34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Change in fair value adjustments on Loans held for investment for the three and nine months ended September 30, 2019 include $3.6 million and $9.2 million, respectively, in connection with the fair value election for future draw commitments on HECM reverse mortgage loans purchased or originated after December 31, 2018.</w:t>
      </w:r>
    </w:p>
    <w:p>
      <w:pPr>
        <w:spacing w:after="0" w:line="13"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w:t>
      </w:r>
    </w:p>
    <w:p>
      <w:pPr>
        <w:sectPr>
          <w:pgSz w:w="11900" w:h="16838" w:orient="portrait"/>
          <w:cols w:equalWidth="0" w:num="1">
            <w:col w:w="11420"/>
          </w:cols>
          <w:pgMar w:left="240" w:top="86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68" w:right="239" w:bottom="1440" w:gutter="0" w:footer="0" w:header="0"/>
          <w:type w:val="continuous"/>
        </w:sectPr>
      </w:pPr>
    </w:p>
    <w:bookmarkStart w:id="28" w:name="page29"/>
    <w:bookmarkEnd w:id="28"/>
    <w:p>
      <w:pPr>
        <w:ind w:right="140"/>
        <w:spacing w:after="0" w:line="308" w:lineRule="auto"/>
        <w:rPr>
          <w:sz w:val="20"/>
          <w:szCs w:val="20"/>
          <w:color w:val="auto"/>
        </w:rPr>
      </w:pPr>
      <w:r>
        <w:rPr>
          <w:rFonts w:ascii="Arial" w:cs="Arial" w:eastAsia="Arial" w:hAnsi="Arial"/>
          <w:sz w:val="17"/>
          <w:szCs w:val="17"/>
          <w:color w:val="auto"/>
        </w:rPr>
        <w:t>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3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purchase certain loans from Ginnie Mae guaranteed securitizations in connection with loan modifications, strategic early buyouts (EBO) and loan resolution activity as part of our contractual obligations as the servicer of the loans. Modified and EBO loans are classified as loans held for sale at the lower of cost or fair value, as we expect to redeliver (sell) the loans into new Ginnie Mae guaranteed securitizations (in the case of modified loans) or sell the loans to a private investor (in the case of EBO loans). The fair value of these loans is estimated using published forward Ginnie Mae prices or existing sale contracts. 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report all other loans held for sale at the lower of cost or fair value. 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base the fair value of loans for which we have no agreement to sell on the expected future cash flows discounted at a rate commensurate with the risk of the estimated cash flows, as provided by a third-party valuation expert.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measure these loans at fair value based on the expected future cash flows discounted over the expected life of the loans at a rate commensurate with the risk of the estimated cash flows, including future draw commitments for HECM loans purchased or originated after December 31, 2018.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2.2 to 8.1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3.0 to 7.6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 to 29.3%</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for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The models and related assumptions used by the valuation experts are owned and managed by them and, in many cases, the significant inputs used in the valuation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9" w:name="page30"/>
    <w:bookmarkEnd w:id="29"/>
    <w:p>
      <w:pPr>
        <w:jc w:val="both"/>
        <w:ind w:right="180"/>
        <w:spacing w:after="0" w:line="302" w:lineRule="auto"/>
        <w:rPr>
          <w:sz w:val="20"/>
          <w:szCs w:val="20"/>
          <w:color w:val="auto"/>
        </w:rPr>
      </w:pPr>
      <w:r>
        <w:rPr>
          <w:rFonts w:ascii="Arial" w:cs="Arial" w:eastAsia="Arial" w:hAnsi="Arial"/>
          <w:sz w:val="16"/>
          <w:szCs w:val="16"/>
          <w:color w:val="auto"/>
        </w:rPr>
        <w:t>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w w:val="96"/>
              </w:rPr>
              <w:t>Interest rate used for computing the cost of financing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40" w:lineRule="exact"/>
        <w:rPr>
          <w:sz w:val="20"/>
          <w:szCs w:val="20"/>
          <w:color w:val="auto"/>
        </w:rPr>
      </w:pPr>
    </w:p>
    <w:p>
      <w:pPr>
        <w:ind w:left="480" w:hanging="44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32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MSRs are carried at fair value and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24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A change in the valuation inputs utilized by the valuation experts might result in a significantly higher or lower fair value measurement. Changes in market interest rates predominantly impact the fair value for Agency MSRs via prepayment speeds by altering the borrower refinance incentive and the non-Agency MSRs due to impact on advance costs. Other key assumptions used in the valuation of these MSRs include delinquency rates and discount rates.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640"/>
              <w:spacing w:after="0"/>
              <w:rPr>
                <w:sz w:val="20"/>
                <w:szCs w:val="20"/>
                <w:color w:val="auto"/>
              </w:rPr>
            </w:pPr>
            <w:r>
              <w:rPr>
                <w:rFonts w:ascii="Arial" w:cs="Arial" w:eastAsia="Arial" w:hAnsi="Arial"/>
                <w:sz w:val="18"/>
                <w:szCs w:val="18"/>
                <w:b w:val="1"/>
                <w:bCs w:val="1"/>
                <w:color w:val="auto"/>
              </w:rPr>
              <w:t>September 30, 2019</w:t>
            </w:r>
          </w:p>
        </w:tc>
        <w:tc>
          <w:tcPr>
            <w:tcW w:w="3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Non-Agency</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5-year swap plus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7"/>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financing cost</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5-year swap minus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w w:val="96"/>
              </w:rPr>
              <w:t>5-yr swap minus</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297</w:t>
            </w:r>
          </w:p>
        </w:tc>
      </w:tr>
    </w:tbl>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September 30, 2019 given 10% and 20% hypothetical shifts in prepayment speeds and discount rate assumptions: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prepayment speeds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(235,153)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(92,074)</w:t>
            </w:r>
          </w:p>
        </w:tc>
      </w:tr>
    </w:tbl>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September 30, 2019 are increased prepayment speeds and an increase in the yield assumption.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92"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unaudited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2.2 to 8.1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3.0 to 7.6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 to 29.3%</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8" w:right="239" w:bottom="1440" w:gutter="0" w:footer="0" w:header="0"/>
        </w:sectPr>
      </w:pPr>
    </w:p>
    <w:bookmarkStart w:id="31" w:name="page32"/>
    <w:bookmarkEnd w:id="31"/>
    <w:p>
      <w:pPr>
        <w:ind w:right="60"/>
        <w:spacing w:after="0" w:line="264" w:lineRule="auto"/>
        <w:rPr>
          <w:sz w:val="20"/>
          <w:szCs w:val="20"/>
          <w:color w:val="auto"/>
        </w:rPr>
      </w:pPr>
      <w:r>
        <w:rPr>
          <w:rFonts w:ascii="Arial" w:cs="Arial" w:eastAsia="Arial" w:hAnsi="Arial"/>
          <w:sz w:val="18"/>
          <w:szCs w:val="18"/>
          <w:color w:val="auto"/>
        </w:rPr>
        <w:t>measure all MSRs at fair value, changes in the Financing Liability - MSRs Pledged value are partially offset by changes in the fair value of the related MSRs. Changes in the fair value of the financing liability are reported in Interest expense in the unaudited consolidated statements of operations. See Note 10 — Rights to MSRs for additional information.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2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prepayment speed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5-year swap plus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5-year swap plus</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financing cost</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 to 2.00%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 to 2.75%</w:t>
            </w:r>
          </w:p>
        </w:tc>
      </w:tr>
      <w:tr>
        <w:trPr>
          <w:trHeight w:val="229"/>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5-year swap minus</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0"/>
              </w:rPr>
              <w:t>5-year swap minus</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1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 to 0.50%</w:t>
            </w:r>
          </w:p>
        </w:tc>
        <w:tc>
          <w:tcPr>
            <w:tcW w:w="1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 to 0.50%</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234</w:t>
            </w:r>
          </w:p>
        </w:tc>
      </w:tr>
    </w:tbl>
    <w:p>
      <w:pPr>
        <w:spacing w:after="0" w:line="121" w:lineRule="exact"/>
        <w:rPr>
          <w:sz w:val="20"/>
          <w:szCs w:val="20"/>
          <w:color w:val="auto"/>
        </w:rPr>
      </w:pPr>
    </w:p>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Liability – Owed to Securitization Investors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disclosed in Note 4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valuation data obtained from a pricing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base the fair value on quoted prices in a market with limited trading activity, or on valuation data obtained from a pricing service in the absence of trading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We entered into forward MBS trades to provide an economic hedge against changes in the fair value of residential forward and reverse mortgage loans held for sale that we carry at fair value until August 2019 and, beginning in September 2019, to hedge of our net MSR portfolio. Forward contracts are actively traded in the market and we obtain unadjusted market quotes for these derivatives; thus, they are classified within Level 1 of the valuation hierarchy.</w:t>
      </w:r>
    </w:p>
    <w:p>
      <w:pPr>
        <w:spacing w:after="0" w:line="14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 ML, respectively) interest rates. The fair value for interest rate caps is based on counterparty market prices and adjusted for counterparty credit risk.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2" w:name="page33"/>
    <w:bookmarkEnd w:id="32"/>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6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Fair Value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214,262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615,303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671,503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(728,531)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(14,201)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(to):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Loans held for investment, at fair value</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 - Lower of cost or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REO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25,525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fair value of loans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3,925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207,645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145,417</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9820" w:type="dxa"/>
            <w:vAlign w:val="bottom"/>
            <w:gridSpan w:val="4"/>
          </w:tcPr>
          <w:p>
            <w:pPr>
              <w:spacing w:after="0"/>
              <w:rPr>
                <w:sz w:val="20"/>
                <w:szCs w:val="20"/>
                <w:color w:val="auto"/>
              </w:rPr>
            </w:pPr>
            <w:r>
              <w:rPr>
                <w:rFonts w:ascii="Arial" w:cs="Arial" w:eastAsia="Arial" w:hAnsi="Arial"/>
                <w:sz w:val="16"/>
                <w:szCs w:val="16"/>
                <w:color w:val="auto"/>
              </w:rPr>
              <w:t>(1)  At September 30, 2019 and 2018, the ending balances are net of fair value adjustments of $7.4 million and $6.5 million, respectively.</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257,611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563,327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(400,693)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(to):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(78,865)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(118,762)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REO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Loans held for sale - Fair value</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Ending balance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67,934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72,019</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320" w:hanging="332"/>
        <w:spacing w:after="0" w:line="25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September 30, 2019 and 2018, the balances include $58.6 million and $53.0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4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Valuation Allowance - Loans Held for Sale at Lower of Cost</w:t>
            </w: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470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or Fair Value</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Transfer from Liability for indemnification obligations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5"/>
          </w:tcPr>
          <w:p>
            <w:pPr>
              <w:ind w:left="10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on Loans Held for Sale, Net</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sales of loans,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MSRs retained on transfers of forward mortgage 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Fair value gains related to transfers of reverse mortgage loans,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Gain on sale of repurchased Ginnie Mae loans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forward mortgage loans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fair value of IRLCs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(Loss) gain on economic hedge instruments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7 – Advances</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3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and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Taxes and insurance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Foreclosures, bankruptcy, REO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272,641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losses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212,684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vMerge w:val="restart"/>
          </w:tcPr>
          <w:p>
            <w:pPr>
              <w:jc w:val="right"/>
              <w:ind w:right="4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table summarizes the activity in net advances: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211,793</w:t>
            </w:r>
          </w:p>
        </w:tc>
      </w:tr>
      <w:tr>
        <w:trPr>
          <w:trHeight w:val="243"/>
        </w:trPr>
        <w:tc>
          <w:tcPr>
            <w:tcW w:w="8100" w:type="dxa"/>
            <w:vAlign w:val="bottom"/>
          </w:tcPr>
          <w:p>
            <w:pPr>
              <w:ind w:left="160"/>
              <w:spacing w:after="0"/>
              <w:rPr>
                <w:sz w:val="20"/>
                <w:szCs w:val="20"/>
                <w:color w:val="auto"/>
              </w:rPr>
            </w:pPr>
            <w:r>
              <w:rPr>
                <w:rFonts w:ascii="Arial" w:cs="Arial" w:eastAsia="Arial" w:hAnsi="Arial"/>
                <w:sz w:val="18"/>
                <w:szCs w:val="18"/>
                <w:color w:val="auto"/>
              </w:rPr>
              <w:t>Asset acquisitions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of advances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r>
      <w:tr>
        <w:trPr>
          <w:trHeight w:val="243"/>
        </w:trPr>
        <w:tc>
          <w:tcPr>
            <w:tcW w:w="8100" w:type="dxa"/>
            <w:vAlign w:val="bottom"/>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(41,704)</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allowance for losses (1)</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212,684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166,024</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Allowance for Losses</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6,197</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charge-offs and other (1)</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$18.0 million allowance related to sold advances presented in Other liabilities (Liability for indemnification obligations), as of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8 – Match Funded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and interest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305,336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374,853</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Foreclosures, bankruptcy, REO and other</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149,544</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825,760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937,294</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in match funded assets: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Automotive Dealer</w:t>
            </w:r>
          </w:p>
        </w:tc>
      </w:tr>
      <w:tr>
        <w:trPr>
          <w:trHeight w:val="234"/>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Advances</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Advances</w:t>
            </w:r>
          </w:p>
        </w:tc>
        <w:tc>
          <w:tcPr>
            <w:tcW w:w="1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Financing Notes</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Transfer to Other assets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(36,896)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advances (collections),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Decrease in allowance for losses (1)</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2,635</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825,760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935,080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4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remaining allowance was charged off in connection with the exit from the automotive capital services business. In January 2018, we terminated the automotive dealer loan financing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5" w:name="page36"/>
    <w:bookmarkEnd w:id="35"/>
    <w:p>
      <w:pPr>
        <w:ind w:left="1340"/>
        <w:spacing w:after="0"/>
        <w:rPr>
          <w:sz w:val="20"/>
          <w:szCs w:val="20"/>
          <w:color w:val="auto"/>
        </w:rPr>
      </w:pPr>
      <w:r>
        <w:rPr>
          <w:rFonts w:ascii="Arial" w:cs="Arial" w:eastAsia="Arial" w:hAnsi="Arial"/>
          <w:sz w:val="18"/>
          <w:szCs w:val="18"/>
          <w:b w:val="1"/>
          <w:bCs w:val="1"/>
          <w:color w:val="auto"/>
        </w:rPr>
        <w:t>Note 9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September</w:t>
            </w:r>
          </w:p>
        </w:tc>
        <w:tc>
          <w:tcPr>
            <w:tcW w:w="0" w:type="dxa"/>
            <w:vAlign w:val="bottom"/>
          </w:tcPr>
          <w:p>
            <w:pPr>
              <w:spacing w:after="0"/>
              <w:rPr>
                <w:sz w:val="1"/>
                <w:szCs w:val="1"/>
                <w:color w:val="auto"/>
              </w:rPr>
            </w:pPr>
          </w:p>
        </w:tc>
      </w:t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MSRs – Amortization Method</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30, 2018</w:t>
            </w:r>
          </w:p>
        </w:tc>
        <w:tc>
          <w:tcPr>
            <w:tcW w:w="0" w:type="dxa"/>
            <w:vAlign w:val="bottom"/>
          </w:tcPr>
          <w:p>
            <w:pPr>
              <w:spacing w:after="0"/>
              <w:rPr>
                <w:sz w:val="1"/>
                <w:szCs w:val="1"/>
                <w:color w:val="auto"/>
              </w:rPr>
            </w:pPr>
          </w:p>
        </w:tc>
      </w:tr>
      <w:tr>
        <w:trPr>
          <w:trHeight w:val="27"/>
        </w:trPr>
        <w:tc>
          <w:tcPr>
            <w:tcW w:w="9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2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336,882</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election - transfer of MSRs carried at fair value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(361,670)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Decrease in impairment valuation allowance (1) (2)</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24,788</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80" w:hanging="332"/>
        <w:spacing w:after="0" w:line="285"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1"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15"/>
        </w:numPr>
        <w:rPr>
          <w:rFonts w:ascii="Arial" w:cs="Arial" w:eastAsia="Arial" w:hAnsi="Arial"/>
          <w:sz w:val="16"/>
          <w:szCs w:val="16"/>
          <w:color w:val="003300"/>
        </w:rPr>
      </w:pPr>
      <w:r>
        <w:rPr>
          <w:rFonts w:ascii="Arial" w:cs="Arial" w:eastAsia="Arial" w:hAnsi="Arial"/>
          <w:sz w:val="16"/>
          <w:szCs w:val="16"/>
          <w:color w:val="auto"/>
        </w:rPr>
        <w:t>Impairment valuation allowance balance of $24.8 million was reclassified to reduce the carrying value of the related MSRs on January 1, 2018 in connection with our fair value election.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3"/>
              </w:rPr>
              <w:t>MSRs – Fair Value Measurement</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200"/>
              <w:spacing w:after="0"/>
              <w:rPr>
                <w:sz w:val="20"/>
                <w:szCs w:val="20"/>
                <w:color w:val="auto"/>
              </w:rPr>
            </w:pPr>
            <w:r>
              <w:rPr>
                <w:rFonts w:ascii="Arial" w:cs="Arial" w:eastAsia="Arial" w:hAnsi="Arial"/>
                <w:sz w:val="18"/>
                <w:szCs w:val="18"/>
                <w:b w:val="1"/>
                <w:bCs w:val="1"/>
                <w:color w:val="auto"/>
              </w:rPr>
              <w:t>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Non-Agency</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566,898</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1,043,995</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7"/>
              </w:rPr>
              <w:t>Fair value election - transfer from</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w w:val="96"/>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Recognized on the sale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residential mortgage loans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252,293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188,933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(34,792)</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656,010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799,543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1,455,553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409,416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589,866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999,282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33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3"/>
              </w:rPr>
              <w:t>MSRs – Fair Value Measurement</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6"/>
              </w:rPr>
              <w:t>Nine Months Ended September 30,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200"/>
              <w:spacing w:after="0"/>
              <w:rPr>
                <w:sz w:val="20"/>
                <w:szCs w:val="20"/>
                <w:color w:val="auto"/>
              </w:rPr>
            </w:pPr>
            <w:r>
              <w:rPr>
                <w:rFonts w:ascii="Arial" w:cs="Arial" w:eastAsia="Arial" w:hAnsi="Arial"/>
                <w:sz w:val="18"/>
                <w:szCs w:val="18"/>
                <w:b w:val="1"/>
                <w:bCs w:val="1"/>
                <w:color w:val="auto"/>
              </w:rPr>
              <w:t>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660,002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671,962</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7"/>
              </w:rPr>
              <w:t>Fair value election - transfer from</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w w:val="96"/>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336,882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336,882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Recognized on the sale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residential mortgage loans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(235,036)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264,876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18,793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(110,488)</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656,010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799,543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1,455,553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409,416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589,866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999,282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unaudited consolidated statements of operations.</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following table presents the composition of our residential primary servicing and subservicing portfolios as measured by UPB, including foreclosed real estate and small-balance commercial loans. The UPB amounts in the table below are not included on our unaudited consolidated balance sheets.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UPB at September 30,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76,523,660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23,175,607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117,055,517</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216,754,784</w:t>
            </w:r>
          </w:p>
        </w:tc>
        <w:tc>
          <w:tcPr>
            <w:tcW w:w="0" w:type="dxa"/>
            <w:vAlign w:val="bottom"/>
          </w:tcPr>
          <w:p>
            <w:pPr>
              <w:spacing w:after="0"/>
              <w:rPr>
                <w:sz w:val="1"/>
                <w:szCs w:val="1"/>
                <w:color w:val="auto"/>
              </w:rPr>
            </w:pPr>
          </w:p>
        </w:tc>
      </w:tr>
      <w:tr>
        <w:trPr>
          <w:trHeight w:val="67"/>
        </w:trPr>
        <w:tc>
          <w:tcPr>
            <w:tcW w:w="9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UPB at December 31, 2018</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72,378,693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53,104,560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130,517,237</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256,000,490</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UPB at September 30, 2018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68,076,254</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1,387,641</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91,532,579</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160,996,474</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During the nine months ended September 30, 2019, we acquired MSRs on portfolios consisting of 50,421 loans with a UPB of $11.9 billion. During the nine months ended September 30, 2019, we also sold MSRs on portfolios consisting of 435 loans with a UPB of $116.1 million.</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4"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delinquency or cumulative loss thresholds. To date, terminations as servicer as a result of a breach of any of these provisions have been minimal.</w:t>
      </w:r>
    </w:p>
    <w:p>
      <w:pPr>
        <w:spacing w:after="0" w:line="1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At September 30, 2019, the S&amp;P Global Ratings, Inc.’s (S&amp;P) and Fitch Ratings, Inc.’s (Fitch) servicer ratings outlook for PMC is stable.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As a result of our current servicer ratings, termination rights have been triggered in certain of our non-Agency servicing agreements. To date, terminations as servicer as a result of a breach of any of these provisions have been minimal.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servicing and subservicing fees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60,682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52,610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167,720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167,389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Subservicing</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146,567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443,505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374,322</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44,743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Custodial accounts (float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22,063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16,911</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742,759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658,095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60" w:hanging="332"/>
        <w:spacing w:after="0" w:line="26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$2.1 billion, $1.7 billion and $1.7 billion at September 30, 2019, December 31, 2018 and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10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4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Ocwen and PMC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do not qualify as a sale and are accounted for as secured financings. As a result, we continue to recognize the MSRs and related financing liability on our consolidated balance sheets, as well as the full amount of servicing revenue and changes in the fair value of the MSRs and related financing liability in our consolidated statements of operations. Changes in fair value of the Rights to MSRs are recognized in MSR valuation adjustments, net in the unaudited consolidated statements of operations. Changes in fair value of the MSR related financing liability are reported in Interest expense.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8" w:name="page39"/>
    <w:bookmarkEnd w:id="38"/>
    <w:p>
      <w:pPr>
        <w:ind w:right="120" w:firstLine="324"/>
        <w:spacing w:after="0" w:line="277" w:lineRule="auto"/>
        <w:rPr>
          <w:sz w:val="20"/>
          <w:szCs w:val="20"/>
          <w:color w:val="auto"/>
        </w:rPr>
      </w:pPr>
      <w:r>
        <w:rPr>
          <w:rFonts w:ascii="Arial" w:cs="Arial" w:eastAsia="Arial" w:hAnsi="Arial"/>
          <w:sz w:val="18"/>
          <w:szCs w:val="18"/>
          <w:color w:val="auto"/>
        </w:rPr>
        <w:t>The following tables present selected assets and liabilities recorded on our unaudited consolidated balance sheets as well as the impacts to our unaudited consolidated statements of operations in connection with our NRZ agreements.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925,507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894,002</w:t>
            </w:r>
          </w:p>
        </w:tc>
      </w:tr>
      <w:tr>
        <w:trPr>
          <w:trHeight w:val="230"/>
        </w:trPr>
        <w:tc>
          <w:tcPr>
            <w:tcW w:w="8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NRZ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Sales and transfers of MSRs (1)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23,757</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funding, subservicing fees and reimbursable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30,845</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33,146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54,602</w:t>
            </w:r>
          </w:p>
        </w:tc>
      </w:tr>
      <w:tr>
        <w:trPr>
          <w:trHeight w:val="67"/>
        </w:trPr>
        <w:tc>
          <w:tcPr>
            <w:tcW w:w="8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10"/>
        </w:trPr>
        <w:tc>
          <w:tcPr>
            <w:tcW w:w="8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NRZ (Other liabilities)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63,304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53,001</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Financing liability - MSRs pledged, at fair value</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436,511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2017 Agreements and New RMSR Agreements (2)</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61,445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138,854</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PMC MSR Agreements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457,491</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986,952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1,032,856</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5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Balance represents the holdback of proceeds from PMC MSR sales and transfers to address indemnification claims and mortgage loan document deficiencies. These sales were executed by PMC prior to the acquisition date.</w:t>
      </w:r>
    </w:p>
    <w:p>
      <w:pPr>
        <w:spacing w:after="0" w:line="1" w:lineRule="exact"/>
        <w:rPr>
          <w:rFonts w:ascii="Arial" w:cs="Arial" w:eastAsia="Arial" w:hAnsi="Arial"/>
          <w:sz w:val="16"/>
          <w:szCs w:val="16"/>
          <w:color w:val="auto"/>
        </w:rPr>
      </w:pPr>
    </w:p>
    <w:p>
      <w:pPr>
        <w:ind w:left="340" w:right="300" w:hanging="332"/>
        <w:spacing w:after="0" w:line="25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$104.7 million and $34.1 million is expected to be recognized as a reduction in the financing liability and interest expense for the years ended December 31, 2019 and 2020,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Servicing fees collected on behalf of NRZ</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146,567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120,593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443,505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374,322</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101,997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servicing fees remitted to NRZ</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87,258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334,731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272,325</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PMC MSR Agreements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111,034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 and settlement: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76,087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103,390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PMC MSR Agreements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154,129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256,416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36,717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303,301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111,256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6"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016"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2017 Agreements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Original Rights to</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New RMSR</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PMC 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Financing Liability - MSRs Pledged</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MSRs Agreements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Agreements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1,032,856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1,221</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Changes in fair value:</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230,193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4,562</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PMC 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(111,034)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 and settlement:</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(76,087)</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PMC 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Calls (1):</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(5,884)</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627,287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298,220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986,952</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2017 Agreements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rPr>
              <w:t>Original Rights to</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New RMSR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Financing Liability - MSRs Pledged</w:t>
            </w:r>
          </w:p>
        </w:tc>
        <w:tc>
          <w:tcPr>
            <w:tcW w:w="1720" w:type="dxa"/>
            <w:vAlign w:val="bottom"/>
            <w:gridSpan w:val="3"/>
          </w:tcPr>
          <w:p>
            <w:pPr>
              <w:ind w:left="100"/>
              <w:spacing w:after="0"/>
              <w:rPr>
                <w:sz w:val="20"/>
                <w:szCs w:val="20"/>
                <w:color w:val="auto"/>
              </w:rPr>
            </w:pPr>
            <w:r>
              <w:rPr>
                <w:rFonts w:ascii="Arial" w:cs="Arial" w:eastAsia="Arial" w:hAnsi="Arial"/>
                <w:sz w:val="18"/>
                <w:szCs w:val="18"/>
                <w:b w:val="1"/>
                <w:bCs w:val="1"/>
                <w:color w:val="auto"/>
              </w:rPr>
              <w:t>MSRs Agreements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508,291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Receipt of lump-sum cash payments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279,586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3,938</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Runoff and settlement:</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(103,390)</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Calls (1):</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450,845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620,199</w:t>
            </w: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200" w:hanging="332"/>
        <w:spacing w:after="0" w:line="26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Transactions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154"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w:t>
      </w:r>
    </w:p>
    <w:p>
      <w:pPr>
        <w:sectPr>
          <w:pgSz w:w="11900" w:h="16838" w:orient="portrait"/>
          <w:cols w:equalWidth="0" w:num="1">
            <w:col w:w="11420"/>
          </w:cols>
          <w:pgMar w:left="240" w:top="85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850" w:right="239" w:bottom="1440" w:gutter="0" w:footer="0" w:header="0"/>
          <w:type w:val="continuous"/>
        </w:sectPr>
      </w:pPr>
    </w:p>
    <w:bookmarkStart w:id="40" w:name="page41"/>
    <w:bookmarkEnd w:id="40"/>
    <w:p>
      <w:pPr>
        <w:ind w:right="240"/>
        <w:spacing w:after="0" w:line="279" w:lineRule="auto"/>
        <w:rPr>
          <w:sz w:val="20"/>
          <w:szCs w:val="20"/>
          <w:color w:val="auto"/>
        </w:rPr>
      </w:pPr>
      <w:r>
        <w:rPr>
          <w:rFonts w:ascii="Arial" w:cs="Arial" w:eastAsia="Arial" w:hAnsi="Arial"/>
          <w:sz w:val="17"/>
          <w:szCs w:val="17"/>
          <w:color w:val="auto"/>
        </w:rPr>
        <w:t>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of five years (the Initial Term).</w:t>
      </w:r>
    </w:p>
    <w:p>
      <w:pPr>
        <w:spacing w:after="0" w:line="17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Upon receiving the required consents and transferring the MSRs, Ocwen will subservice the mortgage loans underlying the MSRs pursuant to the 2017 Agreements.</w:t>
      </w:r>
    </w:p>
    <w:p>
      <w:pPr>
        <w:spacing w:after="0" w:line="4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 We recognized the cash received as a financing liability that we are accounting for at fair value through the remaining term of the original agreements (April 2020). Changes in fair value are recognized in Interest expense in the unaudited consolidated statements of operations.</w:t>
      </w:r>
    </w:p>
    <w:p>
      <w:pPr>
        <w:spacing w:after="0" w:line="8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August 17, 2018, Ocwen and NRZ entered into certain amendments (i) to the New RMSR Agreements to include NewRez, LLC dba Shellpoint Mortgage Servicing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of September 30, 2019, the UPB of MSRs for which legal title has not transferred to NRZ is $19.2 billion. In the event the required third-party consents were not obtained by May 31, 2019, and in accordance with the process set forth in, the New RMSR Agreements, such MSRs would either: (i) remain subject to the New RMSR Agreements at the option of NRZ, (ii) be acquired by Ocwen at a price determined in accordance with the terms of the New RMSR Agreements at the option of Ocwen, or (iii) be sold to a third party in accordance with the terms of the New RMSR Agreements, subject to an additional Ocwen option to acquire at a price based on the winning third-party bid rather than selling to the third party. NRZ did not exercise its option to designate the remaining MSRs to continue to be subject to the New RMSR Agreements. Ocwen and NRZ are in discussions regarding the information needed for Ocwen to assess whether or not it will exercise its option under (ii) above to acquire all or some of the MSRs that currently remain in the New RMSR Agreements, or what other arrangements will be made with respect to these remaining MSRs.</w:t>
      </w:r>
    </w:p>
    <w:p>
      <w:pPr>
        <w:spacing w:after="0" w:line="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At any time during the Initial Term, NRZ may terminate the Subservicing Agreements and Servicing Addendum for convenience, subject to Ocwen’s right to receive a termination fee and proper notice. The termination fee is calculated as specified in the Subservicing Agreements and Servicing Addendum, and is a discounted percentage of the expected revenues that would be owed to Ocwen over the remaining life of the contract based on certain portfolio run off assumptions.</w:t>
      </w:r>
    </w:p>
    <w:p>
      <w:pPr>
        <w:spacing w:after="0" w:line="18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agreement)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193" w:lineRule="exact"/>
        <w:rPr>
          <w:sz w:val="20"/>
          <w:szCs w:val="20"/>
          <w:color w:val="auto"/>
        </w:rPr>
      </w:pPr>
    </w:p>
    <w:p>
      <w:pPr>
        <w:ind w:right="300" w:firstLine="324"/>
        <w:spacing w:after="0" w:line="232" w:lineRule="auto"/>
        <w:rPr>
          <w:sz w:val="20"/>
          <w:szCs w:val="20"/>
          <w:color w:val="auto"/>
        </w:rPr>
      </w:pPr>
      <w:r>
        <w:rPr>
          <w:rFonts w:ascii="Arial" w:cs="Arial" w:eastAsia="Arial" w:hAnsi="Arial"/>
          <w:sz w:val="18"/>
          <w:szCs w:val="18"/>
          <w:color w:val="auto"/>
        </w:rPr>
        <w:t>Under the terms of the Subservicing Agreements and Servicing Addendum, in addition to a base servicing fee, Ocwen will continue to receive certain ancillary fees, primarily late fees, loan modification fees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We may also receive certain incentive fees or pay penalties tied to various contractual performance metrics. NRZ will receive all float earnings and deferred servicing fees related to delinquent borrower payments, as well as be entitled to receive certain REO related income including REO referral commissions.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PMC Transactions</w:t>
      </w:r>
    </w:p>
    <w:p>
      <w:pPr>
        <w:spacing w:after="0" w:line="12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On December 28, 2016, PMC entered into an agreement to sell substantially all of its MSRs, and the related servicing advances, to New Residential Mortgage LLC, a wholly-owned subsidiary of NRZ. In connection with this agreement, on December 28, 2016, PMC also entered into a subservicing agreement with NRZ (collectively, the PMC MSR Agreements). The PMC subservicing agreement has an initial term of three years from the initial transaction date of June 16, 2017, subject to certain transfer and termination provisions.</w:t>
      </w:r>
    </w:p>
    <w:p>
      <w:pPr>
        <w:spacing w:after="0" w:line="79"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The PMC subservicing arrangement generates revenue based on a schedule of fees per loan per month that includes revenue adjustments for delinquent loans to cover the incremental cost associated with servicing such loans. As of September 30, 2019, Ocwen serviced 289,272 loans under this arrangement and recorded servicing fee revenues for the three and nine months ended September 30, 2019 of $7.5 million and $21.6 million, respectively.</w:t>
      </w:r>
    </w:p>
    <w:p>
      <w:pPr>
        <w:spacing w:after="0" w:line="39"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Through its acquisition of PHH on October 4, 2018, Ocwen added MSRs with $42.3 billion UPB related to the PMC MSR Agreements. As of September 30, 2019, $2.8 billion in UPB of MSRs and related advances remain to be sold to NRZ under the PMC MSR Agreements pending receipt of required third-party consents. Ocwen and NRZ are in discussions regarding the disposition of these remaining assets.</w:t>
      </w:r>
    </w:p>
    <w:p>
      <w:pPr>
        <w:spacing w:after="0" w:line="166"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At any time during each of the second and third years of the initial term, and subject to the payment of the applicable deboarding fee and proper notice, NRZ may terminate an amount not to exceed 25% of the underlying mortgage loans being subserviced under the PMC subservicing agreement. The PMC subservicing agreement automatically renews for successive one-year terms unless either party provides prior notice of termination in accordance with the PMC subservicing agreement. NRZ and PMC each have the ability to terminate the subservicing agreement for cause if certain specified conditions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11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Government-insured loan claims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95,939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105,258</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NRZ:</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Sales and transfers of MSRs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23,757</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funding, subservicing fees and reimbursable expenses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11,508</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custodial accounts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7,754</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37,504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45,987</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17,672</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206,996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251,841</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losses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(53,579)</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152,222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198,262</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40" w:firstLine="324"/>
        <w:spacing w:after="0" w:line="286" w:lineRule="auto"/>
        <w:rPr>
          <w:sz w:val="20"/>
          <w:szCs w:val="20"/>
          <w:color w:val="auto"/>
        </w:rPr>
      </w:pPr>
      <w:r>
        <w:rPr>
          <w:rFonts w:ascii="Arial" w:cs="Arial" w:eastAsia="Arial" w:hAnsi="Arial"/>
          <w:sz w:val="17"/>
          <w:szCs w:val="17"/>
          <w:color w:val="auto"/>
        </w:rPr>
        <w:t>At September 30, 2019 and December 31, 2018, the allowance for losses relates to receivables of our Servicing business. Allowance for losses related to defaulted FHA- or VA-insured loans repurchased from Ginnie Mae guaranteed securitizations and not subsequently sold to third-party investors (government-insured loan claims) was $53.2 million and $52.5 million at September 30, 2019 and December 31, 2018,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w w:val="94"/>
              </w:rPr>
              <w:t>Allowance for Losses - Government-Insured Loan Claims</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53,340</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29,214</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 and other, net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(29,516)</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53,175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53,175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53,038</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12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asset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lender fees, net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 net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at fair value</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Security deposits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Interest-earning time deposits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513,449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379,567</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81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3" w:name="page44"/>
    <w:bookmarkEnd w:id="43"/>
    <w:p>
      <w:pPr>
        <w:ind w:left="1340"/>
        <w:spacing w:after="0"/>
        <w:rPr>
          <w:sz w:val="20"/>
          <w:szCs w:val="20"/>
          <w:color w:val="auto"/>
        </w:rPr>
      </w:pPr>
      <w:r>
        <w:rPr>
          <w:rFonts w:ascii="Arial" w:cs="Arial" w:eastAsia="Arial" w:hAnsi="Arial"/>
          <w:sz w:val="18"/>
          <w:szCs w:val="18"/>
          <w:b w:val="1"/>
          <w:bCs w:val="1"/>
          <w:color w:val="auto"/>
        </w:rPr>
        <w:t>Note 13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34290</wp:posOffset>
            </wp:positionV>
            <wp:extent cx="6414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Match Funded Liabilities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4"/>
            <w:vMerge w:val="restart"/>
          </w:tcPr>
          <w:p>
            <w:pPr>
              <w:jc w:val="right"/>
              <w:ind w:right="310"/>
              <w:spacing w:after="0"/>
              <w:rPr>
                <w:sz w:val="20"/>
                <w:szCs w:val="20"/>
                <w:color w:val="auto"/>
              </w:rPr>
            </w:pPr>
            <w:r>
              <w:rPr>
                <w:rFonts w:ascii="Arial" w:cs="Arial" w:eastAsia="Arial" w:hAnsi="Arial"/>
                <w:sz w:val="18"/>
                <w:szCs w:val="18"/>
                <w:b w:val="1"/>
                <w:bCs w:val="1"/>
                <w:color w:val="auto"/>
              </w:rPr>
              <w:t>September 30, 2019</w:t>
            </w:r>
          </w:p>
        </w:tc>
        <w:tc>
          <w:tcPr>
            <w:tcW w:w="120" w:type="dxa"/>
            <w:vAlign w:val="bottom"/>
          </w:tcPr>
          <w:p>
            <w:pPr>
              <w:spacing w:after="0"/>
              <w:rPr>
                <w:sz w:val="20"/>
                <w:szCs w:val="20"/>
                <w:color w:val="auto"/>
              </w:rPr>
            </w:pPr>
          </w:p>
        </w:tc>
        <w:tc>
          <w:tcPr>
            <w:tcW w:w="232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Amorti-</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Available</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zation Date</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Borrowing</w:t>
            </w: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840"/>
              <w:spacing w:after="0"/>
              <w:rPr>
                <w:sz w:val="20"/>
                <w:szCs w:val="20"/>
                <w:color w:val="auto"/>
              </w:rPr>
            </w:pPr>
            <w:r>
              <w:rPr>
                <w:rFonts w:ascii="Arial" w:cs="Arial" w:eastAsia="Arial" w:hAnsi="Arial"/>
                <w:sz w:val="18"/>
                <w:szCs w:val="18"/>
                <w:b w:val="1"/>
                <w:bCs w:val="1"/>
                <w:color w:val="auto"/>
              </w:rPr>
              <w:t>Borrowing Type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Capacity (2)</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Advance Financing 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3"/>
              </w:rPr>
              <w:t>Advance Receivables Backed Notes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40"/>
              <w:spacing w:after="0"/>
              <w:rPr>
                <w:sz w:val="20"/>
                <w:szCs w:val="20"/>
                <w:color w:val="auto"/>
              </w:rPr>
            </w:pPr>
            <w:r>
              <w:rPr>
                <w:rFonts w:ascii="Arial" w:cs="Arial" w:eastAsia="Arial" w:hAnsi="Arial"/>
                <w:sz w:val="18"/>
                <w:szCs w:val="18"/>
                <w:color w:val="auto"/>
              </w:rPr>
              <w:t>- Series 2015-VF5 (4)</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2049</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195,451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216,559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Advance Receivables Backed Notes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Series 2016-T2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2049</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2019</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Advance Receivables Backed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40"/>
              <w:spacing w:after="0"/>
              <w:rPr>
                <w:sz w:val="20"/>
                <w:szCs w:val="20"/>
                <w:color w:val="auto"/>
              </w:rPr>
            </w:pPr>
            <w:r>
              <w:rPr>
                <w:rFonts w:ascii="Arial" w:cs="Arial" w:eastAsia="Arial" w:hAnsi="Arial"/>
                <w:sz w:val="18"/>
                <w:szCs w:val="18"/>
                <w:color w:val="auto"/>
              </w:rPr>
              <w:t>Notes, Series 2018-T1 (5)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2049</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2019</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Advance Receivables Backed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Notes, Series 2018-T2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2050</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2020</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Advance Receivables Backed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40"/>
              <w:spacing w:after="0"/>
              <w:rPr>
                <w:sz w:val="20"/>
                <w:szCs w:val="20"/>
                <w:color w:val="auto"/>
              </w:rPr>
            </w:pPr>
            <w:r>
              <w:rPr>
                <w:rFonts w:ascii="Arial" w:cs="Arial" w:eastAsia="Arial" w:hAnsi="Arial"/>
                <w:sz w:val="18"/>
                <w:szCs w:val="18"/>
                <w:color w:val="auto"/>
              </w:rPr>
              <w:t>Notes, Series 2019-T1 (5)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2050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2020</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Advance Receivables Backed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Notes, Series 2019-T2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2051</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2021</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285,000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8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440"/>
              <w:spacing w:after="0"/>
              <w:rPr>
                <w:sz w:val="20"/>
                <w:szCs w:val="20"/>
                <w:color w:val="auto"/>
              </w:rPr>
            </w:pPr>
            <w:r>
              <w:rPr>
                <w:rFonts w:ascii="Arial" w:cs="Arial" w:eastAsia="Arial" w:hAnsi="Arial"/>
                <w:sz w:val="18"/>
                <w:szCs w:val="18"/>
                <w:b w:val="1"/>
                <w:bCs w:val="1"/>
                <w:color w:val="auto"/>
              </w:rPr>
              <w:t>Receivables Trust (OMART)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29,549</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665,451</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751,559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Ocwen Freddie Advance Funding</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 xml:space="preserve">(OFAF) - </w:t>
            </w:r>
            <w:r>
              <w:rPr>
                <w:rFonts w:ascii="Arial" w:cs="Arial" w:eastAsia="Arial" w:hAnsi="Arial"/>
                <w:sz w:val="18"/>
                <w:szCs w:val="18"/>
                <w:color w:val="auto"/>
              </w:rPr>
              <w:t>Advance Receivables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Backed Notes, Series 2015-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VF1 (6)</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 2050</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Jun. 2020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37,954</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22,046</w:t>
            </w:r>
          </w:p>
        </w:tc>
        <w:tc>
          <w:tcPr>
            <w:tcW w:w="1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67,503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687,497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778,284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320" w:hanging="332"/>
        <w:spacing w:after="0" w:line="25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Borrowing capacity under the OMART and OFAF facilities is available to us provided that we have sufficient eligible collateral to pledge in accordance with their respective terms. At September 30, 2019, none of the available borrowing capacity of our advance financing notes could be used based on the amount of eligible collateral that had been pledged.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1ML was 2.02% and 2.50% at September 30, 2019 and December 31, 2018, respectively.</w:t>
      </w:r>
    </w:p>
    <w:p>
      <w:pPr>
        <w:spacing w:after="0" w:line="5" w:lineRule="exact"/>
        <w:rPr>
          <w:rFonts w:ascii="Arial" w:cs="Arial" w:eastAsia="Arial" w:hAnsi="Arial"/>
          <w:sz w:val="16"/>
          <w:szCs w:val="16"/>
          <w:color w:val="auto"/>
        </w:rPr>
      </w:pPr>
    </w:p>
    <w:p>
      <w:pPr>
        <w:ind w:left="340" w:right="5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total borrowing capacity of the Series 2015-VF5 variable notes is $225.0 million, with interest computed based on the lender’s cost of funds plus a margin. At September 30, 2019, the weighted average interest margin was 135 bps.</w:t>
      </w:r>
    </w:p>
    <w:p>
      <w:pPr>
        <w:ind w:left="340" w:right="120" w:hanging="332"/>
        <w:spacing w:after="0" w:line="28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August 14, 2019, we issued two fixed-rate term notes of $185.0 million (Series 2019 T-1) and $285.0 million (Series 2019-T2) with amortization dates of August 17, 2020 and August 16, 2021, respectively, for a total combined borrowing capacity of $470.0 million. The weighted average rate of the notes is 2.57% with rates on the individual classes of notes ranging from 2.42% to 4.44%. The Series 2016-T2, 2018-T1 and 2018-T2 fixed-rate term notes were all redeemed on August 15, 2019.</w:t>
      </w:r>
    </w:p>
    <w:p>
      <w:pPr>
        <w:spacing w:after="0" w:line="1"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June 6, 2019, we renewed this facility through June 5, 2020 and borrowing capacity was reduced from $65.0 million to $60.0 million with interest computed based on the lender’s cost of funds plus a margin. At September 30, 2019, the weighted average interest margin was 157 bps.</w:t>
      </w:r>
    </w:p>
    <w:p>
      <w:pPr>
        <w:spacing w:after="0" w:line="7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As of September 30, 2019, we were the servicer of Rights to MSRs sold to NRZ pertaining to $19.2 billion in UPB, which excludes those Rights to MSRs where legal title has transferred to NRZ. NRZ’s associated outstanding servicing advances as of such date were approximately $694.6 million. Should NRZ’s advance financing facilities fail to perform as envisaged or should NRZ otherwise be unable to meet its advance funding obligations, our liquidity, financial condition and business could be materially and adversely affected. See Note 10 — Rights to MSRs for additional information.</w:t>
      </w:r>
    </w:p>
    <w:p>
      <w:pPr>
        <w:spacing w:after="0" w:line="7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w:t>
      </w:r>
    </w:p>
    <w:p>
      <w:pPr>
        <w:sectPr>
          <w:pgSz w:w="11900" w:h="16838" w:orient="portrait"/>
          <w:cols w:equalWidth="0" w:num="1">
            <w:col w:w="11400"/>
          </w:cols>
          <w:pgMar w:left="240" w:top="117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175" w:right="259" w:bottom="1440" w:gutter="0" w:footer="0" w:header="0"/>
          <w:type w:val="continuous"/>
        </w:sectPr>
      </w:pPr>
    </w:p>
    <w:bookmarkStart w:id="44" w:name="page45"/>
    <w:bookmarkEnd w:id="44"/>
    <w:p>
      <w:pPr>
        <w:ind w:right="600"/>
        <w:spacing w:after="0" w:line="277" w:lineRule="auto"/>
        <w:rPr>
          <w:sz w:val="20"/>
          <w:szCs w:val="20"/>
          <w:color w:val="auto"/>
        </w:rPr>
      </w:pPr>
      <w:r>
        <w:rPr>
          <w:rFonts w:ascii="Arial" w:cs="Arial" w:eastAsia="Arial" w:hAnsi="Arial"/>
          <w:sz w:val="18"/>
          <w:szCs w:val="18"/>
          <w:color w:val="auto"/>
        </w:rPr>
        <w:t>make certain representations, warranties and covenants, including representations and warranties in connection with advances subsequently sold to, or reimbursed by, NRZ.</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1480"/>
              <w:spacing w:after="0"/>
              <w:rPr>
                <w:sz w:val="20"/>
                <w:szCs w:val="20"/>
                <w:color w:val="auto"/>
              </w:rPr>
            </w:pPr>
            <w:r>
              <w:rPr>
                <w:rFonts w:ascii="Arial" w:cs="Arial" w:eastAsia="Arial" w:hAnsi="Arial"/>
                <w:sz w:val="18"/>
                <w:szCs w:val="18"/>
                <w:b w:val="1"/>
                <w:bCs w:val="1"/>
                <w:color w:val="auto"/>
              </w:rPr>
              <w:t>Borrowing Type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HMBS-Related Borrowings, at fair value (1)</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1ML + 260</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vMerge w:val="continue"/>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investment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5,903,965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5,380,448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MSRs pledged (Rights to MSRs), at fair value: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Original Rights to MSRs Agreements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627,287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436,511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138,854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PMC MSR Agreements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298,220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457,491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986,952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1,032,856</w:t>
            </w:r>
          </w:p>
        </w:tc>
        <w:tc>
          <w:tcPr>
            <w:tcW w:w="0" w:type="dxa"/>
            <w:vAlign w:val="bottom"/>
          </w:tcPr>
          <w:p>
            <w:pPr>
              <w:spacing w:after="0"/>
              <w:rPr>
                <w:sz w:val="1"/>
                <w:szCs w:val="1"/>
                <w:color w:val="auto"/>
              </w:rPr>
            </w:pPr>
          </w:p>
        </w:tc>
      </w:tr>
      <w:tr>
        <w:trPr>
          <w:trHeight w:val="209"/>
        </w:trPr>
        <w:tc>
          <w:tcPr>
            <w:tcW w:w="4360" w:type="dxa"/>
            <w:vAlign w:val="bottom"/>
            <w:gridSpan w:val="2"/>
          </w:tcPr>
          <w:p>
            <w:pPr>
              <w:ind w:left="160"/>
              <w:spacing w:after="0"/>
              <w:rPr>
                <w:sz w:val="20"/>
                <w:szCs w:val="20"/>
                <w:color w:val="auto"/>
              </w:rPr>
            </w:pPr>
            <w:r>
              <w:rPr>
                <w:rFonts w:ascii="Arial" w:cs="Arial" w:eastAsia="Arial" w:hAnsi="Arial"/>
                <w:sz w:val="18"/>
                <w:szCs w:val="18"/>
                <w:color w:val="auto"/>
                <w:w w:val="95"/>
              </w:rPr>
              <w:t>Secured Notes, Ocwen Asset Servicing Income Series,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320"/>
              <w:spacing w:after="0"/>
              <w:rPr>
                <w:sz w:val="20"/>
                <w:szCs w:val="20"/>
                <w:color w:val="auto"/>
              </w:rPr>
            </w:pPr>
            <w:r>
              <w:rPr>
                <w:rFonts w:ascii="Arial" w:cs="Arial" w:eastAsia="Arial" w:hAnsi="Arial"/>
                <w:sz w:val="18"/>
                <w:szCs w:val="18"/>
                <w:color w:val="auto"/>
              </w:rPr>
              <w:t>Series 2014-1 (5)</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2028</w:t>
            </w:r>
          </w:p>
        </w:tc>
        <w:tc>
          <w:tcPr>
            <w:tcW w:w="4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59,815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65,523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Financing liability - Owed to securitization investors, at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fair value:</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IndyMac Mortgage Loan Trust (INDX 2004-AR11)</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Loans held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4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investment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11,012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Residential Asset Securitization Trust 2003-A11</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Loans held for</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(RAST 2003-A11) (6)</w:t>
            </w:r>
          </w:p>
        </w:tc>
        <w:tc>
          <w:tcPr>
            <w:tcW w:w="12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investment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13,803</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22,827</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Advances 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Advances pledged (7)</w:t>
            </w:r>
          </w:p>
        </w:tc>
        <w:tc>
          <w:tcPr>
            <w:tcW w:w="12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loans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1,069,594</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1,127,613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6,973,559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6,508,061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480" w:hanging="332"/>
        <w:spacing w:after="0" w:line="25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1"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340" w:right="180" w:hanging="332"/>
        <w:spacing w:after="0" w:line="263"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$54.6 million of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 estimated future cash flows. The expected maturity of the liability is April 30, 2020, the date through which we were scheduled to be the servicer on loans underlying the Rights to MSRs per the Original Rights to MSRs Agreements.</w:t>
      </w:r>
    </w:p>
    <w:p>
      <w:pPr>
        <w:ind w:left="340" w:right="36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 liability for sales of MSRs that are accounted for as a secured borrowing which we assumed in connection with the acquisition of PHH. Under this accounting treatment, the MSRs transferred to NRZ remain on the consolidated balance sheet and the proceeds from the sale are recognized as a secured liability. We elected to record the liability at fair value consistent with the related MSRs.</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340" w:right="20" w:hanging="332"/>
        <w:spacing w:after="0" w:line="268"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unaudited consolidated financial statements, as more fully described in Note 4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3.70% and 4.24% at September 30, 2019.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5" w:name="page46"/>
    <w:bookmarkEnd w:id="45"/>
    <w:p>
      <w:pPr>
        <w:ind w:left="340" w:right="240" w:hanging="332"/>
        <w:spacing w:after="0" w:line="27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3"/>
          </w:tcPr>
          <w:p>
            <w:pPr>
              <w:ind w:left="640"/>
              <w:spacing w:after="0"/>
              <w:rPr>
                <w:sz w:val="20"/>
                <w:szCs w:val="20"/>
                <w:color w:val="auto"/>
              </w:rPr>
            </w:pPr>
            <w:r>
              <w:rPr>
                <w:rFonts w:ascii="Arial" w:cs="Arial" w:eastAsia="Arial" w:hAnsi="Arial"/>
                <w:sz w:val="18"/>
                <w:szCs w:val="18"/>
                <w:b w:val="1"/>
                <w:bCs w:val="1"/>
                <w:color w:val="auto"/>
                <w:w w:val="88"/>
              </w:rPr>
              <w:t>Outstanding Balance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1"/>
              </w:rPr>
              <w:t>Available</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Termination /</w:t>
            </w:r>
          </w:p>
        </w:tc>
        <w:tc>
          <w:tcPr>
            <w:tcW w:w="140" w:type="dxa"/>
            <w:vAlign w:val="bottom"/>
          </w:tcPr>
          <w:p>
            <w:pPr>
              <w:spacing w:after="0"/>
              <w:rPr>
                <w:sz w:val="18"/>
                <w:szCs w:val="18"/>
                <w:color w:val="auto"/>
              </w:rPr>
            </w:pPr>
          </w:p>
        </w:tc>
        <w:tc>
          <w:tcPr>
            <w:tcW w:w="12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3"/>
              </w:rPr>
              <w:t>Borrowing</w:t>
            </w: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60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4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Capacity (1)</w:t>
            </w: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rate + 500 bps with</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SSTL (2)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 Eurodollar floor of</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gridSpan w:val="2"/>
            <w:vMerge w:val="continue"/>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100 bps (2)</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332,426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231,500</w:t>
            </w:r>
          </w:p>
        </w:tc>
        <w:tc>
          <w:tcPr>
            <w:tcW w:w="0" w:type="dxa"/>
            <w:vAlign w:val="bottom"/>
          </w:tcPr>
          <w:p>
            <w:pPr>
              <w:spacing w:after="0"/>
              <w:rPr>
                <w:sz w:val="1"/>
                <w:szCs w:val="1"/>
                <w:color w:val="auto"/>
              </w:rPr>
            </w:pPr>
          </w:p>
        </w:tc>
      </w:tr>
      <w:tr>
        <w:trPr>
          <w:trHeight w:val="205"/>
        </w:trPr>
        <w:tc>
          <w:tcPr>
            <w:tcW w:w="256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Mortgage loan warehouse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200"/>
              <w:spacing w:after="0"/>
              <w:rPr>
                <w:sz w:val="20"/>
                <w:szCs w:val="20"/>
                <w:color w:val="auto"/>
              </w:rPr>
            </w:pPr>
            <w:r>
              <w:rPr>
                <w:rFonts w:ascii="Arial" w:cs="Arial" w:eastAsia="Arial" w:hAnsi="Arial"/>
                <w:sz w:val="18"/>
                <w:szCs w:val="18"/>
                <w:b w:val="1"/>
                <w:bCs w:val="1"/>
                <w:color w:val="auto"/>
              </w:rPr>
              <w:t>facilities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Master repurchase agreement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Loans held for</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1ML + 195 - 300</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sale (LHFS)</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bps</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 2020</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109,039</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74,693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 2019</w:t>
            </w:r>
          </w:p>
        </w:tc>
        <w:tc>
          <w:tcPr>
            <w:tcW w:w="140" w:type="dxa"/>
            <w:vAlign w:val="bottom"/>
          </w:tcPr>
          <w:p>
            <w:pPr>
              <w:spacing w:after="0"/>
              <w:rPr>
                <w:sz w:val="21"/>
                <w:szCs w:val="21"/>
                <w:color w:val="auto"/>
              </w:rPr>
            </w:pPr>
          </w:p>
        </w:tc>
        <w:tc>
          <w:tcPr>
            <w:tcW w:w="128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42,331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1ML + 250 bps;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1ML floor of 350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mortgages)</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bps</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2020</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19,149</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(forward and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+ 225 bps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Arial" w:cs="Arial" w:eastAsia="Arial" w:hAnsi="Arial"/>
                <w:sz w:val="18"/>
                <w:szCs w:val="18"/>
                <w:color w:val="auto"/>
                <w:w w:val="97"/>
              </w:rPr>
              <w:t>Master repurchase agreement</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reverse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forward; 1ML + 275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bps reverse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2019</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101,067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98,933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30,680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LHFS (reverse</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Prime + 0.0% (4.0%</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Participation agreement (7)</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floor)</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Jan. 2020</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tcPr>
          <w:p>
            <w:pPr>
              <w:ind w:left="180"/>
              <w:spacing w:after="0"/>
              <w:rPr>
                <w:sz w:val="20"/>
                <w:szCs w:val="20"/>
                <w:color w:val="auto"/>
              </w:rPr>
            </w:pPr>
            <w:r>
              <w:rPr>
                <w:rFonts w:ascii="Arial" w:cs="Arial" w:eastAsia="Arial" w:hAnsi="Arial"/>
                <w:sz w:val="18"/>
                <w:szCs w:val="18"/>
                <w:color w:val="auto"/>
                <w:w w:val="97"/>
              </w:rPr>
              <w:t>Master repurchase agreement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1ML + 170bps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28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Participation agreement (9)</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 2020</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12,080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243,198</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155,713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Agency MSR financing facility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MSRs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1ML + 300bps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2020</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137,612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263,455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713,236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387,213</w:t>
            </w: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Unamortized debt issuance costs - SSTL</w:t>
            </w: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line="20" w:lineRule="exact"/>
              <w:rPr>
                <w:sz w:val="1"/>
                <w:szCs w:val="1"/>
                <w:color w:val="auto"/>
              </w:rPr>
            </w:pPr>
          </w:p>
        </w:tc>
      </w:tr>
      <w:tr>
        <w:trPr>
          <w:trHeight w:val="230"/>
        </w:trPr>
        <w:tc>
          <w:tcPr>
            <w:tcW w:w="3800" w:type="dxa"/>
            <w:vAlign w:val="bottom"/>
            <w:gridSpan w:val="4"/>
            <w:vMerge w:val="continue"/>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Discount - SSTL</w:t>
            </w: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708,929</w:t>
            </w:r>
          </w:p>
        </w:tc>
        <w:tc>
          <w:tcPr>
            <w:tcW w:w="120" w:type="dxa"/>
            <w:vAlign w:val="bottom"/>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382,538</w:t>
            </w:r>
          </w:p>
        </w:tc>
        <w:tc>
          <w:tcPr>
            <w:tcW w:w="0" w:type="dxa"/>
            <w:vAlign w:val="bottom"/>
          </w:tcPr>
          <w:p>
            <w:pPr>
              <w:spacing w:after="0"/>
              <w:rPr>
                <w:sz w:val="1"/>
                <w:szCs w:val="1"/>
                <w:color w:val="auto"/>
              </w:rPr>
            </w:pPr>
          </w:p>
        </w:tc>
      </w:tr>
      <w:tr>
        <w:trPr>
          <w:trHeight w:val="67"/>
        </w:trPr>
        <w:tc>
          <w:tcPr>
            <w:tcW w:w="24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Weighted average interest rate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360" w:hanging="332"/>
        <w:spacing w:after="0" w:line="25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none could be used at September 30, 2019 based on the amount of eligible collateral that could be pledged.</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March 18, 2019, we entered into a Joinder and Amendment Agreement (the Amendment) which amends the existing Amended and Restated SSTL Facility Agreement dated December 5, 2016 to provide an additional term loan of $120.0 million subject to the same maturity, interest rate and other material terms of existing borrowings under the SSTL. Effective with the Amendment, the quarterly principal payment has been increased from $4.2 million to $6.4 million beginning March 31, 2019. See information regarding collateral in the table below.</w:t>
      </w:r>
    </w:p>
    <w:p>
      <w:pPr>
        <w:spacing w:after="0" w:line="83" w:lineRule="exact"/>
        <w:rPr>
          <w:rFonts w:ascii="Arial" w:cs="Arial" w:eastAsia="Arial" w:hAnsi="Arial"/>
          <w:sz w:val="16"/>
          <w:szCs w:val="16"/>
          <w:color w:val="auto"/>
        </w:rPr>
      </w:pPr>
    </w:p>
    <w:p>
      <w:pPr>
        <w:ind w:left="340" w:right="240"/>
        <w:spacing w:after="0" w:line="252" w:lineRule="auto"/>
        <w:rPr>
          <w:rFonts w:ascii="Arial" w:cs="Arial" w:eastAsia="Arial" w:hAnsi="Arial"/>
          <w:sz w:val="16"/>
          <w:szCs w:val="16"/>
          <w:color w:val="auto"/>
        </w:rPr>
      </w:pPr>
      <w:r>
        <w:rPr>
          <w:rFonts w:ascii="Arial" w:cs="Arial" w:eastAsia="Arial" w:hAnsi="Arial"/>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 subject to a base rate floor of 2.00% or (b) 1ML, plus a margin of 5.00% and subject to a 1ML floor of 1.00%. To date, we have elected option (b) to determine the interest rate.</w:t>
      </w:r>
    </w:p>
    <w:p>
      <w:pPr>
        <w:spacing w:after="0" w:line="1" w:lineRule="exact"/>
        <w:rPr>
          <w:rFonts w:ascii="Arial" w:cs="Arial" w:eastAsia="Arial" w:hAnsi="Arial"/>
          <w:sz w:val="16"/>
          <w:szCs w:val="16"/>
          <w:color w:val="auto"/>
        </w:rPr>
      </w:pPr>
    </w:p>
    <w:p>
      <w:pPr>
        <w:ind w:left="340" w:right="640" w:hanging="332"/>
        <w:spacing w:after="0" w:line="25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maximum borrowing under this agreement is $175.0 million, of which $100.0 million is available on a committed basis and the remainder is available at the discretion of the lender. On September 27, 2019, we renewed this facility through September 25, 2020.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9" w:right="259" w:bottom="1440" w:gutter="0" w:footer="0" w:header="0"/>
        </w:sectPr>
      </w:pPr>
    </w:p>
    <w:bookmarkStart w:id="46" w:name="page47"/>
    <w:bookmarkEnd w:id="46"/>
    <w:p>
      <w:pPr>
        <w:ind w:left="340" w:right="40" w:hanging="332"/>
        <w:spacing w:after="0" w:line="25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Effective with the merger of Homeward Residential, Inc. (Homeward) into PMC in February 2019, an existing participation agreement with uncommitted borrowing capacity of $75.0 million was terminated. Effective with the merger of Ocwen Loan Servicing, LLC (OLS) into PMC in June 2019, the remaining participation agreement with uncommitted borrowing capacity of $175.0 million was also terminated.</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$100.0 million on an uncommitted basis. The participation agreement allows the lender to acquire a 100% beneficial interest in the underlying mortgage loans. The transaction does not qualify for sale accounting treatment and is accounted for as a secured borrowing. On August 13, 2019, we renewed this facility through August 14, 2020.</w:t>
      </w:r>
    </w:p>
    <w:p>
      <w:pPr>
        <w:spacing w:after="0" w:line="1"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on an uncommitted basis. On January 23, 2019, we renewed this facility through January 22, 2020.</w:t>
      </w:r>
    </w:p>
    <w:p>
      <w:pPr>
        <w:ind w:left="340" w:right="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agreement was originally entered into by PHH and subsequently assumed by Ocwen in connection with its acquisition of PHH. The facility provides financing for up to $200.0 million at the discretion of the provider. The agreement has no stated maturity date.</w:t>
      </w:r>
    </w:p>
    <w:p>
      <w:pPr>
        <w:ind w:left="340" w:right="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entered into a master participation agreement on February 4, 2019 under which the lender will provide $300.0 million of borrowing capacity to PMC on an uncommitted basis.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6"/>
          <w:szCs w:val="16"/>
          <w:color w:val="auto"/>
        </w:rPr>
      </w:pPr>
    </w:p>
    <w:p>
      <w:pPr>
        <w:ind w:left="340" w:right="100" w:hanging="332"/>
        <w:spacing w:after="0" w:line="24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July 1, 2019, PMC entered into a financing facility that is secured by certain Fannie Mae and Freddie Mac MSRs. In connection with this facility, PMC entered into repurchase agreements pursuant to which PMC sold trust certificates representing certain indirect economic interests in the MSRs and agreed to repurchase such trust certificates at a future date at the repurchase price set forth in the repurchase agreements. PMC’s obligations under this facility are secured by a lien on the related MSRs. Ocwen guarantees the obligations of PMC under this facility. The maximum amount which we may borrow pursuant to the repurchase agreements is $300.0 million on a committed basis. The lender earns the stated interest rate of 1ML plus a margin of 300 bps. See Note 4 – Securitizations and Variable Interest Entities for additional information.</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7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 Rate</w:t>
            </w: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Maturity</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notes: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60"/>
              <w:spacing w:after="0"/>
              <w:rPr>
                <w:sz w:val="20"/>
                <w:szCs w:val="20"/>
                <w:color w:val="auto"/>
              </w:rPr>
            </w:pPr>
            <w:r>
              <w:rPr>
                <w:rFonts w:ascii="Arial" w:cs="Arial" w:eastAsia="Arial" w:hAnsi="Arial"/>
                <w:sz w:val="18"/>
                <w:szCs w:val="18"/>
                <w:color w:val="auto"/>
              </w:rPr>
              <w:t>PHH (1)</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Sep. 2019</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97,521</w:t>
            </w: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PHH (2)</w:t>
            </w:r>
          </w:p>
        </w:tc>
        <w:tc>
          <w:tcPr>
            <w:tcW w:w="16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6.375%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Aug. 2021</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21,543</w:t>
            </w:r>
          </w:p>
        </w:tc>
      </w:tr>
      <w:tr>
        <w:trPr>
          <w:trHeight w:val="237"/>
        </w:trPr>
        <w:tc>
          <w:tcPr>
            <w:tcW w:w="4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21,543</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119,064</w:t>
            </w: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secured notes</w:t>
            </w:r>
          </w:p>
        </w:tc>
        <w:tc>
          <w:tcPr>
            <w:tcW w:w="16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Nov. 2022</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291,509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330,878</w:t>
            </w:r>
          </w:p>
        </w:tc>
      </w:tr>
      <w:tr>
        <w:trPr>
          <w:trHeight w:val="237"/>
        </w:trPr>
        <w:tc>
          <w:tcPr>
            <w:tcW w:w="4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313,052</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449,942</w:t>
            </w: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Unamortized debt issuance costs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Fair value adjustments (2)</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860</w:t>
            </w:r>
          </w:p>
        </w:tc>
      </w:tr>
      <w:tr>
        <w:trPr>
          <w:trHeight w:val="27"/>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310,788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448,727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40" w:hanging="332"/>
        <w:spacing w:after="0" w:line="25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September 2, 2019, we redeemed all of the Senior unsecured notes due in September 2019, at a redemption price of 100.0% of the outstanding principal balance plus accrued and unpaid interest.</w:t>
      </w:r>
    </w:p>
    <w:p>
      <w:pPr>
        <w:spacing w:after="0" w:line="1"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79" w:lineRule="exact"/>
        <w:rPr>
          <w:sz w:val="20"/>
          <w:szCs w:val="20"/>
          <w:color w:val="auto"/>
        </w:rPr>
      </w:pPr>
    </w:p>
    <w:p>
      <w:pPr>
        <w:ind w:right="160" w:firstLine="324"/>
        <w:spacing w:after="0" w:line="232" w:lineRule="auto"/>
        <w:rPr>
          <w:sz w:val="20"/>
          <w:szCs w:val="20"/>
          <w:color w:val="auto"/>
        </w:rPr>
      </w:pPr>
      <w:r>
        <w:rPr>
          <w:rFonts w:ascii="Arial" w:cs="Arial" w:eastAsia="Arial" w:hAnsi="Arial"/>
          <w:sz w:val="18"/>
          <w:szCs w:val="18"/>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The redemption prices during the twelve-month periods beginning on November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year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35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860" w:type="dxa"/>
            <w:vAlign w:val="bottom"/>
            <w:tcBorders>
              <w:bottom w:val="single" w:sz="8" w:color="CCEEFF"/>
            </w:tcBorders>
            <w:gridSpan w:val="3"/>
            <w:shd w:val="clear" w:color="auto" w:fill="CCEEFF"/>
          </w:tcPr>
          <w:p>
            <w:pPr>
              <w:jc w:val="center"/>
              <w:ind w:left="5470"/>
              <w:spacing w:after="0"/>
              <w:rPr>
                <w:sz w:val="20"/>
                <w:szCs w:val="20"/>
                <w:color w:val="auto"/>
              </w:rPr>
            </w:pPr>
            <w:r>
              <w:rPr>
                <w:rFonts w:ascii="Arial" w:cs="Arial" w:eastAsia="Arial" w:hAnsi="Arial"/>
                <w:sz w:val="18"/>
                <w:szCs w:val="18"/>
                <w:color w:val="auto"/>
                <w:w w:val="91"/>
              </w:rPr>
              <w:t>106.281%</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2019</w:t>
            </w:r>
          </w:p>
        </w:tc>
        <w:tc>
          <w:tcPr>
            <w:tcW w:w="7860" w:type="dxa"/>
            <w:vAlign w:val="bottom"/>
            <w:gridSpan w:val="3"/>
          </w:tcPr>
          <w:p>
            <w:pPr>
              <w:jc w:val="center"/>
              <w:ind w:left="5470"/>
              <w:spacing w:after="0"/>
              <w:rPr>
                <w:sz w:val="20"/>
                <w:szCs w:val="20"/>
                <w:color w:val="auto"/>
              </w:rPr>
            </w:pPr>
            <w:r>
              <w:rPr>
                <w:rFonts w:ascii="Arial" w:cs="Arial" w:eastAsia="Arial" w:hAnsi="Arial"/>
                <w:sz w:val="18"/>
                <w:szCs w:val="18"/>
                <w:color w:val="auto"/>
                <w:w w:val="91"/>
              </w:rPr>
              <w:t>104.188%</w:t>
            </w:r>
          </w:p>
        </w:tc>
      </w:tr>
      <w:tr>
        <w:trPr>
          <w:trHeight w:val="27"/>
        </w:trPr>
        <w:tc>
          <w:tcPr>
            <w:tcW w:w="35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860" w:type="dxa"/>
            <w:vAlign w:val="bottom"/>
            <w:tcBorders>
              <w:bottom w:val="single" w:sz="8" w:color="CCEEFF"/>
            </w:tcBorders>
            <w:gridSpan w:val="3"/>
            <w:shd w:val="clear" w:color="auto" w:fill="CCEEFF"/>
          </w:tcPr>
          <w:p>
            <w:pPr>
              <w:jc w:val="center"/>
              <w:ind w:left="5470"/>
              <w:spacing w:after="0"/>
              <w:rPr>
                <w:sz w:val="20"/>
                <w:szCs w:val="20"/>
                <w:color w:val="auto"/>
              </w:rPr>
            </w:pPr>
            <w:r>
              <w:rPr>
                <w:rFonts w:ascii="Arial" w:cs="Arial" w:eastAsia="Arial" w:hAnsi="Arial"/>
                <w:sz w:val="18"/>
                <w:szCs w:val="18"/>
                <w:color w:val="auto"/>
                <w:w w:val="91"/>
              </w:rPr>
              <w:t>102.094%</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2021 and thereafter</w:t>
            </w:r>
          </w:p>
        </w:tc>
        <w:tc>
          <w:tcPr>
            <w:tcW w:w="7860" w:type="dxa"/>
            <w:vAlign w:val="bottom"/>
            <w:gridSpan w:val="3"/>
          </w:tcPr>
          <w:p>
            <w:pPr>
              <w:jc w:val="center"/>
              <w:ind w:left="5470"/>
              <w:spacing w:after="0"/>
              <w:rPr>
                <w:sz w:val="20"/>
                <w:szCs w:val="20"/>
                <w:color w:val="auto"/>
              </w:rPr>
            </w:pPr>
            <w:r>
              <w:rPr>
                <w:rFonts w:ascii="Arial" w:cs="Arial" w:eastAsia="Arial" w:hAnsi="Arial"/>
                <w:sz w:val="18"/>
                <w:szCs w:val="18"/>
                <w:color w:val="auto"/>
                <w:w w:val="91"/>
              </w:rPr>
              <w:t>100.000%</w:t>
            </w:r>
          </w:p>
        </w:tc>
      </w:tr>
      <w:tr>
        <w:trPr>
          <w:trHeight w:val="486"/>
        </w:trPr>
        <w:tc>
          <w:tcPr>
            <w:tcW w:w="3500" w:type="dxa"/>
            <w:vAlign w:val="bottom"/>
          </w:tcPr>
          <w:p>
            <w:pPr>
              <w:spacing w:after="0"/>
              <w:rPr>
                <w:sz w:val="24"/>
                <w:szCs w:val="24"/>
                <w:color w:val="auto"/>
              </w:rPr>
            </w:pPr>
          </w:p>
        </w:tc>
        <w:tc>
          <w:tcPr>
            <w:tcW w:w="5480" w:type="dxa"/>
            <w:vAlign w:val="bottom"/>
          </w:tcPr>
          <w:p>
            <w:pPr>
              <w:jc w:val="right"/>
              <w:ind w:right="31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47" w:name="page48"/>
    <w:bookmarkEnd w:id="47"/>
    <w:p>
      <w:pPr>
        <w:jc w:val="both"/>
        <w:ind w:right="120" w:firstLine="324"/>
        <w:spacing w:after="0" w:line="264" w:lineRule="auto"/>
        <w:rPr>
          <w:sz w:val="20"/>
          <w:szCs w:val="20"/>
          <w:color w:val="auto"/>
        </w:rPr>
      </w:pPr>
      <w:r>
        <w:rPr>
          <w:rFonts w:ascii="Arial" w:cs="Arial" w:eastAsia="Arial" w:hAnsi="Arial"/>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July and August 2019, we repurchased a total of $39.4 million of our 8.375% Senior secured notes in the open market for a price of $34.3 million. We recognized a gain of $5.1 million on these repurchases which is reported in Gain on repurchases of senior secured notes in the unaudited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At September 30, 2019, the S&amp;P issuer credit rating for Ocwen was “B-”. On June 1, 2019, OLS, the borrower under the SSTL and 8.375% Senior secured notes, merged with PMC which became the successor obligor for these borrowings. As a result, on July 3, 2019, S&amp;P withdrew the ratings of OLS and assigned a B- issuer credit rating to PMC. On September 11, 2019 Moody’s withdrew the Caa1 corporate family rating of Ocwen as it no longer maintained any rated debt outstanding and issued a corporate family rating of Caa1 with negative outlook to PMC. It is possible that additional actions by credit rating agencies could have a material adverse impact on our liquidity and funding position, including materially changing the terms on which we may be able to borrow money.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any guarantor, entering into transactions with affiliates;</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Ocwen level.</w:t>
      </w:r>
    </w:p>
    <w:p>
      <w:pPr>
        <w:spacing w:after="0" w:line="10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of September 30, 2019, the most restrictive consolidated tangible net worth requirements contained in our debt agreements were for a minimum of $200.0 million in consolidated tangible net worth, as defined, under certain of our match funded debt and mortgage warehouse agreements. The most restrictive liquidity requirements were for a minimum of $100.0 million in consolidated liquidity, as defined, under certain of our match funded debt and mortgage warehouse agreements.</w:t>
      </w:r>
    </w:p>
    <w:p>
      <w:pPr>
        <w:spacing w:after="0" w:line="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forms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8" w:name="page49"/>
    <w:bookmarkEnd w:id="48"/>
    <w:p>
      <w:pPr>
        <w:ind w:right="360"/>
        <w:spacing w:after="0" w:line="277" w:lineRule="auto"/>
        <w:rPr>
          <w:sz w:val="20"/>
          <w:szCs w:val="20"/>
          <w:color w:val="auto"/>
        </w:rPr>
      </w:pPr>
      <w:r>
        <w:rPr>
          <w:rFonts w:ascii="Arial" w:cs="Arial" w:eastAsia="Arial" w:hAnsi="Arial"/>
          <w:sz w:val="18"/>
          <w:szCs w:val="18"/>
          <w:color w:val="auto"/>
        </w:rPr>
        <w:t>enforcement of liens against the assets securing or otherwise supporting our obligations and other legal remedies. Our lenders can waive their contractual rights in the event of a default.</w:t>
      </w:r>
    </w:p>
    <w:p>
      <w:pPr>
        <w:spacing w:after="0" w:line="62"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believe we were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secured liens under the SSTL and Senior Secured Notes are as follows at September 30,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Collateral for Secured Borrowings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Liabilities /</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Mortgage Loan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Match Funded</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Secured</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Warehouse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Sales and Other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Liabilities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Borrowings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Facilities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Commitments (1)</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Other (2)</w:t>
            </w: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345,084</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MSRs (3)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265,247</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212,684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183,919</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 funded advances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275,579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203,023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72,556</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6,073,687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5,983,786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41,894</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128,778</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43,974</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513,449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452,977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56,226</w:t>
            </w: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9,956,653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839,385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7,162,854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282,121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534,615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1,137,678</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280" w:hanging="332"/>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and Other Commitments include MSRs and related advances committed under sale agreements, Restricted cash and deposits held as collateral to support certain contractual obligations, and Contingent loan repurchase assets related to the Ginnie Mae EBO program for which a corresponding liability is recognized in Other liabilities.</w:t>
      </w:r>
    </w:p>
    <w:p>
      <w:pPr>
        <w:spacing w:after="0" w:line="1" w:lineRule="exact"/>
        <w:rPr>
          <w:rFonts w:ascii="Arial" w:cs="Arial" w:eastAsia="Arial" w:hAnsi="Arial"/>
          <w:sz w:val="16"/>
          <w:szCs w:val="16"/>
          <w:color w:val="auto"/>
        </w:rPr>
      </w:pPr>
    </w:p>
    <w:p>
      <w:pPr>
        <w:ind w:left="340" w:right="40" w:hanging="332"/>
        <w:spacing w:after="0" w:line="263"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Assets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ind w:left="340" w:right="48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MSRs pledged as collateral for secured borrowings includes MSRs pledged to NRZ in connection with the Rights to MSRs transactions which are accounted for as secured financings and MSRs securing the financing facility PMC entered into on July 1, 2019.</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9" w:name="page50"/>
    <w:bookmarkEnd w:id="49"/>
    <w:p>
      <w:pPr>
        <w:ind w:left="1340"/>
        <w:spacing w:after="0"/>
        <w:rPr>
          <w:sz w:val="20"/>
          <w:szCs w:val="20"/>
          <w:color w:val="auto"/>
        </w:rPr>
      </w:pPr>
      <w:r>
        <w:rPr>
          <w:rFonts w:ascii="Arial" w:cs="Arial" w:eastAsia="Arial" w:hAnsi="Arial"/>
          <w:sz w:val="18"/>
          <w:szCs w:val="18"/>
          <w:b w:val="1"/>
          <w:bCs w:val="1"/>
          <w:color w:val="auto"/>
        </w:rPr>
        <w:t>Note 14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34290</wp:posOffset>
            </wp:positionV>
            <wp:extent cx="6423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liability</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435,568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302,581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76,693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99,739</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NRZ - Advance collections and servicing fees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51,574</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obligations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fees and settlements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31,984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20,686</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7,209</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unfunded pension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6,820</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at fair value</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4,441</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894,695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703,636</w:t>
            </w:r>
          </w:p>
        </w:tc>
      </w:tr>
      <w:tr>
        <w:trPr>
          <w:trHeight w:val="135"/>
        </w:trPr>
        <w:tc>
          <w:tcPr>
            <w:tcW w:w="8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4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Accrued Legal Fees and Settlements</w:t>
            </w:r>
          </w:p>
        </w:tc>
        <w:tc>
          <w:tcPr>
            <w:tcW w:w="200" w:type="dxa"/>
            <w:vAlign w:val="bottom"/>
          </w:tcPr>
          <w:p>
            <w:pPr>
              <w:spacing w:after="0"/>
              <w:rPr>
                <w:sz w:val="24"/>
                <w:szCs w:val="24"/>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accrual for probable losses (1)</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10,777</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Issuance of common stock in settlement of litigation (3)</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accrued legal fees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53,380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240" w:hanging="652"/>
        <w:spacing w:after="0" w:line="255" w:lineRule="auto"/>
        <w:tabs>
          <w:tab w:leader="none" w:pos="3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unaudited consolidated statements of operations.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January 2018, Ocwen issued 1,875,000 shares of common stock in connection with a securities litigation settlement.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75" w:right="239" w:bottom="1440" w:gutter="0" w:footer="0" w:header="0"/>
        </w:sectPr>
      </w:pPr>
    </w:p>
    <w:bookmarkStart w:id="50" w:name="page51"/>
    <w:bookmarkEnd w:id="50"/>
    <w:p>
      <w:pPr>
        <w:ind w:left="40"/>
        <w:spacing w:after="0"/>
        <w:rPr>
          <w:sz w:val="20"/>
          <w:szCs w:val="20"/>
          <w:color w:val="auto"/>
        </w:rPr>
      </w:pPr>
      <w:r>
        <w:rPr>
          <w:rFonts w:ascii="Arial" w:cs="Arial" w:eastAsia="Arial" w:hAnsi="Arial"/>
          <w:sz w:val="18"/>
          <w:szCs w:val="18"/>
          <w:b w:val="1"/>
          <w:bCs w:val="1"/>
          <w:color w:val="auto"/>
        </w:rPr>
        <w:t>Note 15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The notional amount of our contracts does not represent our exposure to credit loss. None of the derivatives were designated as a hedge for accounting purposes as of, or during the nine months ended September 30, 2019 and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Interest Rate Risk</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MSR Hedging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Held for Sale</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TBA / Forward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IRLCs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MBS Trades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Forward Trades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 Caps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balance at September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57,083</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Maturity</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Oct. 2019 - Dec.</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Oct. 2019 - May</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Dec. 2019</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2019</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September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Gain on loans held</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MSR valuation</w:t>
            </w:r>
          </w:p>
        </w:tc>
        <w:tc>
          <w:tcPr>
            <w:tcW w:w="17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Gain on loans held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Gains (losses) on derivatives during the nine months ended:</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9"/>
              </w:rPr>
              <w:t>for sale, net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adjustments, net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for sale, net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9"/>
              </w:rPr>
              <w:t>Other, net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September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2018</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report derivatives at fair value in Other assets or in Other liabilities on our unaudited consolidated balance sheets. Derivative instruments are generally entered into as economic hedges against changes in the fair value of a recognized asset or liability and are not designated as hedges for accounting purposes. We report the changes in fair value of such derivative instruments in the same line item in the unaudited consolidated statement of operations as the changes in fair value of the related asset or liability. For all other derivative instruments not designated as a hedging instrument, we report changes in fair value in Other,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losses were $0.1 million and $0.1 million, and 2.0 million and $4.7 million, during the three and nine months ended September 30, 2019 and 2018, respectively, and are reported in Other, net in the unaudited consolidated statements of operations. The losses in the 2018 periods are primarily attributed to depreciation of the India Rupee against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22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MSRs are carried at fair value with changes in fair value being recorded in earnings in the period in which the changes occur. The fair value of MSRs is subject to changes in market interest rates and prepayment speeds, among other factors. Beginning in September 2019, management implemented a hedging strategy to partially offset the changes in fair value of our net MSR portfolio to interest rate changes. We define our net MSR portfolio exposure as follows:</w:t>
      </w:r>
    </w:p>
    <w:p>
      <w:pPr>
        <w:spacing w:after="0" w:line="3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10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interest rate lock commitments (pipeline).</w:t>
      </w:r>
    </w:p>
    <w:p>
      <w:pPr>
        <w:spacing w:after="0" w:line="21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determine and monitor daily a hedge coverage based on the duration and interest rate sensitivity measures of our net MSR portfolio exposure, considering market and liquidity conditions. At September 30, 2019, our hedging strategy provides for a partial coverage of our net MSR portfolio exposure.</w:t>
      </w:r>
    </w:p>
    <w:p>
      <w:pPr>
        <w:sectPr>
          <w:pgSz w:w="11900" w:h="16838" w:orient="portrait"/>
          <w:cols w:equalWidth="0" w:num="1">
            <w:col w:w="11420"/>
          </w:cols>
          <w:pgMar w:left="240" w:top="1175"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75" w:right="239" w:bottom="1440" w:gutter="0" w:footer="0" w:header="0"/>
          <w:type w:val="continuous"/>
        </w:sectPr>
      </w:pPr>
    </w:p>
    <w:bookmarkStart w:id="51" w:name="page52"/>
    <w:bookmarkEnd w:id="51"/>
    <w:p>
      <w:pPr>
        <w:ind w:right="360" w:firstLine="324"/>
        <w:spacing w:after="0" w:line="312" w:lineRule="auto"/>
        <w:rPr>
          <w:sz w:val="20"/>
          <w:szCs w:val="20"/>
          <w:color w:val="auto"/>
        </w:rPr>
      </w:pPr>
      <w:r>
        <w:rPr>
          <w:rFonts w:ascii="Arial" w:cs="Arial" w:eastAsia="Arial" w:hAnsi="Arial"/>
          <w:sz w:val="16"/>
          <w:szCs w:val="16"/>
          <w:color w:val="auto"/>
        </w:rPr>
        <w:t>We use forward trades of MBS or Agency TBAs with different banking counterparties as hedging instruments that are not designated as accounting hedges. TBAs, or To-Be-Announced securities are actively traded, forward contracts to purchase or sell Agency MBS on a specific future date. We report changes in fair value of these derivative instruments in MSR valuation adjustments, net in our unaudited consolidated statements of operations.</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TBAs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 Beginning in September 2019, this exposure is not individually hedged, but rather used as an offset to our MSR exposure and managed as part of our MSR hedging strategy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256,416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36,717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303,301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111,256</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3,849</w:t>
            </w: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256,830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305,607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115,105</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29,627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Match funded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 includes the change in fair value of the Financing Liabilities - MSRs Pledged, at fair value. See Note 10 — Rights to MSRs</w:t>
      </w:r>
      <w:r>
        <w:rPr>
          <w:rFonts w:ascii="Arial" w:cs="Arial" w:eastAsia="Arial" w:hAnsi="Arial"/>
          <w:sz w:val="14"/>
          <w:szCs w:val="14"/>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2" w:name="page53"/>
    <w:bookmarkEnd w:id="52"/>
    <w:p>
      <w:pPr>
        <w:ind w:left="40"/>
        <w:spacing w:after="0"/>
        <w:rPr>
          <w:sz w:val="20"/>
          <w:szCs w:val="20"/>
          <w:color w:val="auto"/>
        </w:rPr>
      </w:pPr>
      <w:r>
        <w:rPr>
          <w:rFonts w:ascii="Arial" w:cs="Arial" w:eastAsia="Arial" w:hAnsi="Arial"/>
          <w:sz w:val="18"/>
          <w:szCs w:val="18"/>
          <w:b w:val="1"/>
          <w:bCs w:val="1"/>
          <w:color w:val="auto"/>
        </w:rPr>
        <w:t>Note 17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and nine months ended September 30, 2019 and 2018, we have excluded the effect of all stock options and common stock awards from the computation of diluted loss per share because of the anti-dilutive effect of our reported net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(68,430)</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9"/>
              </w:rPr>
              <w:t>Weighted average shares of common stock — basic and</w:t>
            </w:r>
          </w:p>
        </w:tc>
        <w:tc>
          <w:tcPr>
            <w:tcW w:w="200" w:type="dxa"/>
            <w:vAlign w:val="bottom"/>
          </w:tcPr>
          <w:p>
            <w:pPr>
              <w:spacing w:after="0"/>
              <w:rPr>
                <w:sz w:val="19"/>
                <w:szCs w:val="19"/>
                <w:color w:val="auto"/>
              </w:rPr>
            </w:pP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color w:val="auto"/>
              </w:rPr>
              <w:t>134,595,798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134,329,321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133,632,905</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and Diluted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0"/>
              </w:rPr>
              <w:t>Stock options and common stock awards excluded from the</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Anti-dilutive (1)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4,057,937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5,684,663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Market-based (2)</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902,204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645,984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902,204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645,984</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00" w:right="340" w:hanging="492"/>
        <w:spacing w:after="0" w:line="255"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18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Servicing. </w:t>
      </w:r>
      <w:r>
        <w:rPr>
          <w:rFonts w:ascii="Arial" w:cs="Arial" w:eastAsia="Arial" w:hAnsi="Arial"/>
          <w:sz w:val="16"/>
          <w:szCs w:val="16"/>
          <w:color w:val="auto"/>
        </w:rPr>
        <w:t>This segment is primarily comprised of our core residential mortgage servicing business and currently accounts for most of our total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purchases and originates conventional and government-insured residential forward and reverse mortgage loans. The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typically sold shortly after origination into a liquid market on a servicing retained (securitization) or servicing released (sale to a third party) basis. We originate forward mortgage loans directly with customers (retail channel) as well as through correspondent lending arrangements since the second quarter of 2019. We originate reverse mortgage loans in all three channels, through our correspondent lending arrangements, broker relationships (wholesale) and retail channels.</w:t>
      </w:r>
    </w:p>
    <w:p>
      <w:pPr>
        <w:spacing w:after="0" w:line="8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2019 related to our re-engineering plan. Our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75" w:right="23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balances are included in Corporate Items and Other. CRL provides re-insurance related to coverage on foreclosed real estate properties owned or serviced by us.</w:t>
      </w:r>
    </w:p>
    <w:p>
      <w:pPr>
        <w:spacing w:after="0" w:line="62" w:lineRule="exact"/>
        <w:rPr>
          <w:sz w:val="20"/>
          <w:szCs w:val="20"/>
          <w:color w:val="auto"/>
        </w:rPr>
      </w:pPr>
    </w:p>
    <w:p>
      <w:pPr>
        <w:ind w:right="200" w:firstLine="324"/>
        <w:spacing w:after="0" w:line="340" w:lineRule="auto"/>
        <w:rPr>
          <w:sz w:val="20"/>
          <w:szCs w:val="20"/>
          <w:color w:val="auto"/>
        </w:rPr>
      </w:pPr>
      <w:r>
        <w:rPr>
          <w:rFonts w:ascii="Arial" w:cs="Arial" w:eastAsia="Arial" w:hAnsi="Arial"/>
          <w:sz w:val="15"/>
          <w:szCs w:val="15"/>
          <w:color w:val="auto"/>
        </w:rPr>
        <w:t>We allocate a portion of interest income to each business segment, including interest earned on cash balances and short-term investments. We also allocate expenses incurred by corporate support services to each business segment. Interest expense on direct asset financings are recorded in the respective Servicing and Lending segments, while interest expense on the SSTL and Senior Notes is recorded in Corporate Items and Other and is not allocated.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Financial information for our segments is as follows: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 30, 2019</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2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250,224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283,515</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(1) (2)</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44,724</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4,129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(285,922)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Gain on repurchase of senior secured notes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5,099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(277,108)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4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(38,317)</w:t>
            </w:r>
          </w:p>
        </w:tc>
      </w:tr>
      <w:tr>
        <w:trPr>
          <w:trHeight w:val="311"/>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6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Servicing</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Lending</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217,630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238,278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Expenses (1) (2)</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185,077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217,526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expense (3)</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(61,288)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(61,025)</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4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(40,273)</w:t>
            </w:r>
          </w:p>
        </w:tc>
      </w:tr>
      <w:tr>
        <w:trPr>
          <w:trHeight w:val="217"/>
        </w:trPr>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Nine months ended September 30, 2019</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2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861,741</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(1) (2) (4)</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556,874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656,323</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12,524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Gain on repurchase of senior secured notes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5,099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Bargain purchase gain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(369,152)</w:t>
            </w:r>
          </w:p>
        </w:tc>
      </w:tr>
      <w:tr>
        <w:trPr>
          <w:trHeight w:val="183"/>
        </w:trPr>
        <w:tc>
          <w:tcPr>
            <w:tcW w:w="47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(163,734)</w:t>
            </w:r>
          </w:p>
        </w:tc>
      </w:tr>
      <w:tr>
        <w:trPr>
          <w:trHeight w:val="20"/>
        </w:trPr>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5"/>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8"/>
              </w:rPr>
              <w:t>Nine months ended September 30, 2018</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18"/>
        </w:trPr>
        <w:tc>
          <w:tcPr>
            <w:tcW w:w="4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2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674,233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752,116</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(1) (2)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629,677</w:t>
            </w:r>
          </w:p>
        </w:tc>
      </w:tr>
      <w:tr>
        <w:trPr>
          <w:trHeight w:val="20"/>
        </w:trPr>
        <w:tc>
          <w:tcPr>
            <w:tcW w:w="4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692" w:right="239" w:bottom="0" w:gutter="0" w:footer="0" w:header="0"/>
        </w:sectPr>
      </w:pPr>
    </w:p>
    <w:bookmarkStart w:id="54" w:name="page55"/>
    <w:bookmarkEnd w:id="54"/>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Other (expense)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10,018</w:t>
            </w: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(3)</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(189,601)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(6,569)</w:t>
            </w:r>
          </w:p>
        </w:tc>
      </w:tr>
      <w:tr>
        <w:trPr>
          <w:trHeight w:val="27"/>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jc w:val="center"/>
              <w:ind w:right="1810"/>
              <w:spacing w:after="0"/>
              <w:rPr>
                <w:sz w:val="20"/>
                <w:szCs w:val="20"/>
                <w:color w:val="auto"/>
              </w:rPr>
            </w:pPr>
            <w:r>
              <w:rPr>
                <w:rFonts w:ascii="Arial" w:cs="Arial" w:eastAsia="Arial" w:hAnsi="Arial"/>
                <w:sz w:val="18"/>
                <w:szCs w:val="18"/>
                <w:color w:val="auto"/>
                <w:w w:val="89"/>
              </w:rPr>
              <w:t>Other (expense) income, net</w:t>
            </w:r>
          </w:p>
        </w:tc>
        <w:tc>
          <w:tcPr>
            <w:tcW w:w="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(186,152)</w:t>
            </w:r>
          </w:p>
        </w:tc>
      </w:tr>
      <w:tr>
        <w:trPr>
          <w:trHeight w:val="183"/>
        </w:trPr>
        <w:tc>
          <w:tcPr>
            <w:tcW w:w="47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64"/>
        </w:trPr>
        <w:tc>
          <w:tcPr>
            <w:tcW w:w="4700" w:type="dxa"/>
            <w:vAlign w:val="bottom"/>
            <w:tcBorders>
              <w:bottom w:val="single" w:sz="8" w:color="CCEEFF"/>
            </w:tcBorders>
            <w:shd w:val="clear" w:color="auto" w:fill="CCEEFF"/>
          </w:tcPr>
          <w:p>
            <w:pPr>
              <w:jc w:val="center"/>
              <w:ind w:right="1790"/>
              <w:spacing w:after="0"/>
              <w:rPr>
                <w:sz w:val="20"/>
                <w:szCs w:val="20"/>
                <w:color w:val="auto"/>
              </w:rPr>
            </w:pPr>
            <w:r>
              <w:rPr>
                <w:rFonts w:ascii="Arial" w:cs="Arial" w:eastAsia="Arial" w:hAnsi="Arial"/>
                <w:sz w:val="18"/>
                <w:szCs w:val="18"/>
                <w:color w:val="auto"/>
                <w:w w:val="89"/>
              </w:rPr>
              <w:t>Income (loss) before income taxes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(63,713)</w:t>
            </w:r>
          </w:p>
        </w:tc>
      </w:tr>
      <w:tr>
        <w:trPr>
          <w:trHeight w:val="20"/>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01" w:right="239" w:bottom="1440" w:gutter="0" w:footer="0" w:header="0"/>
        </w:sectPr>
      </w:pPr>
    </w:p>
    <w:bookmarkStart w:id="55" w:name="page56"/>
    <w:bookmarkEnd w:id="55"/>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Expenses in the Servicing segment includes MSR valuation adjustments, net.</w:t>
      </w:r>
    </w:p>
    <w:p>
      <w:pPr>
        <w:spacing w:after="0" w:line="19" w:lineRule="exact"/>
        <w:rPr>
          <w:rFonts w:ascii="Arial" w:cs="Arial" w:eastAsia="Arial" w:hAnsi="Arial"/>
          <w:sz w:val="16"/>
          <w:szCs w:val="16"/>
          <w:color w:val="auto"/>
        </w:rPr>
      </w:pPr>
    </w:p>
    <w:p>
      <w:pPr>
        <w:ind w:left="340" w:right="120" w:hanging="332"/>
        <w:spacing w:after="0" w:line="263"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Compensation and benefits expense in the Corporate Items and Other segment for the three and nine months ended September 30, 2019 and 2018 includes $(0.1) million and $19.1 million, and $0.3 million, and $7.5 million, respectively, of severance expense attributable to PHH integration-related headcount reductions of primarily U.S.-based employees in 2019 and severance expense attributable to headcount reductions in connection with our strategic decisions to exit the automotive capital services business and the forward lending correspondent and wholesale channels in late 2017 and early 2018, as well as our overall efforts to reduce costs.</w:t>
      </w: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expense in the Servicing segment includes changes in the fair value of the Financing liability - MSRs pledged (Rights to MSRs).</w:t>
      </w:r>
    </w:p>
    <w:p>
      <w:pPr>
        <w:spacing w:after="0" w:line="5" w:lineRule="exact"/>
        <w:rPr>
          <w:rFonts w:ascii="Arial" w:cs="Arial" w:eastAsia="Arial" w:hAnsi="Arial"/>
          <w:sz w:val="16"/>
          <w:szCs w:val="16"/>
          <w:color w:val="auto"/>
        </w:rPr>
      </w:pPr>
    </w:p>
    <w:p>
      <w:pPr>
        <w:ind w:left="340" w:right="480" w:hanging="332"/>
        <w:spacing w:after="0" w:line="257"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Included in the Corporate Items and Other segment for the nine months ended September 30, 2019, we recorded in Professional services expense a recovery from a service provider of $30.7 million during the first quarter of 2019 of amounts previously recognized as expense.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6,225,394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9,956,653</w:t>
            </w: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5,603,481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9,394,216</w:t>
            </w: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September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2,726,905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8,461,037</w:t>
            </w:r>
          </w:p>
        </w:tc>
      </w:tr>
      <w:tr>
        <w:trPr>
          <w:trHeight w:val="45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Corporate Items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Business Segments</w:t>
            </w:r>
          </w:p>
        </w:tc>
      </w:tr>
      <w:tr>
        <w:trPr>
          <w:trHeight w:val="234"/>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104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Servicing</w:t>
            </w:r>
          </w:p>
        </w:tc>
        <w:tc>
          <w:tcPr>
            <w:tcW w:w="40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Lending</w:t>
            </w:r>
          </w:p>
        </w:tc>
        <w:tc>
          <w:tcPr>
            <w:tcW w:w="20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3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2019</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6,386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6,459</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816</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30"/>
        </w:trPr>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2019</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24,297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26,020</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2,268</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2,268</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18,199</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941</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2,261</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7"/>
        </w:trPr>
        <w:tc>
          <w:tcPr>
            <w:tcW w:w="3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19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w:t>
      </w:r>
    </w:p>
    <w:p>
      <w:pPr>
        <w:spacing w:after="0" w:line="6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must comply with a large number of federal, state and local consumer protection and other laws and regulations, including, among others,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7" w:name="page58"/>
    <w:bookmarkEnd w:id="57"/>
    <w:p>
      <w:pPr>
        <w:ind w:right="40"/>
        <w:spacing w:after="0" w:line="269" w:lineRule="auto"/>
        <w:rPr>
          <w:sz w:val="20"/>
          <w:szCs w:val="20"/>
          <w:color w:val="auto"/>
        </w:rPr>
      </w:pPr>
      <w:r>
        <w:rPr>
          <w:rFonts w:ascii="Arial" w:cs="Arial" w:eastAsia="Arial" w:hAnsi="Arial"/>
          <w:sz w:val="17"/>
          <w:szCs w:val="17"/>
          <w:color w:val="auto"/>
        </w:rPr>
        <w:t>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72"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As further described below and in Note 21 – Contingencies, in recent years Ocwen has entered into a number of significant settlements with federal and state regulators and state attorneys general that have imposed additional requirements on our business. For example, we made various commitments relating to the process of transferring loans off the REALServicing servicing system and onto the Black Knight Financial Services, Inc. (Black Knight) LoanSphere MSP® servicing system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September 30, 2019.</w:t>
      </w:r>
    </w:p>
    <w:p>
      <w:pPr>
        <w:spacing w:after="0" w:line="7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PMC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We believe we were in compliance with applicable net worth requirements at September 30, 2019. Our non-Agency servicing agreements also contain requirements regarding servicing practices and other matters, and a failure to comply with these requirements could have a material adverse impact on our business.</w:t>
      </w:r>
    </w:p>
    <w:p>
      <w:pPr>
        <w:spacing w:after="0" w:line="75"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The most restrictive of the various net worth requirements for licensing and seller/servicer obligations referenced above is based on the total UPB of assets serviced by PMC. Under the applicable formula, the required minimum net worth was $233.9 million and PMC’s net worth was $307.0 million at September 30, 2019.</w:t>
      </w:r>
    </w:p>
    <w:p>
      <w:pPr>
        <w:spacing w:after="0" w:line="7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92" w:right="2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adverse actions against us, including (i) restrictions on our operations in these countries, (ii) fines, penalties or sanctions or (iii) reputational damage.</w:t>
      </w:r>
    </w:p>
    <w:p>
      <w:pPr>
        <w:spacing w:after="0" w:line="1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 xml:space="preserve">New York Department of Financial Services. </w:t>
      </w:r>
      <w:r>
        <w:rPr>
          <w:rFonts w:ascii="Arial" w:cs="Arial" w:eastAsia="Arial" w:hAnsi="Arial"/>
          <w:sz w:val="16"/>
          <w:szCs w:val="16"/>
          <w:color w:val="auto"/>
        </w:rPr>
        <w:t>In March 2017, we entered into a consent order with the NY DFS (the 2017 NY Consent Order)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Financial Corporation and PHH Mortgage Corporation. In addition, we were prohibited from boarding any additional loans onto the REALServicing system and we were required to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 As of September 30, 2019, we have transferred all loans onto Black Knight MSP and no longer service any loans on the REALServicing system.</w:t>
      </w:r>
    </w:p>
    <w:p>
      <w:pPr>
        <w:spacing w:after="0" w:line="17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further restricting our business activities. Any such actions could have a material adverse impact on our business, financial condition, liquidity and results of operations.</w:t>
      </w:r>
    </w:p>
    <w:p>
      <w:pPr>
        <w:spacing w:after="0" w:line="15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California Department of Business Oversight</w:t>
      </w:r>
      <w:r>
        <w:rPr>
          <w:rFonts w:ascii="Arial" w:cs="Arial" w:eastAsia="Arial" w:hAnsi="Arial"/>
          <w:sz w:val="16"/>
          <w:szCs w:val="16"/>
          <w:color w:val="auto"/>
        </w:rPr>
        <w:t>. In January 2015, OLS entered into a consent order (the 2015 CA Consent Order) with the CA DBO</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confirmation of our completion of $198.0 million in debt forgiveness for California borrowers by June 30, 2019. We believe that we fulfilled this requirement during the first quarter of 2019. However, our completion of this requirement is subject to testing by the CA DBO’s third-party administrator who must confirm, among other things, that modified loans have remained current for specified time periods. If we are unable to satisfy this requirement or obtain an extension, the 2017 CA Consent Order obligates us to pay the remaining amount to the CA DBO in cash. Our debt forgiveness activities take place as 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20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$1.5 billion at September 30, 2019. This additional borrowing capacity is available on a scheduled or unscheduled payment basis. We also had short-term commitments to lend $140.6 million and $33.0 million in connection with our forward and reverse mortgage loan IRLCs, respectively, outstanding at September 30, 2019. We finance originated and purchased forward and reverse mortgage loans with repurchase and participation agreements, commonly referred to as warehouse lines.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HMBS Issuer Obligations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8"/>
          </w:tcPr>
          <w:p>
            <w:pPr>
              <w:ind w:left="64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ind w:left="880"/>
              <w:spacing w:after="0"/>
              <w:rPr>
                <w:sz w:val="20"/>
                <w:szCs w:val="20"/>
                <w:color w:val="auto"/>
              </w:rPr>
            </w:pPr>
            <w:r>
              <w:rPr>
                <w:rFonts w:ascii="Arial" w:cs="Arial" w:eastAsia="Arial" w:hAnsi="Arial"/>
                <w:sz w:val="18"/>
                <w:szCs w:val="18"/>
                <w:b w:val="1"/>
                <w:bCs w:val="1"/>
                <w:color w:val="auto"/>
              </w:rPr>
              <w:t>Inactive</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Amount</w:t>
            </w:r>
          </w:p>
        </w:tc>
      </w:tr>
      <w:tr>
        <w:trPr>
          <w:trHeight w:val="27"/>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16,880</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Additions (1)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12,255</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28,727</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Recoveries, net (2)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value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4,346</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21,881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26,227</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Total repurchases during the nine months ended September 30, 2019 includes 53 loans totaling $10.9 million related to MCA repurchases.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amounts received upon assignment of loan to HUD, loan payoff, REO liquidation and claim proceeds less any amounts charged off as unrecoverable.</w:t>
      </w:r>
    </w:p>
    <w:p>
      <w:pPr>
        <w:spacing w:after="0" w:line="21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Active loan repurchases are classified as Receivables as reimbursement from HUD is generally received within 60 days and are initially recorded at fair value. Inactive loan repurchases are classified as Loans held for sale and are initially recorded at fair value. Loans are reclassified to REO in Other assets or Receivables as the loans move through the resolution process and permissible claims are submitted to HUD for reimbursement. Loans held for sale repurchased prior to October 1, 2018 are carried at the lower of cost or fair value. Receivables are valued at net realizable value. REO is valued at the estimated value of the underlying property less cost to sell.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business is currently reliant on certain services provided by Altisource S.à r.l, a subsidiary of Altisource Portfolio Solutions, S.A. (Altisource).</w:t>
      </w:r>
    </w:p>
    <w:p>
      <w:pPr>
        <w:spacing w:after="0" w:line="1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Each of Ocwen and OMS are parties to long-term agreements with Altisource, including a Services Agreement and a Technology Products Services Agreement.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 including the REALServicing loan servicing system. These agreements expire August 31, 2025 and include renewal provisions. However, Ocwen anticipates that Altisource will cease providing technology products and support services under the Technology Products Services Agreement by the end of 2019 now that we have completed the transition to Black Knight MSP from REALServicing.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 If Altisource were to fail to fulfill its contractual obligations to us, including through a failure to provide services at the required level, or if Altisource were to become unable to fulfill such obligations, our business and operations could suffer.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88" w:right="239" w:bottom="1440" w:gutter="0" w:footer="0" w:header="0"/>
        </w:sectPr>
      </w:pPr>
    </w:p>
    <w:bookmarkStart w:id="60" w:name="page61"/>
    <w:bookmarkEnd w:id="60"/>
    <w:p>
      <w:pPr>
        <w:jc w:val="both"/>
        <w:ind w:right="20" w:firstLine="324"/>
        <w:spacing w:after="0" w:line="264" w:lineRule="auto"/>
        <w:rPr>
          <w:sz w:val="20"/>
          <w:szCs w:val="20"/>
          <w:color w:val="auto"/>
        </w:rPr>
      </w:pPr>
      <w:r>
        <w:rPr>
          <w:rFonts w:ascii="Arial" w:cs="Arial" w:eastAsia="Arial" w:hAnsi="Arial"/>
          <w:sz w:val="18"/>
          <w:szCs w:val="18"/>
          <w:color w:val="auto"/>
        </w:rPr>
        <w:t>On February 22, 2019, Ocwen and Altisource signed a Binding Term Sheet, which among other things, contains provisions regarding assuring that data is accurately transferred to Ocwen in connection with the deboarding of loans from REALServicing, including Ocwen having the ability to verify data accuracy and having continued access to the REALServicing system for an acceptable period of time.</w:t>
      </w:r>
    </w:p>
    <w:p>
      <w:pPr>
        <w:spacing w:after="0" w:line="18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Binding Term Sheet also amends certain provisions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has an interest, by NRZ or its affiliates prior to the date of the Binding Term Sheet. Notwithstanding the foregoing, Altisource will be the provider of mortgage charge-off collections services under the Services Agreements. On July 1, 2019, Altisource sold its mortgage charge-off collections business to Transworld Systems Inc.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of Ocwen in the event of any breach by Altisource of its obligations under the Services Agreements. The limitations of liability provisions include an exception for losses either party suffers as a result of third-party claims.</w:t>
      </w:r>
    </w:p>
    <w:p>
      <w:pPr>
        <w:spacing w:after="0" w:line="18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21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those brought derivatively on behalf of Ocwen against certain current or former officers and directors or others and those brought by commercial counterparties, including claims by parties to whom we have sold MSRs or other assets or those on whose behalf we service mortgage loans.</w:t>
      </w:r>
    </w:p>
    <w:p>
      <w:pPr>
        <w:spacing w:after="0" w:line="46" w:lineRule="exact"/>
        <w:rPr>
          <w:sz w:val="20"/>
          <w:szCs w:val="20"/>
          <w:color w:val="auto"/>
        </w:rPr>
      </w:pPr>
    </w:p>
    <w:p>
      <w:pPr>
        <w:jc w:val="both"/>
        <w:ind w:right="40" w:firstLine="324"/>
        <w:spacing w:after="0" w:line="276" w:lineRule="auto"/>
        <w:rPr>
          <w:sz w:val="20"/>
          <w:szCs w:val="20"/>
          <w:color w:val="auto"/>
        </w:rPr>
      </w:pPr>
      <w:r>
        <w:rPr>
          <w:rFonts w:ascii="Arial" w:cs="Arial" w:eastAsia="Arial" w:hAnsi="Arial"/>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and mortgage reinsurance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(2) we violated the TCPA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(5) the solicitation and marketing to borrowers of certain ancillary products was unfair and deceptive, (6) we breached fiduciary duties we purportedly owe to benefit plans due to the discretion we exercise in servicing certain securitized mortgage loans and (7)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7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$39.0 million at September 30, 2019. We cannot currently estimate the amount, if any, of reasonably possible losses above amounts that have been recorded at September 30, 2019.</w:t>
      </w:r>
    </w:p>
    <w:p>
      <w:pPr>
        <w:spacing w:after="0" w:line="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Arial" w:cs="Arial" w:eastAsia="Arial" w:hAnsi="Arial"/>
          <w:sz w:val="18"/>
          <w:szCs w:val="18"/>
          <w:i w:val="1"/>
          <w:iCs w:val="1"/>
          <w:color w:val="auto"/>
        </w:rPr>
        <w:t>McWhorter et al. v. Ocwen Loan Servicing, LLC</w:t>
      </w:r>
      <w:r>
        <w:rPr>
          <w:rFonts w:ascii="Arial" w:cs="Arial" w:eastAsia="Arial" w:hAnsi="Arial"/>
          <w:sz w:val="18"/>
          <w:szCs w:val="18"/>
          <w:color w:val="auto"/>
        </w:rPr>
        <w:t xml:space="preserve"> </w:t>
      </w:r>
      <w:r>
        <w:rPr>
          <w:rFonts w:ascii="Arial" w:cs="Arial" w:eastAsia="Arial" w:hAnsi="Arial"/>
          <w:sz w:val="18"/>
          <w:szCs w:val="18"/>
          <w:i w:val="1"/>
          <w:iCs w:val="1"/>
          <w:color w:val="auto"/>
        </w:rPr>
        <w:t>(N.D. Ala.)</w:t>
      </w:r>
      <w:r>
        <w:rPr>
          <w:rFonts w:ascii="Arial" w:cs="Arial" w:eastAsia="Arial" w:hAnsi="Arial"/>
          <w:sz w:val="18"/>
          <w:szCs w:val="18"/>
          <w:color w:val="auto"/>
        </w:rPr>
        <w:t>. The plaintiffs sought statutory damages under the FDCPA, compensatory damages and injunctive relief. We subsequently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principle to resolve this matter, and in August 2019, the court granted final approval of the class settlement. While we believe we had sound legal and factual defenses, we agreed to this settlement in order to avoid the uncertain outcome of litigation and the additional expense and demands on the time of our senior management that such litigation would involve. Our accrual with respect to this matter is included in the $39.0 million legal and regulatory accrual referenced above.</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individuals’ cell phones without their consent. In July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6"/>
          <w:szCs w:val="16"/>
          <w:i w:val="1"/>
          <w:iCs w:val="1"/>
          <w:color w:val="auto"/>
        </w:rPr>
        <w:t>Snyder v. Ocwen Loan Servicing, LLC (N.D. Ill.); Beecroft v. Ocwen Loan Servicing, LLC (N.D.</w:t>
      </w:r>
      <w:r>
        <w:rPr>
          <w:rFonts w:ascii="Arial" w:cs="Arial" w:eastAsia="Arial" w:hAnsi="Arial"/>
          <w:sz w:val="16"/>
          <w:szCs w:val="16"/>
          <w:color w:val="auto"/>
        </w:rPr>
        <w:t xml:space="preserve"> </w:t>
      </w:r>
      <w:r>
        <w:rPr>
          <w:rFonts w:ascii="Arial" w:cs="Arial" w:eastAsia="Arial" w:hAnsi="Arial"/>
          <w:sz w:val="16"/>
          <w:szCs w:val="16"/>
          <w:i w:val="1"/>
          <w:iCs w:val="1"/>
          <w:color w:val="auto"/>
        </w:rPr>
        <w:t>Ill.)</w:t>
      </w:r>
      <w:r>
        <w:rPr>
          <w:rFonts w:ascii="Arial" w:cs="Arial" w:eastAsia="Arial" w:hAnsi="Arial"/>
          <w:sz w:val="16"/>
          <w:szCs w:val="16"/>
          <w:color w:val="auto"/>
        </w:rPr>
        <w:t>. In October 2017, the court preliminarily approved the settlement and, thereafter, we paid a settlement amount into an escrow account held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administrator. However, in September 2018, the Court denied the motion for final approval. In November 2018, the parties engaged in mediation to address the issues raised by the Court in its denial order. The parties thereafter reached agreement on a revised settlement. In June 2019, the court entered an order approving the settlement, and Ocwen is taking steps to satisfy its settlement obligations. The settlement provides for the establishment of a settlement fund to be distributed to class members that submit claims for settlement benefits pursuant to a claims administration process. While Ocwen believes that it has sound legal and factual defenses, Ocwen agreed to the settlement in order to avoid the uncertain outcome of litigation and the additional expense and demands on the time of its senior management that such litigation would involve.</w:t>
      </w:r>
    </w:p>
    <w:p>
      <w:pPr>
        <w:spacing w:after="0" w:line="17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Ocwen is also involved in a related TCPA class action that involves claims against trustees of RMBS trusts based on vicarious liability for Ocwen’s alleged non-compliance with the TCPA. The trustees have indicated they may seek indemnification from Ocwen based on the vicarious liability claims. Additional lawsuits have been and may be filed against us in relation to our TCPA compliance. Our accrual with respect to TCPA matters is included in the $39.0 million legal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2" w:name="page63"/>
    <w:bookmarkEnd w:id="62"/>
    <w:p>
      <w:pPr>
        <w:ind w:right="20"/>
        <w:spacing w:after="0" w:line="259" w:lineRule="auto"/>
        <w:rPr>
          <w:sz w:val="20"/>
          <w:szCs w:val="20"/>
          <w:color w:val="auto"/>
        </w:rPr>
      </w:pPr>
      <w:r>
        <w:rPr>
          <w:rFonts w:ascii="Arial" w:cs="Arial" w:eastAsia="Arial" w:hAnsi="Arial"/>
          <w:sz w:val="18"/>
          <w:szCs w:val="18"/>
          <w:color w:val="auto"/>
        </w:rPr>
        <w:t>regulatory accrual referenced above. At this time, Ocwen is unable to predict the outcome of existing lawsuits or any additional lawsuits that may be filed,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 xml:space="preserve">We have settled two “opt-out” securities fraud actions brought on behalf of certain putative shareholders of Ocwen based on allegations in connection with the restatements of our 2013 and first quarter 2014 financial statements, among other matters. </w:t>
      </w:r>
      <w:r>
        <w:rPr>
          <w:rFonts w:ascii="Arial" w:cs="Arial" w:eastAsia="Arial" w:hAnsi="Arial"/>
          <w:sz w:val="18"/>
          <w:szCs w:val="18"/>
          <w:i w:val="1"/>
          <w:iCs w:val="1"/>
          <w:color w:val="auto"/>
        </w:rPr>
        <w:t>See Brahman Partners et al. v. Ocwen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 et al. (S.D. Fla.) </w:t>
      </w:r>
      <w:r>
        <w:rPr>
          <w:rFonts w:ascii="Arial" w:cs="Arial" w:eastAsia="Arial" w:hAnsi="Arial"/>
          <w:sz w:val="18"/>
          <w:szCs w:val="18"/>
          <w:color w:val="auto"/>
        </w:rPr>
        <w:t>and</w:t>
      </w:r>
      <w:r>
        <w:rPr>
          <w:rFonts w:ascii="Arial" w:cs="Arial" w:eastAsia="Arial" w:hAnsi="Arial"/>
          <w:sz w:val="18"/>
          <w:szCs w:val="18"/>
          <w:i w:val="1"/>
          <w:iCs w:val="1"/>
          <w:color w:val="auto"/>
        </w:rPr>
        <w:t xml:space="preserve"> Owl Creek et al. v. Ocwen Financial Corporation et al. (S.D. Fla.). </w:t>
      </w:r>
      <w:r>
        <w:rPr>
          <w:rFonts w:ascii="Arial" w:cs="Arial" w:eastAsia="Arial" w:hAnsi="Arial"/>
          <w:sz w:val="18"/>
          <w:szCs w:val="18"/>
          <w:color w:val="auto"/>
        </w:rPr>
        <w:t>Both of these cases were dismissed with prejudice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2019.</w:t>
      </w:r>
    </w:p>
    <w:p>
      <w:pPr>
        <w:spacing w:after="0" w:line="18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 xml:space="preserve">We have previously disclosed that as a result of the federal and state regulatory actions taken in April 2017 and shortly thereafter, which are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Arial" w:cs="Arial" w:eastAsia="Arial" w:hAnsi="Arial"/>
          <w:sz w:val="17"/>
          <w:szCs w:val="17"/>
          <w:i w:val="1"/>
          <w:iCs w:val="1"/>
          <w:color w:val="auto"/>
        </w:rPr>
        <w:t>Carvelli v. Ocwen Financial Corporation et al. (S.D. Fla.).</w:t>
      </w:r>
      <w:r>
        <w:rPr>
          <w:rFonts w:ascii="Arial" w:cs="Arial" w:eastAsia="Arial" w:hAnsi="Arial"/>
          <w:sz w:val="17"/>
          <w:szCs w:val="17"/>
          <w:color w:val="auto"/>
        </w:rPr>
        <w:t xml:space="preserve"> In April 2018, the court in Carvelli granted our motion to dismiss, and dismissed the consolidated case with prejudice. Plaintiffs thereafter filed a notice of appeal with the Court of Appeals for the Eleventh Circuit, and a hearing took place in June 2019. In August 2019, the Court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Appeals affirmed the district court’s ruling dismissing the consolidated case with prejudice. Plaintiffs have until November 13,</w:t>
      </w:r>
    </w:p>
    <w:p>
      <w:pPr>
        <w:spacing w:after="0" w:line="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2019 to appeal to the United States Supreme Court.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 filed, Ocwen intends to vigorously defend itself against such lawsuits. If our efforts to defend the existing lawsuit or any future lawsuit are not successful, our business, reputation, financial condition, liquidity and results of operations could be materially and adversely affected.</w:t>
      </w:r>
    </w:p>
    <w:p>
      <w:pPr>
        <w:spacing w:after="0" w:line="5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18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3" w:name="page64"/>
    <w:bookmarkEnd w:id="63"/>
    <w:p>
      <w:pPr>
        <w:ind w:right="20"/>
        <w:spacing w:after="0" w:line="312" w:lineRule="auto"/>
        <w:rPr>
          <w:sz w:val="20"/>
          <w:szCs w:val="20"/>
          <w:color w:val="auto"/>
        </w:rPr>
      </w:pPr>
      <w:r>
        <w:rPr>
          <w:rFonts w:ascii="Arial" w:cs="Arial" w:eastAsia="Arial" w:hAnsi="Arial"/>
          <w:sz w:val="16"/>
          <w:szCs w:val="16"/>
          <w:color w:val="auto"/>
        </w:rPr>
        <w:t>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3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on November 1, 2019</w:t>
      </w:r>
    </w:p>
    <w:p>
      <w:pPr>
        <w:spacing w:after="0" w:line="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Prior to the initiation of legal proceedings, we had been engaged with the CFPB in efforts to resolve the matter and recorded $12.5 million as of December 31, 2016 as a result of these discussions. Our accrual with respect to this matter is included in the $39.0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State Attorneys General and Other Matters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692" w:right="279" w:bottom="1440" w:gutter="0" w:footer="0" w:header="0"/>
        </w:sectPr>
      </w:pPr>
    </w:p>
    <w:bookmarkStart w:id="64" w:name="page65"/>
    <w:bookmarkEnd w:id="64"/>
    <w:p>
      <w:pPr>
        <w:ind w:right="40" w:firstLine="324"/>
        <w:spacing w:after="0" w:line="293" w:lineRule="auto"/>
        <w:rPr>
          <w:sz w:val="20"/>
          <w:szCs w:val="20"/>
          <w:color w:val="auto"/>
        </w:rPr>
      </w:pPr>
      <w:r>
        <w:rPr>
          <w:rFonts w:ascii="Arial" w:cs="Arial" w:eastAsia="Arial" w:hAnsi="Arial"/>
          <w:sz w:val="16"/>
          <w:szCs w:val="16"/>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Ocwen would not acquire any new residential MSRs until April 30, 2018.</w:t>
      </w:r>
    </w:p>
    <w:p>
      <w:pPr>
        <w:spacing w:after="0" w:line="23"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ind w:left="660" w:right="5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24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Ocwen would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Ocwen would provide financial condition reporting on a confidential basis as part of each state’s supervisory framework through September 2020.</w:t>
      </w:r>
    </w:p>
    <w:p>
      <w:pPr>
        <w:spacing w:after="0" w:line="2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81" w:lineRule="exact"/>
        <w:rPr>
          <w:sz w:val="20"/>
          <w:szCs w:val="20"/>
          <w:color w:val="auto"/>
        </w:rPr>
      </w:pPr>
    </w:p>
    <w:p>
      <w:pPr>
        <w:ind w:left="66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Ocwen agreed with the Connecticut Department of Banking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 its agreement with the Maryland Office of the Commissioner of Financial Regulation, Ocwen agreed to complete an independent management assessment and enterprise risk assessment and to a prohibition, with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2"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Ocwen agreed with the Massachusetts Division of Banks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system. All restrictions on Massachusetts MSR acquisitions will be lifted when Ocwen completes the second phase of a three-phase data integrity audit which will be conducted by an independent third-party following completion of Ocwen’s servicing system transition. The first phase of this audit, which was required to be completed prior to transitioning any Massachusetts loans to a new servicing system, has already been completed.</w:t>
      </w:r>
    </w:p>
    <w:p>
      <w:pPr>
        <w:spacing w:after="0" w:line="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Accordingly, we have now resolved all of the administrative actions (but not all of the legal actions, which are described below) taken by state regulators in April 2017.</w:t>
      </w:r>
    </w:p>
    <w:p>
      <w:pPr>
        <w:spacing w:after="0" w:line="6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have taken substantial steps toward fulfilling our commitments under the agreements described above, including completing the transfer of loans to Black Knight MSP, developing and implementing certain enhancements to our consumer complaint process, engaging a third-party auditor who has completed the initial testing phase of its escrow review, and complying with our other information sharing and reporting obligations.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and shortly thereafter,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92" w:right="23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7"/>
          <w:szCs w:val="17"/>
          <w:color w:val="auto"/>
        </w:rPr>
        <w:t>relief, costs, and civil money penalties in excess of $10,000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 filed an amended complaint on November 1, 2019. We are reviewing and planning our response to the amended complaint. We believe we have factual and legal defenses to the allegations raised in this lawsuit and are vigorously defending ourselves. The outcome of this lawsuit, whether through a negotiated settlement, court rulings or otherwise, could potentially involve monetary fines or penalties or additional restrictions on our business and could be materially adverse to our business, reputation, financial condition, liquidity and results of operations. Our accrual with respect to this matter is included in the $39.0 million litigation and regulatory matters accrual referenced above. We cannot currently estimate the amount, if any, of reasonably possible loss above the amount currently accrued.</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In April 2019, we agreed to resolve this matter without admitting liability. The resolution includes a payment to the Commonwealth of Massachusetts of $675,000, a loan modification program for certain eligible Massachusetts borrowers, and certain already-completed relief. The settlement amount of $675,000 was paid in April 2019.</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accrual with respect to the administrative and legal actions initiated in April 2017 is included in the $39.0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although the initial testing phase is now complete, the third-party auditor continues its work, including drafting its final report. To the extent that errors that have been identified require remediation, we will incur costs in connection with remediating those errors.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16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Certain of the state regulators’ cease and desist orders referenced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Ocwen responded to the MOU items and continues to provide certain reports and other information pursuant to the MOU. 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6" w:name="page67"/>
    <w:bookmarkEnd w:id="66"/>
    <w:p>
      <w:pPr>
        <w:ind w:right="100"/>
        <w:spacing w:after="0" w:line="277" w:lineRule="auto"/>
        <w:rPr>
          <w:sz w:val="20"/>
          <w:szCs w:val="20"/>
          <w:color w:val="auto"/>
        </w:rPr>
      </w:pPr>
      <w:r>
        <w:rPr>
          <w:rFonts w:ascii="Arial" w:cs="Arial" w:eastAsia="Arial" w:hAnsi="Arial"/>
          <w:sz w:val="18"/>
          <w:szCs w:val="18"/>
          <w:color w:val="auto"/>
        </w:rPr>
        <w:t>documentation related to the origination and underwriting of loans guaranteed by the Veterans Benefits Administration. We understand that other servicers in the industry have received similar subpoenas.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our lending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5"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We have exposure to origination representation, warranty and indemnification obligations relating to our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w:t>
      </w:r>
    </w:p>
    <w:p>
      <w:pPr>
        <w:spacing w:after="0" w:line="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At September 30, 2019 and September 30, 2018, we had outstanding representation and warranty repurchase demands of $49.9 million UPB (289 loans) and $26.5 million UPB (160 loans), respectively. We review each demand and monitor through resolution, primarily through rescission, loan repurchase or make-whole payment.</w:t>
      </w:r>
    </w:p>
    <w:p>
      <w:pPr>
        <w:spacing w:after="0" w:line="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and compensatory fees for foreclosures that may ultimately exceed investor timelines and similar indemnification obligations: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Provision (reversal) for representation and warranty obligations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4,443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production reserves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Charge-offs and other (2) (3)</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14,887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17,107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980" w:hanging="332"/>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7" w:name="page68"/>
    <w:bookmarkEnd w:id="67"/>
    <w:p>
      <w:pPr>
        <w:spacing w:after="0" w:line="123" w:lineRule="exact"/>
        <w:rPr>
          <w:sz w:val="20"/>
          <w:szCs w:val="20"/>
          <w:color w:val="auto"/>
        </w:rPr>
      </w:pPr>
    </w:p>
    <w:p>
      <w:pPr>
        <w:ind w:left="340" w:right="160" w:hanging="332"/>
        <w:spacing w:after="0" w:line="25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1" w:lineRule="exact"/>
        <w:rPr>
          <w:rFonts w:ascii="Arial" w:cs="Arial" w:eastAsia="Arial" w:hAnsi="Arial"/>
          <w:sz w:val="16"/>
          <w:szCs w:val="16"/>
          <w:color w:val="auto"/>
        </w:rPr>
      </w:pPr>
    </w:p>
    <w:p>
      <w:pPr>
        <w:ind w:left="340" w:right="440" w:hanging="332"/>
        <w:spacing w:after="0" w:line="25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$18.0 million liability for representation and warranty obligations as of September 30, 2019 related to sold advances previously presented as allowance for losses. See Note 7 – Advances.</w:t>
      </w:r>
    </w:p>
    <w:p>
      <w:pPr>
        <w:spacing w:after="0" w:line="7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2019</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four mortgage insurers, and expects the ultimate outcome to result in recovery of additional unpaid claims, although we cannot quantify the likely amount at this time.</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may, from time to time, have affirmative indemnification and other claims against parties from whom we acquired MSRs or other assets. Although we pursue these claims, we cannot currently estimate the amount, if any, of further recoveries. Similarly, from time to time, indemnification and other claims are made against us by parties to whom we sold MSRs or other assets. We cannot currently estimate the amount, if any, of reasonably possible loss above amounts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Part II, Item 1A. Risk Factors, as well as those discussed in our other reports and filings with the SEC, including those in our Annual Report on Form 10-K for the year ended December 31, 2018 and any subsequent SEC filings.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We are a financial services company that services and originates loans. The majority of our revenues are generated from our residential mortgage servicing business. At September 30, 2019, our residential mortgage servicing portfolio consisted of 1,451,653 loans with a UPB of $216.8 billion. In our lending business, we originate, purchase, sell and securitize conventional and government-insured forward and reverse mortgage loans. During the nine months ended September 30, 2019, our lending business originated or purchased forward and reverse mortgage loans with a UPB of $586.0 million and $470.6 million,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established a set of key business initiatives to achieve our objective of returning to profitability.</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First, we have successfully executed the acquisition of PHH Corporation and continue our planned integration of PHH’s business with ours. We have fully transitioned our servicing onto the Black Knight MSP servicing system which includes loan boarding, payment processing, escrow administration, and default management, among other functions. We have reduced total staffing levels significantly. We have successfully vacated five U.S. facilities and expect to close the last U.S. facility scheduled for closure by the end of 2019. We have completed the mergers of two of our primary licensed operating entities, Homeward and OLS into PMC, with PMC being the surviving corporation. We believe our acquisition of PHH provided us with the opportunity to transform into a stronger, more efficient company better able to serve our customers and clients and positioned us to execute on strategies to enable a return to profitability.</w:t>
      </w:r>
    </w:p>
    <w:p>
      <w:pPr>
        <w:spacing w:after="0" w:line="18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Second, we must re-engineer our cost structure to go beyond eliminating redundant costs through the integration process. Our cost re-engineering plan addresses organizational, process and control redesign and automation, human capital planning, off-shore utilization, strategic sourcing and facilities rationalization. Our initiatives are targeted at increasing the degree of automation of our processes, leveraging our single servicing platform and technology, and through innovation. We believe these steps are necessary in order to simplify our operations and drive stronger financial performance.</w:t>
      </w:r>
    </w:p>
    <w:p>
      <w:pPr>
        <w:spacing w:after="0" w:line="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Third, we must manage the size of our servicing portfolio through expanding our lending business and permissible MSR acquisitions that are prudent and well-executed with appropriate financial return targets. During the nine months ended September 30, 2019, we closed MSR acquisitions with $11.9 billion UPB. We expect to continue to focus on acquiring Agency and government-insured MSR portfolios that meet or exceed our minimum targeted investment returns. We also executed on our plans to re-enter the forward lending correspondent channel in the second quarter of 2019 and we continue to pursue a number of other MSR acquisition options, including driving improved recapture rates within our existing servicing portfolio. In addition to our organic growth initiatives in lending, we have been actively engaged in evaluating opportunities to acquire complimentary lending businesses that can generate significant volume through mortgage lending cycles and provide a sustainable MSR source.</w:t>
      </w:r>
    </w:p>
    <w:p>
      <w:pPr>
        <w:spacing w:after="0" w:line="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Fourth, we must manage our balance sheet to ensure adequate liquidity and provide a solid platform for executing on our other key business initiatives. On July 1, 2019, we established a financing facility secured by MSRs that provides up to $300.0 million in committed borrowing capacity. We believe this</w:t>
      </w:r>
    </w:p>
    <w:p>
      <w:pPr>
        <w:sectPr>
          <w:pgSz w:w="11900" w:h="16962" w:orient="portrait"/>
          <w:cols w:equalWidth="0" w:num="1">
            <w:col w:w="11400"/>
          </w:cols>
          <w:pgMar w:left="240" w:top="589" w:right="259" w:bottom="0" w:gutter="0" w:footer="0" w:header="0"/>
        </w:sectPr>
      </w:pPr>
    </w:p>
    <w:bookmarkStart w:id="68" w:name="page69"/>
    <w:bookmarkEnd w:id="68"/>
    <w:p>
      <w:pPr>
        <w:ind w:right="560"/>
        <w:spacing w:after="0" w:line="264" w:lineRule="auto"/>
        <w:rPr>
          <w:sz w:val="20"/>
          <w:szCs w:val="20"/>
          <w:color w:val="auto"/>
        </w:rPr>
      </w:pPr>
      <w:r>
        <w:rPr>
          <w:rFonts w:ascii="Arial" w:cs="Arial" w:eastAsia="Arial" w:hAnsi="Arial"/>
          <w:sz w:val="18"/>
          <w:szCs w:val="18"/>
          <w:color w:val="auto"/>
        </w:rPr>
        <w:t>facility will enable the funding of the majority of our near term MSR acquisition initiatives. We intend to extend, renew or replace our SSTL Facility Agreement that matures in December 2020 and must evaluate capital structure options that we believe will most effectively allow us to execute on our business plan.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Finally, we must fulfill our regulatory commitments and resolve our remaining legal and regulatory matters on satisfactory terms. Our business, operating results and financial condition have been significantly impacted in recent periods by regulatory actions against us and by significant litigation matters. Should the number or scope of regulatory or legal actions against us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9" w:name="page70"/>
    <w:bookmarkEnd w:id="69"/>
    <w:p>
      <w:pPr>
        <w:ind w:right="380"/>
        <w:spacing w:after="0" w:line="264" w:lineRule="auto"/>
        <w:rPr>
          <w:sz w:val="20"/>
          <w:szCs w:val="20"/>
          <w:color w:val="auto"/>
        </w:rPr>
      </w:pPr>
      <w:r>
        <w:rPr>
          <w:rFonts w:ascii="Arial" w:cs="Arial" w:eastAsia="Arial" w:hAnsi="Arial"/>
          <w:sz w:val="18"/>
          <w:szCs w:val="18"/>
          <w:color w:val="auto"/>
        </w:rPr>
        <w:t>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recent periods, Ocwen has incurred significant losses as a result of declines in the fair value of our MSRs. Further interest rate decreases, prepayment speed increases or changes to other fair value inputs or assumptions could result in further fair value declines and hamper our ability to return to profitability. Starting in September 2019, we have implemented a hedging strategy to partially offset the changes in fair value of our net MSR portfolio. See Item 3 - Quantitative and Qualitative Disclosures about Market Risk for further information.</w:t>
      </w:r>
    </w:p>
    <w:p>
      <w:pPr>
        <w:spacing w:after="0" w:line="18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ability to execute on these key business initiatives is not certain and is dependent on the successful execution of several complex actions, including our ability to grow our lending business and acquire MSRs with appropriate financial return targets and execute on further organizational redesign and headcount reductions, as well as the absence of significant unforeseen costs, including regulatory or legal costs, that could negatively impact our cost re-engineering efforts, and our ability to renew, replace or extend our debt agreements in the ordinary course, including our SSTL. There can be no assurances that the desired strategic and financial benefits of these actions will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an overview of our financial results and selected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w w:val="93"/>
              </w:rPr>
              <w:t xml:space="preserve">In millions </w:t>
            </w:r>
            <w:r>
              <w:rPr>
                <w:rFonts w:ascii="Arial" w:cs="Arial" w:eastAsia="Arial" w:hAnsi="Arial"/>
                <w:sz w:val="16"/>
                <w:szCs w:val="16"/>
                <w:i w:val="1"/>
                <w:iCs w:val="1"/>
                <w:color w:val="auto"/>
                <w:w w:val="93"/>
              </w:rPr>
              <w:t>(except for headcount data and</w:t>
            </w: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Nine Months Ended 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i w:val="1"/>
                <w:iCs w:val="1"/>
                <w:color w:val="auto"/>
              </w:rPr>
              <w:t>unless otherwise noted)</w:t>
            </w: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MSR valuation adjustments, net</w:t>
            </w: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Average UPB serviced (in billions)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loan production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Average employment</w:t>
            </w: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Ocwen reported a net loss of $42.8 million in the third quarter of 2019.</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Total revenue was $283.5 million for the third quarter of 2019, an increase of $45.2 million or 19% compared to the same period in 2018. The increase in total revenue is mostly driven by a higher average UPB serviced and the related mix of servicing versus subservicing, partially offset by fewer borrower loan modifications. The 35% increase in our average servicing portfolio UPB from $164.1 billion in the third quarter of 2018 to $221.1 billion in the third quarter of 2019 is mainly due to the acquisition of PHH in October 2018 and, to a lesser extent our bulk MSR acquisitions, partially offset by the runoff of the portfolio.</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Operating expenses, representing our Total expenses less MSR valuation adjustments, net, were mostly flat compared with the 2018 periods prior to the acquisition of PHH, with $179.3 million recognized for the third quarter of 2019 compared to $176.1 million for the third quarter of 2018. Operating expenses in the third quarter of 2019 included re-engineering costs of $18.3 million. In addition, operating expenses in the third quarter of 2018 did not include the operating expenses of PHH as we closed the acquisition in October 2018. Accordingly, while the operating expenses for the third quarter in 2019 remain mostly flat compared with 2018, the incremental operating expenses of the integrated PHH business and the re-engineering costs were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70" w:name="page71"/>
    <w:bookmarkEnd w:id="70"/>
    <w:p>
      <w:pPr>
        <w:ind w:right="160"/>
        <w:spacing w:after="0" w:line="277" w:lineRule="auto"/>
        <w:rPr>
          <w:sz w:val="20"/>
          <w:szCs w:val="20"/>
          <w:color w:val="auto"/>
        </w:rPr>
      </w:pPr>
      <w:r>
        <w:rPr>
          <w:rFonts w:ascii="Arial" w:cs="Arial" w:eastAsia="Arial" w:hAnsi="Arial"/>
          <w:sz w:val="18"/>
          <w:szCs w:val="18"/>
          <w:color w:val="auto"/>
        </w:rPr>
        <w:t>mostly offset by significant expense reductions across the business. Similarly, the reduction of our workforce by 9% compared with the third quarter 2018 is net of the increase in employment associated with the acquisition of PHH.</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Ocwen reported a net $134.6 million gain in MSR valuation adjustments, net in the third quarter of 2019. The gain is mostly driven by $256.9 million favorable assumption updates by our third party valuation experts partially offset by $67.6 million valuation loss due to the decline in interest rates and $54.7 million of portfolio runoff. The assumption fair value gains related mostly to our non-Agency MSR portfolio due to continued improved collateral performance confirmed by recent market trade activity. $925.5 million of our MSRs at September 30, 2019 have been sold under different agreements that did not qualify for sale accounting treatment and, therefore are reported as MSR assets, pledged at fair value together with an associated liability for the MSR secured borrowing at fair value. Because both pledged MSRs and the associated MSR secured borrowing liability are measured at fair value, changes in fair value largely offset each other, although they are separately presented in our statement of operations, as MSR valuation adjustments, net and interest expense, respectively. The following table summarizes the fair value change impact on our statement of operations of our total MSRs and Financing liability-MSRs pledged during the third quarter of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Change in</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Interest Rate</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Assumption</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Runoff</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Updates</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 valuation adjustments,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(Financing liability-MSRs pledged) (1)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32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changes in fair value, including runoff and settlement, of the NRZ related MSR secured borrowing under the Original Rights to MSRs Agreements and PMC MSR Agreements. See Note 10 — Rights to MSRs for further information.</w:t>
      </w:r>
    </w:p>
    <w:p>
      <w:pPr>
        <w:spacing w:after="0" w:line="16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total change in fair value of both the MSR and the associated MSR secured borrowing was a $36.8 million loss for the third quarter of 2019, explained by $27.6 million of portfolio runoff, a $31.1 million loss related to the impact of interest rate declines partially offset by a $21.9 million gain due to valuation assumption updates. The net $21.9 million impact of the favorable valuation assumption updates mostly related to our non-Agency MSR portfolio and resulted from an average price increase of 47% in the quarter ended September 30, 2019, with the following non-Agency assumption changes made by our valuation experts (see Note 5 – Fair Value for additional information):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2019</w:t>
            </w:r>
          </w:p>
        </w:tc>
        <w:tc>
          <w:tcPr>
            <w:tcW w:w="20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June 30, 2019</w:t>
            </w:r>
          </w:p>
        </w:tc>
      </w:tr>
      <w:tr>
        <w:trPr>
          <w:trHeight w:val="27"/>
        </w:trPr>
        <w:tc>
          <w:tcPr>
            <w:tcW w:w="7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prepayment speed</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delinquency rate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7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5-year swap plus</w:t>
            </w:r>
          </w:p>
        </w:tc>
        <w:tc>
          <w:tcPr>
            <w:tcW w:w="20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0"/>
        </w:trPr>
        <w:tc>
          <w:tcPr>
            <w:tcW w:w="7980" w:type="dxa"/>
            <w:vAlign w:val="bottom"/>
          </w:tcPr>
          <w:p>
            <w:pPr>
              <w:ind w:left="40"/>
              <w:spacing w:after="0"/>
              <w:rPr>
                <w:sz w:val="20"/>
                <w:szCs w:val="20"/>
                <w:color w:val="auto"/>
              </w:rPr>
            </w:pPr>
            <w:r>
              <w:rPr>
                <w:rFonts w:ascii="Arial" w:cs="Arial" w:eastAsia="Arial" w:hAnsi="Arial"/>
                <w:sz w:val="18"/>
                <w:szCs w:val="18"/>
                <w:color w:val="auto"/>
              </w:rPr>
              <w:t>Advance financing cost</w:t>
            </w:r>
          </w:p>
        </w:tc>
        <w:tc>
          <w:tcPr>
            <w:tcW w:w="12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2.75%</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5-year swap minus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5-yr swap minus</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w:t>
            </w:r>
          </w:p>
        </w:tc>
      </w:tr>
      <w:tr>
        <w:trPr>
          <w:trHeight w:val="27"/>
        </w:trPr>
        <w:tc>
          <w:tcPr>
            <w:tcW w:w="7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Interest expense was $285.9 million for the third quarter of 2019. Interest expense included $171.4 million related to changes in fair value of our MSR secured financing, which was comprised of a $235.0 million loss due to assumption updates, mostly related to non-Agency MSRs, partially offset by a favorable valuation change due to $36.5 million interest rate decline and $27.1 million gain due to runoff. As described above, because we record both our MSRs and the associated MSR secured financing liabilities at fair value, the changes in fair value of the MSR secured financing liabilities, presented in Interest expense, were largely offset by the changes in fair value of the associated MSRs pledged, presented in MSR valuation adjustments, net.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71" w:name="page72"/>
    <w:bookmarkEnd w:id="71"/>
    <w:p>
      <w:pPr>
        <w:ind w:right="420" w:firstLine="324"/>
        <w:spacing w:after="0" w:line="277" w:lineRule="auto"/>
        <w:rPr>
          <w:sz w:val="20"/>
          <w:szCs w:val="20"/>
          <w:color w:val="auto"/>
        </w:rPr>
      </w:pPr>
      <w:r>
        <w:rPr>
          <w:rFonts w:ascii="Arial" w:cs="Arial" w:eastAsia="Arial" w:hAnsi="Arial"/>
          <w:sz w:val="18"/>
          <w:szCs w:val="18"/>
          <w:color w:val="auto"/>
        </w:rPr>
        <w:t>The following discussion addresses each component of our statement of operations, and further detail related to our servicing, lending and corporate segments is provided in the discussion by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 Summary</w:t>
            </w: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247,714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213,730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742,759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658,095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loans held for sale, net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16,942</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61,135</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7,606</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32,886</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238,278</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752,116</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41,448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91,695</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63,307</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211,220</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31,758</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91,452</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40,662</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110,821</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20,597</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67,306</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11,896</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7,858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19,814</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217,526</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656,323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629,677</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10,018</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(61,288)</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(189,601)</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w w:val="92"/>
              </w:rPr>
              <w:t>Gain on repurchase of senior secured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(186,152)</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(63,713)</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4,541</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(41,118)</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(68,254)</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Net income attributable to non-</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b w:val="1"/>
                <w:bCs w:val="1"/>
                <w:color w:val="auto"/>
              </w:rPr>
              <w:t>Net loss attributable to Ocwen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(68,430)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Segment income (loss) before income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taxes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(129,697)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8,106</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(24,309)</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(80,487)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2018</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Servicing and subservicing fee revenue increased $34.0 million, or 16%, as compared to the third quarter of 2018, primarily due to the increase in the portfolio resulting from the acquisition of PHH on October 4, 2018 and the acquisition of MSRs during the first nine months of 2019, partially offset by portfolio runoff and a decline in completed modifications.</w:t>
      </w:r>
    </w:p>
    <w:p>
      <w:pPr>
        <w:sectPr>
          <w:pgSz w:w="11900" w:h="16838" w:orient="portrait"/>
          <w:cols w:equalWidth="0" w:num="1">
            <w:col w:w="11420"/>
          </w:cols>
          <w:pgMar w:left="240" w:top="69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692" w:right="239" w:bottom="1440" w:gutter="0" w:footer="0" w:header="0"/>
          <w:type w:val="continuous"/>
        </w:sectPr>
      </w:pPr>
    </w:p>
    <w:bookmarkStart w:id="72" w:name="page73"/>
    <w:bookmarkEnd w:id="72"/>
    <w:p>
      <w:pPr>
        <w:ind w:right="440" w:firstLine="324"/>
        <w:spacing w:after="0" w:line="264" w:lineRule="auto"/>
        <w:rPr>
          <w:sz w:val="20"/>
          <w:szCs w:val="20"/>
          <w:color w:val="auto"/>
        </w:rPr>
      </w:pPr>
      <w:r>
        <w:rPr>
          <w:rFonts w:ascii="Arial" w:cs="Arial" w:eastAsia="Arial" w:hAnsi="Arial"/>
          <w:sz w:val="18"/>
          <w:szCs w:val="18"/>
          <w:color w:val="auto"/>
        </w:rPr>
        <w:t>Gain on loans held for sale, net declined $0.9 million, or 5%, as compared to the third quarter of 2018 due to margin deterioration offset by a 29% increase in loan production. The reduction in margin was largely attributable to lower gain on sales margins driven by increased price competition in the wholesale and correspondent channels as compared to the same period in 2018.</w:t>
      </w:r>
    </w:p>
    <w:p>
      <w:pPr>
        <w:spacing w:after="0" w:line="73"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Other revenue, net increased $12.2 million, or 160%, as compared to the third quarter of 2018, largely due to a $12.9 million favorable net change in the fair values of our HECM reverse mortgage loans and the related HMBS financing liability. This increase is mostly due to the fair value election for future draw commitments on HECM reverse mortgage loans purchased or originated after December 31, 2018 and lower interest rates.</w:t>
      </w:r>
    </w:p>
    <w:p>
      <w:pPr>
        <w:spacing w:after="0" w:line="16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reported a net gain of 134.6 million in MSR valuation adjustments, net in the third quarter of 2019, compared to a net loss of $41.4 million in the third quarter of 2018. The $176.0 million change is primarily due to $252.3 million related to fair value assumption updates based on continued improved collateral performance of our non-Agency MSR portfolio confirmed by recent market trade activity, partially offset by the $67.6 million impact of a decrease in interest rates. The 10-year swap rate declined 40 basis points in the third quarter of 2019 compared to an increase of 10 basis points in the third quarter of 2018. The fair value gain related to assumption updates was further offset by $8.5 million of net unfavorable impacts from higher portfolio runoff.</w:t>
      </w:r>
    </w:p>
    <w:p>
      <w:pPr>
        <w:spacing w:after="0" w:line="15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Operating expenses, representing Total expenses excluding MSR valuation adjustments, net, increased $3.2 million, or 2%, as compared to the third quarter of 2018.</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Compensation and benefits expense increased $10.1 million, or 16%, as compared to the third quarter of 2018, primarily due to PHH compensation and benefits expense and $7.3 million of severance and retention costs recognized in connection with our integration-related headcount reductions of primarily U.S.-based employees, partially offset by a decrease in expenses that reflects the results of our efforts to re-engineer our cost structure, align headcount in our servicing operations and corporate segment with the size of our servicing portfolio. However, the average of higher-cost U.S. headcount increased to 31% of the total from 25% for the third quarter of 2018.</w:t>
      </w:r>
    </w:p>
    <w:p>
      <w:pPr>
        <w:spacing w:after="0" w:line="188"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Servicing and origination expense increased $4.9 million, or 15%, as compared to the third quarter of 2018, primarily due to a $3.6 million increase in government-insured claim loss provisions on reinstated or modified loans and an increase in other servicing-related expenses associated with a larger portfolio, offset in part by a $2.3 million decrease in provisions for non-recoverable servicing advances and receivables. Government-insured claim loss provisions are generally offset by changes in the fair value of the corresponding MSRs, which are recorded in MSR valuation adjustments, net.</w:t>
      </w:r>
    </w:p>
    <w:p>
      <w:pPr>
        <w:spacing w:after="0" w:line="15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Professional services expense decreased $4.0 million, or 10%, as compared to the third quarter of 2018, primarily due to a decline in legal fees and settlements offset in part by expenses attributable to PHH.</w:t>
      </w:r>
    </w:p>
    <w:p>
      <w:pPr>
        <w:spacing w:after="0" w:line="170"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Technology and communication expense declined $4.0 million, or 19%, as compared to the third quarter of 2018 primarily due to our cost reduction efforts, which include bringing technology services in-house, offset by an increase in expenses as a result of the PHH acquisition.</w:t>
      </w:r>
    </w:p>
    <w:p>
      <w:pPr>
        <w:spacing w:after="0" w:line="14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Occupancy and equipment expense increased $5.4 million, or 45%, as compared to the third quarter of 2018 primarily due to expenses attributable to PHH and the recognition of accelerated amortization of ROU assets in connection with our decision to vacate leased properties prior to the contractual maturity date of the lease agreements, offset in part by the results of our cost reduction efforts which include consolidating vendors and closing and consolidating certain facilities.</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Other expenses decreased $9.1 million as compared to the third quarter of 2018 primarily as a result of a $8.4 million decline in the provision for indemnification obligations due to updated default, defect and severity assumptions relative to historical performance.</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expense increased $224.6 million, or 367%, as compared to the third quarter of 2018, primarily because of the $219.7 million increase in interest expense on the NRZ financing liabilities, which we account for at fair value, $2.2 million of interest expense on the $300.0 million MSR financing facility entered into on July 1, 2019 and $1.5 million of interest expense incurred on the PHH senior unsecured notes. As discussed above, changes in the fair value of the NRZ financing liabilities are offset, to a large extent, by changes in the fair value of our associated pledged MSRs which are recorded in MSR valuation adjustments,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2018</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Servicing and subservicing fee revenue increased $84.7 million, or 13%, as compared to the nine months ended September 30, 2018, primarily due to the increase in the portfolio resulting from the acquisition of PHH and the acquisition of MSRs during the first nine months of 2019, partially offset by portfolio runoff and a decline in completed loan modifications.</w:t>
      </w:r>
    </w:p>
    <w:p>
      <w:pPr>
        <w:spacing w:after="0" w:line="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Gain on loans held for sale, net declined $12.5 million, or 20%, as compared to the nine months ended September 30, 2018 primarily driven by margin compression. Our lending volume remained mostly stable between the nine months 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3" w:name="page74"/>
    <w:bookmarkEnd w:id="73"/>
    <w:p>
      <w:pPr>
        <w:spacing w:after="0" w:line="308" w:lineRule="auto"/>
        <w:rPr>
          <w:sz w:val="20"/>
          <w:szCs w:val="20"/>
          <w:color w:val="auto"/>
        </w:rPr>
      </w:pPr>
      <w:r>
        <w:rPr>
          <w:rFonts w:ascii="Arial" w:cs="Arial" w:eastAsia="Arial" w:hAnsi="Arial"/>
          <w:sz w:val="17"/>
          <w:szCs w:val="17"/>
          <w:color w:val="auto"/>
        </w:rPr>
        <w:t>September 30, 2019 and the same period in 2018 despite a decline in industry endorsements. The reduction in margin was largely attributable to lower gain on sales margins driven by increased price competition in the wholesale and correspondent channels as compared to the same period in 2018.</w:t>
      </w:r>
    </w:p>
    <w:p>
      <w:pPr>
        <w:spacing w:after="0" w:line="3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Other revenue, net increased $37.4 million, or 114%, as compared to the nine months ended September 30, 2018, largely due to a $42.2 million favorable net change in the fair values of our HECM reverse mortgage loans and the related HMBS financing liability. This increase is due to the fair value election for future draw commitments on HECM reverse mortgage loans purchased or originated after December 31, 2018, lower interest rates and an update in the first quarter of 2019 of the financing assumption for active HECM reverse mortgage loan repurchases in connection with our HMBS Issuer obligations.</w:t>
      </w:r>
    </w:p>
    <w:p>
      <w:pPr>
        <w:spacing w:after="0" w:line="154"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We reported a net loss of $121.7 million in MSR valuation adjustments, net for the first nine months ended September 30, 2019, an increase of $30.0 million, or 33%, as compared to the nine months ended September 30, 2018. The greater decline in fair value is primarily due to portfolio runoff on a larger portfolio due to MSRs added from the PHH acquisition and other Agency MSR purchases and the impact of changes in interest rates, partially offset by the increase in fair value of the non-Agency MSR portfolio recorded in the third quarter of 2019 as discussed above. The 10-year swap rate declined 115 basis points in the nine months ended September 30, 2019, as compared to the 65 basis-point increase in the nine months ended September 30, 2018. The $30.0 million increase in MSR valuation adjustments, net, includes $12.0 million due to runoff and $25.5 million from interest rate changes on MSRs acquired subsequent to the third quarter of 2018, and $249.7 million from interest rate changes on the remainder of the portfolio. This is offset by the $252.3 million net favorable valuation adjustment to our non-Agency MSRs, and $4.6 million from runoff and other assumption updates unrelated to interest rates on existing MSRs.</w:t>
      </w:r>
    </w:p>
    <w:p>
      <w:pPr>
        <w:spacing w:after="0" w:line="18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Operating expenses, representing Total expenses excluding MSR valuation adjustments, net, decreased $3.4 million, or 1%, as compared to the nine months ended September 30, 2018.</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Compensation and benefits expense increased $39.2 million, or 19%, as compared to the nine months ended September 30, 2018, primarily due to PHH compensation and benefits expense and $31.5 million of severance and retention costs recognized in connection with our integration-related headcount reductions of primarily U.S.-based employees, partially offset by a decline in expenses resulting from our efforts to re-engineer our cost structure, align headcount in our servicing operations and corporate segment with the size of our servicing portfolio as well as the strategic decisions executed in late 2017 and early 2018 to exit the automotive capital services business and the forward lending correspondent and wholesale channels. Despite the increase in headcount attributable to the PHH acquisition, average total headcount declined 5% as compared to the nine months ended September 30, 2018. However, the average of higher-cost U.S. headcount increased to 34% of the total from 25% for the nine months ended September 30, 2018.</w:t>
      </w:r>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Servicing and origination expense decreased $4.6 million, or 5%, as compared to the nine months ended September 30, 2018, primarily due to a $5.2 million reduction in government-insured claim loss provisions on reinstated or modified loans in line with a decline in claims and a $7.7 million decrease in provisions for non-recoverable servicing advances and receivables. These declines were offset in part by an increase in other servicing-related expenses associated with a larger portfolio as a result of the PHH acquisition.</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Technology and communication expense decreased $6.2 million, or 9%, as compared to the nine months ended September 30, 2018, primarily due to our cost reduction efforts, which include bringing technology services in-house, offset by an increase in expenses as a result of the PHH acquisition.</w:t>
      </w:r>
    </w:p>
    <w:p>
      <w:pPr>
        <w:spacing w:after="0" w:line="12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Professional services expense decreased $33.6 million, or 30%, as compared to the nine months ended September 30, 2018, primarily due to the recovery from a service provider in the first quarter of 2019 of $30.7 million of amounts previously recognized as expense and a $10.0 million decline in provisions for probable losses in connection with litigation, partially offset by professional services expense attributable to PHH.</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Occupancy and equipment expense increased $15.2 million, or 41%, as compared to the nine months ended September 30, 2018, due to PHH expenses and the recognition of accelerated amortization of ROU assets in connection with our decision to vacate leased properties in 2019 prior to the contractual maturity date of the lease agreements, offset in part by a decline resulting from our cost reduction efforts which include consolidating vendors and closing and consolidating certain facilities.</w:t>
      </w:r>
    </w:p>
    <w:p>
      <w:pPr>
        <w:spacing w:after="0" w:line="18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Other expenses decreased $13.3 million, or 67%, as compared to the nine months ended September 30, 2018, due in large part to a $13.2 million decline in the provision for indemnification obligations due to favorable updates to default, defect and severity assumptions relative to historical performance.</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Interest expense increased $198.3 million, or 105%, as compared to the nine months ended September 30, 2018, primarily because of the $192.0 million increase in interest expense on the NRZ financing liabilities, $4.4 million of interest expense on the PHH senior unsecured notes and $2.2 million of interest expense on the new $300.0 million MSR financing facility, offset in part by a $3.6 million decrease in interest on match funded liabilities. As discussed above, changes in fair value of the NRZ</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4" w:name="page75"/>
    <w:bookmarkEnd w:id="74"/>
    <w:p>
      <w:pPr>
        <w:ind w:right="220"/>
        <w:spacing w:after="0" w:line="277" w:lineRule="auto"/>
        <w:rPr>
          <w:sz w:val="20"/>
          <w:szCs w:val="20"/>
          <w:color w:val="auto"/>
        </w:rPr>
      </w:pPr>
      <w:r>
        <w:rPr>
          <w:rFonts w:ascii="Arial" w:cs="Arial" w:eastAsia="Arial" w:hAnsi="Arial"/>
          <w:sz w:val="18"/>
          <w:szCs w:val="18"/>
          <w:color w:val="auto"/>
        </w:rPr>
        <w:t>financing liability are offset, to a large extent, by changes in fair value of the associated pledged MSRs which are recorded in MSR valuation adjustments, net.</w:t>
      </w:r>
    </w:p>
    <w:p>
      <w:pPr>
        <w:spacing w:after="0" w:line="6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Although we incurred a pre-tax loss for the nine months ended September 30, 2019 of $163.7 million, we recorded income tax expense of $13.3 million due to the mix of earnings among different tax jurisdictions with different statutory tax rates. Our overall effective tax rates for the nine months ended September 30, 2019 and 2018 were (8.1)% and (7.1)%, respectively.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 The change in income tax expense for the nine months ended September 30, 2019, compared with the same period in 2018, was primarily due to tax expense on the gain recognized in the USVI on the merger of OLS into PMC, the effects of the Base Erosion and Anti-Abuse Tax (BEAT) provision of the Tax Act and the increase in the BEAT tax rate from 5% in 2018 to 10% in 2019 as well as increased income tax expense as a result of recognizing income previously deferred for tax purposes related to our NRZ agreements. In addition, income tax expense related to uncertain tax positions increased by $3.3 million in the nine months ended September 30, 2019 as compared to the same period of 2018.</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692"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Financial Condition Summary</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329,132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cash (amounts related to VIEs of $13,725 and $20,968)</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58,661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67,878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1,457,149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0"/>
              </w:rPr>
              <w:t>Advances and match funded advances (amounts related to VIES of $825,760 and $937,294)</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1,038,444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1,186,676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 ($207,645 and $176,525 carried at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242,622</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Loans held for investment, at fair value (amounts related to VIEs of $24,445 and $26,520)</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6,073,687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5,498,719</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Other assets ($8,339 and $7,568 carried at fair value)(amounts related to VIEs of $4,422 and</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$2,874)</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709,645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612,040</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9,956,653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6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3,227,245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3,306,208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Lending</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6,225,394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5,603,481</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Items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484,527</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97"/>
        </w:trPr>
        <w:tc>
          <w:tcPr>
            <w:tcW w:w="674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9,956,653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6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HMBS-related borrowings, at fair value</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5,903,965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5,380,448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Match funded liabilities (related to VIEs)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778,284</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1"/>
              </w:rPr>
              <w:t>Other financing liabilities ($1,009,779 and $1,057,671 carried at fair value) (amounts related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40" w:type="dxa"/>
            <w:vAlign w:val="bottom"/>
          </w:tcPr>
          <w:p>
            <w:pPr>
              <w:ind w:left="200"/>
              <w:spacing w:after="0"/>
              <w:rPr>
                <w:sz w:val="20"/>
                <w:szCs w:val="20"/>
                <w:color w:val="auto"/>
              </w:rPr>
            </w:pPr>
            <w:r>
              <w:rPr>
                <w:rFonts w:ascii="Arial" w:cs="Arial" w:eastAsia="Arial" w:hAnsi="Arial"/>
                <w:sz w:val="18"/>
                <w:szCs w:val="18"/>
                <w:color w:val="auto"/>
              </w:rPr>
              <w:t>to VIEs of $22,827 and $24,815)</w:t>
            </w:r>
          </w:p>
        </w:tc>
        <w:tc>
          <w:tcPr>
            <w:tcW w:w="4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1,069,594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1,127,613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SSTL and other secured borrowings, net (amounts related to VIEs of $137,612 and $0)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382,538</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310,788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448,727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($3,319 and $4,986 carried at fair value)</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894,695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721,901</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9,575,468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8,839,511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381,185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554,705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9,956,653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6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2,648,234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2,437,383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Lending</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6,118,867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5,532,069</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Items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808,367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870,059</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97"/>
        </w:trPr>
        <w:tc>
          <w:tcPr>
            <w:tcW w:w="674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9,575,468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8,839,511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r>
      <w:tr>
        <w:trPr>
          <w:trHeight w:val="217"/>
        </w:trPr>
        <w:tc>
          <w:tcPr>
            <w:tcW w:w="6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Changes in the composition and balance of our assets and liabilities during the nine months ended September 30, 2019 are principally attributable to the impact of our ongoing HMBS activity, which is accounted for as secured financings, increasing Loans held for investment and HMBS-related borrowings. Match funded liabilities declined during the nine months ended September 30, 2019 as a result of lower advances and match funded advances, consistent with the decline in our servicing portfolio. Other secured borrowings increased due to the new $300.0 million MSR financing facility entered into on July 1, 2019, under which $137.6 million was outstanding at September 30, 2019. Borrowings under our SSTL increased due to the $120.0 million term loan upsize executed during the first quarter of 2019. Senior notes declined due to our repayment at the maturity of the $97.5 million 7.375% notes and our repurchases of $39.4 million of our 8.375% notes. Total equity decreased as a result of the net loss we recognized for the nine months ended September 30, 2019.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2" w:right="239" w:bottom="1440" w:gutter="0" w:footer="0" w:header="0"/>
        </w:sectPr>
      </w:pPr>
    </w:p>
    <w:bookmarkStart w:id="76" w:name="page77"/>
    <w:bookmarkEnd w:id="76"/>
    <w:p>
      <w:pPr>
        <w:ind w:left="40"/>
        <w:spacing w:after="0"/>
        <w:rPr>
          <w:sz w:val="20"/>
          <w:szCs w:val="20"/>
          <w:color w:val="auto"/>
        </w:rPr>
      </w:pPr>
      <w:r>
        <w:rPr>
          <w:rFonts w:ascii="Arial" w:cs="Arial" w:eastAsia="Arial" w:hAnsi="Arial"/>
          <w:sz w:val="18"/>
          <w:szCs w:val="18"/>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and Lending - as well as a Corporate Items and Other segment.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late charges, modification incentive fees, REO referral commissions, float earnings and Speedpay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September 30, 2019, we serviced 1.5 million loans with an aggregate UPB of $216.8 billion.</w:t>
      </w:r>
    </w:p>
    <w:p>
      <w:pPr>
        <w:spacing w:after="0" w:line="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average UPB of loans serviced during the third quarter of 2019 increased by 35% or $57.0 billion compared to the third quarter of 2018, mostly due to the acquisition of PHH in October 2018. We are actively pursuing actions to manage the size of our servicing portfolio through expanding our lending business and making permissible MSR acquisitions that are prudent and well-executed with appropriate financial return targets. We closed MSR acquisitions with $11.9 billion UPB through the nine months ended September 30, 2019. We expect to continue to focus on acquiring Agency and government-insured MSR portfolios that meet or exceed our minimum targeted investment returns. We re-entered the forward lending correspondent channel in the second quarter of 2019 and we continue to pursue a number of other MSR acquisition options, including driving improved recapture rates within our existing servicing portfolio.</w:t>
      </w:r>
    </w:p>
    <w:p>
      <w:pPr>
        <w:spacing w:after="0" w:line="1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NRZ is our largest servicing client, accounting for 54% and 60% of the UPB and loans in our servicing portfolio as of September 30, 2019, respectively. NRZ subservicing fees retained by Ocwen represented 26% and 27% of the total servicing and subservicing fees earned by Ocwen, net of servicing fees remitted to NRZ, for the three and nine months ended September 30, 2019, respectively, and 26% for both the three and nine months ended September 30, 2018.</w:t>
      </w:r>
    </w:p>
    <w:p>
      <w:pPr>
        <w:spacing w:after="0" w:line="187"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 the net present value of the difference between the future revenue stream Ocwen would have received under the original agreements and the future revenue Ocwen will receive under the renegotiated agreements. These upfront payments amortize through the remaining term of the original agreements (April 2020). Accordingly, the aggregate economics of these agreements will be similar through the end of April 2020, although cash receipts will be lower in future periods as a result of the upfront payments.</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subservicing fees retained by Ocwen under the NRZ agreements and the amortization (including fair value change) of the lump-sum payments received in connection with the 2017 and New RMSR Agreements: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subservicing fees on NRZ agreements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35,462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108,774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101,997</w:t>
            </w:r>
          </w:p>
        </w:tc>
        <w:tc>
          <w:tcPr>
            <w:tcW w:w="0" w:type="dxa"/>
            <w:vAlign w:val="bottom"/>
          </w:tcPr>
          <w:p>
            <w:pPr>
              <w:spacing w:after="0"/>
              <w:rPr>
                <w:sz w:val="1"/>
                <w:szCs w:val="1"/>
                <w:color w:val="auto"/>
              </w:rPr>
            </w:pPr>
          </w:p>
        </w:tc>
      </w:tr>
      <w:tr>
        <w:trPr>
          <w:trHeight w:val="229"/>
        </w:trPr>
        <w:tc>
          <w:tcPr>
            <w:tcW w:w="4940" w:type="dxa"/>
            <w:vAlign w:val="bottom"/>
          </w:tcPr>
          <w:p>
            <w:pPr>
              <w:ind w:left="40"/>
              <w:spacing w:after="0"/>
              <w:rPr>
                <w:sz w:val="20"/>
                <w:szCs w:val="20"/>
                <w:color w:val="auto"/>
              </w:rPr>
            </w:pPr>
            <w:r>
              <w:rPr>
                <w:rFonts w:ascii="Arial" w:cs="Arial" w:eastAsia="Arial" w:hAnsi="Arial"/>
                <w:sz w:val="18"/>
                <w:szCs w:val="18"/>
                <w:color w:val="auto"/>
                <w:w w:val="94"/>
              </w:rPr>
              <w:t>Reduction in interest expense in connection with the amortization</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w w:val="96"/>
              </w:rPr>
              <w:t>of the lump-sum cash payments received (including fair value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24,489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31,561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71,525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118,651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Total retained subservicing fees and amortization of lump-sum</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59,951</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64,896</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180,299</w:t>
            </w:r>
          </w:p>
        </w:tc>
        <w:tc>
          <w:tcPr>
            <w:tcW w:w="10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220,648</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(including fair value change)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NRZ UPB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119,403,543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93,097,665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123,870,685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96,575,894</w:t>
            </w:r>
          </w:p>
        </w:tc>
        <w:tc>
          <w:tcPr>
            <w:tcW w:w="0" w:type="dxa"/>
            <w:vAlign w:val="bottom"/>
          </w:tcPr>
          <w:p>
            <w:pPr>
              <w:spacing w:after="0"/>
              <w:rPr>
                <w:sz w:val="1"/>
                <w:szCs w:val="1"/>
                <w:color w:val="auto"/>
              </w:rPr>
            </w:pPr>
          </w:p>
        </w:tc>
      </w:tr>
      <w:tr>
        <w:trPr>
          <w:trHeight w:val="229"/>
        </w:trPr>
        <w:tc>
          <w:tcPr>
            <w:tcW w:w="4940" w:type="dxa"/>
            <w:vAlign w:val="bottom"/>
          </w:tcPr>
          <w:p>
            <w:pPr>
              <w:ind w:left="40"/>
              <w:spacing w:after="0"/>
              <w:rPr>
                <w:sz w:val="20"/>
                <w:szCs w:val="20"/>
                <w:color w:val="auto"/>
              </w:rPr>
            </w:pPr>
            <w:r>
              <w:rPr>
                <w:rFonts w:ascii="Arial" w:cs="Arial" w:eastAsia="Arial" w:hAnsi="Arial"/>
                <w:sz w:val="18"/>
                <w:szCs w:val="18"/>
                <w:color w:val="auto"/>
                <w:w w:val="98"/>
              </w:rPr>
              <w:t>Average annualized retained subservicing fees as a % of NRZ</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UPB</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MSR portfolio is carried at fair value. The value of our MSRs are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Valuation is also impacted by loan delinquency rates whereby as delinquency rates decline, the value of the servicing portfolio rises. Changes in</w:t>
      </w:r>
    </w:p>
    <w:p>
      <w:pPr>
        <w:sectPr>
          <w:pgSz w:w="11900" w:h="16838" w:orient="portrait"/>
          <w:cols w:equalWidth="0" w:num="1">
            <w:col w:w="11420"/>
          </w:cols>
          <w:pgMar w:left="240" w:top="106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066" w:right="239" w:bottom="1440" w:gutter="0" w:footer="0" w:header="0"/>
          <w:type w:val="continuous"/>
        </w:sectPr>
      </w:pPr>
    </w:p>
    <w:bookmarkStart w:id="77" w:name="page78"/>
    <w:bookmarkEnd w:id="77"/>
    <w:p>
      <w:pPr>
        <w:jc w:val="both"/>
        <w:ind w:right="200"/>
        <w:spacing w:after="0" w:line="264" w:lineRule="auto"/>
        <w:rPr>
          <w:sz w:val="20"/>
          <w:szCs w:val="20"/>
          <w:color w:val="auto"/>
        </w:rPr>
      </w:pPr>
      <w:r>
        <w:rPr>
          <w:rFonts w:ascii="Arial" w:cs="Arial" w:eastAsia="Arial" w:hAnsi="Arial"/>
          <w:sz w:val="18"/>
          <w:szCs w:val="18"/>
          <w:color w:val="auto"/>
        </w:rPr>
        <w:t>fair value of any fair value elected MSR financing liabilities, which are recorded in interest expense in our unaudited consolidated statements of operations, will partially offset the changes in fair value of the related MSRs. In addition, beginning in September 2019 we implemented a hedging strategy to partially offset the changes in fair value of our net MSR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Servicer Ratings</w:t>
      </w:r>
    </w:p>
    <w:p>
      <w:pPr>
        <w:spacing w:after="0" w:line="117"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servicer ratings: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PHH Mortgage Corporation</w:t>
            </w:r>
          </w:p>
        </w:tc>
        <w:tc>
          <w:tcPr>
            <w:tcW w:w="166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6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Moody’s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7"/>
              </w:rPr>
              <w:t>S&amp;P</w:t>
            </w: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57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Prime Servicer</w:t>
            </w:r>
          </w:p>
        </w:tc>
        <w:tc>
          <w:tcPr>
            <w:tcW w:w="16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Average</w:t>
            </w:r>
          </w:p>
        </w:tc>
        <w:tc>
          <w:tcPr>
            <w:tcW w:w="16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8"/>
              </w:rPr>
              <w:t>SQ3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Average</w:t>
            </w:r>
          </w:p>
        </w:tc>
        <w:tc>
          <w:tcPr>
            <w:tcW w:w="1660" w:type="dxa"/>
            <w:vAlign w:val="bottom"/>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7"/>
        </w:trPr>
        <w:tc>
          <w:tcPr>
            <w:tcW w:w="5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Special Servicer</w:t>
            </w:r>
          </w:p>
        </w:tc>
        <w:tc>
          <w:tcPr>
            <w:tcW w:w="16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Average</w:t>
            </w:r>
          </w:p>
        </w:tc>
        <w:tc>
          <w:tcPr>
            <w:tcW w:w="16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8"/>
              </w:rPr>
              <w:t>SQ3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Average</w:t>
            </w:r>
          </w:p>
        </w:tc>
        <w:tc>
          <w:tcPr>
            <w:tcW w:w="1660" w:type="dxa"/>
            <w:vAlign w:val="bottom"/>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7"/>
        </w:trPr>
        <w:tc>
          <w:tcPr>
            <w:tcW w:w="5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Home Equity Servicer</w:t>
            </w:r>
          </w:p>
        </w:tc>
        <w:tc>
          <w:tcPr>
            <w:tcW w:w="16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Residential Alt-A Servicer</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ind w:right="70"/>
              <w:spacing w:after="0"/>
              <w:rPr>
                <w:sz w:val="20"/>
                <w:szCs w:val="20"/>
                <w:color w:val="auto"/>
              </w:rPr>
            </w:pPr>
            <w:r>
              <w:rPr>
                <w:rFonts w:ascii="Arial" w:cs="Arial" w:eastAsia="Arial" w:hAnsi="Arial"/>
                <w:sz w:val="18"/>
                <w:szCs w:val="18"/>
                <w:color w:val="auto"/>
                <w:w w:val="89"/>
              </w:rPr>
              <w:t>RPS3</w:t>
            </w:r>
          </w:p>
        </w:tc>
      </w:tr>
      <w:tr>
        <w:trPr>
          <w:trHeight w:val="27"/>
        </w:trPr>
        <w:tc>
          <w:tcPr>
            <w:tcW w:w="5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Servicer</w:t>
            </w:r>
          </w:p>
        </w:tc>
        <w:tc>
          <w:tcPr>
            <w:tcW w:w="16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Average</w:t>
            </w:r>
          </w:p>
        </w:tc>
        <w:tc>
          <w:tcPr>
            <w:tcW w:w="16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Stable</w:t>
            </w:r>
          </w:p>
        </w:tc>
        <w:tc>
          <w:tcPr>
            <w:tcW w:w="1660" w:type="dxa"/>
            <w:vAlign w:val="bottom"/>
          </w:tcPr>
          <w:p>
            <w:pPr>
              <w:jc w:val="center"/>
              <w:ind w:right="70"/>
              <w:spacing w:after="0"/>
              <w:rPr>
                <w:sz w:val="20"/>
                <w:szCs w:val="20"/>
                <w:color w:val="auto"/>
              </w:rPr>
            </w:pPr>
            <w:r>
              <w:rPr>
                <w:rFonts w:ascii="Arial" w:cs="Arial" w:eastAsia="Arial" w:hAnsi="Arial"/>
                <w:sz w:val="18"/>
                <w:szCs w:val="18"/>
                <w:color w:val="auto"/>
                <w:w w:val="90"/>
              </w:rPr>
              <w:t>Stable</w:t>
            </w:r>
          </w:p>
        </w:tc>
      </w:tr>
      <w:tr>
        <w:trPr>
          <w:trHeight w:val="27"/>
        </w:trPr>
        <w:tc>
          <w:tcPr>
            <w:tcW w:w="5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57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91"/>
              </w:rPr>
              <w:t>August 29, 2019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July 3, 2019</w:t>
            </w:r>
          </w:p>
        </w:tc>
        <w:tc>
          <w:tcPr>
            <w:tcW w:w="1660" w:type="dxa"/>
            <w:vAlign w:val="bottom"/>
          </w:tcPr>
          <w:p>
            <w:pPr>
              <w:jc w:val="center"/>
              <w:ind w:right="70"/>
              <w:spacing w:after="0"/>
              <w:rPr>
                <w:sz w:val="20"/>
                <w:szCs w:val="20"/>
                <w:color w:val="auto"/>
              </w:rPr>
            </w:pPr>
            <w:r>
              <w:rPr>
                <w:rFonts w:ascii="Arial" w:cs="Arial" w:eastAsia="Arial" w:hAnsi="Arial"/>
                <w:sz w:val="18"/>
                <w:szCs w:val="18"/>
                <w:color w:val="auto"/>
                <w:w w:val="90"/>
              </w:rPr>
              <w:t>November 1, 2018</w:t>
            </w:r>
          </w:p>
        </w:tc>
      </w:tr>
    </w:tbl>
    <w:p>
      <w:pPr>
        <w:spacing w:after="0" w:line="121" w:lineRule="exact"/>
        <w:rPr>
          <w:sz w:val="20"/>
          <w:szCs w:val="20"/>
          <w:color w:val="auto"/>
        </w:rPr>
      </w:pPr>
    </w:p>
    <w:p>
      <w:pPr>
        <w:jc w:val="both"/>
        <w:ind w:right="260" w:firstLine="324"/>
        <w:spacing w:after="0" w:line="277" w:lineRule="auto"/>
        <w:rPr>
          <w:sz w:val="20"/>
          <w:szCs w:val="20"/>
          <w:color w:val="auto"/>
        </w:rPr>
      </w:pPr>
      <w:r>
        <w:rPr>
          <w:rFonts w:ascii="Arial" w:cs="Arial" w:eastAsia="Arial" w:hAnsi="Arial"/>
          <w:sz w:val="18"/>
          <w:szCs w:val="18"/>
          <w:color w:val="auto"/>
        </w:rPr>
        <w:t>Following the merger of OLS into PMC on June 1, 2019, Ocwen submitted requests to withdraw the servicer ratings for OLS. S&amp;P and Moody’s have transferred the Master Servicer rating for OLS to PMC, and Fitch is currently addressing a similar transfer.</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There have been no new outlooks released for PMC regarding our servicer ratings.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8" w:name="page79"/>
    <w:bookmarkEnd w:id="78"/>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213,377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740,824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4,301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214,427</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743,780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659,903</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7,914</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250,224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217,630</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752,010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674,233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41,289</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91,307</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35,107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32,130</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116,344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103,365</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27,883</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80,303</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8,475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28,335</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38,422</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9,850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30,838</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145,710</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4,781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(218)</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185,077</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556,874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523,061</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4,136</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(47,359)</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(144,551)</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Gain (loss) on sale of mortgage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servicing rights, net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(403)</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(262,523)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(46,452)</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(142,504)</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128</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30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7"/>
              </w:rPr>
              <w:t>(Loss) 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(129,697)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n/m</w:t>
            </w: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The following tables provide selected operating statistics: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At September 30,</w:t>
            </w: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204,396,178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148,440,800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10,015,534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10,174,351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2,343,072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2,381,323</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216,754,784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160,996,474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35 %</w:t>
            </w:r>
          </w:p>
        </w:tc>
      </w:tr>
      <w:tr>
        <w:trPr>
          <w:trHeight w:val="284"/>
        </w:trPr>
        <w:tc>
          <w:tcPr>
            <w:tcW w:w="6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97,033,176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42,845,089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126 %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29,804,025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19,855,900</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89,917,583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98,295,485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216,754,784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160,996,474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30"/>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Number:</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1,371,781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1,045,029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49,982</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13,869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11,811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1,451,653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1,106,822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618,505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262,968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187,568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145,233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645,580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698,621</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1,451,653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1,106,822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31 %</w:t>
            </w:r>
          </w:p>
        </w:tc>
      </w:tr>
      <w:tr>
        <w:trPr>
          <w:trHeight w:val="217"/>
        </w:trPr>
        <w:tc>
          <w:tcPr>
            <w:tcW w:w="6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700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80" w:name="page81"/>
    <w:bookmarkEnd w:id="80"/>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77,435,143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69,502,586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76,337,365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71,985,417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24,214,264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1,498,324</w:t>
            </w:r>
          </w:p>
        </w:tc>
        <w:tc>
          <w:tcPr>
            <w:tcW w:w="10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38,187,981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1,655,913</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119,403,543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93,097,665</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123,870,685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96,575,894</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97"/>
        </w:trPr>
        <w:tc>
          <w:tcPr>
            <w:tcW w:w="2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221,052,950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164,098,575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238,396,031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170,217,224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40 %</w:t>
            </w:r>
          </w:p>
        </w:tc>
      </w:tr>
      <w:tr>
        <w:trPr>
          <w:trHeight w:val="217"/>
        </w:trPr>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w w:val="94"/>
              </w:rPr>
              <w:t>Prepayment speed (average CPR)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Voluntary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CPR due to principal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modification</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324"/>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Average number: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475,810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447,598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473,303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463,533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15,039</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127,587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16,737</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662</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883,406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663,587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910,407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684,769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33</w:t>
            </w: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2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1,469,069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1,126,224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1,511,297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1,165,039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Subservicing Fees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2820" w:type="dxa"/>
            <w:vAlign w:val="bottom"/>
          </w:tcPr>
          <w:p>
            <w:pPr>
              <w:ind w:left="180"/>
              <w:spacing w:after="0"/>
              <w:rPr>
                <w:sz w:val="20"/>
                <w:szCs w:val="20"/>
                <w:color w:val="auto"/>
              </w:rPr>
            </w:pPr>
            <w:r>
              <w:rPr>
                <w:rFonts w:ascii="Arial" w:cs="Arial" w:eastAsia="Arial" w:hAnsi="Arial"/>
                <w:sz w:val="18"/>
                <w:szCs w:val="18"/>
                <w:color w:val="auto"/>
              </w:rPr>
              <w:t>Loan servicing and subservicing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52,541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166,700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657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2,443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381</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146,567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120,593</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443,505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374,322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r>
      <w:tr>
        <w:trPr>
          <w:trHeight w:val="237"/>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208,521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173,791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623,326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543,465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Late charges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14,773</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44,516</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w w:val="94"/>
              </w:rPr>
              <w:t>Custodial accounts (float earnings)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10,351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26,156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collection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4,907</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14,666</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3,365</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11,622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6,190</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15,177</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97"/>
        </w:trPr>
        <w:tc>
          <w:tcPr>
            <w:tcW w:w="28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247,075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213,377</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740,824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655,602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r>
      <w:tr>
        <w:trPr>
          <w:trHeight w:val="217"/>
        </w:trPr>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Interest Expense on NRZ</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20" w:type="dxa"/>
            <w:vAlign w:val="bottom"/>
          </w:tcPr>
          <w:p>
            <w:pPr>
              <w:ind w:left="200"/>
              <w:spacing w:after="0"/>
              <w:rPr>
                <w:sz w:val="20"/>
                <w:szCs w:val="20"/>
                <w:color w:val="auto"/>
              </w:rPr>
            </w:pPr>
            <w:r>
              <w:rPr>
                <w:rFonts w:ascii="Arial" w:cs="Arial" w:eastAsia="Arial" w:hAnsi="Arial"/>
                <w:sz w:val="18"/>
                <w:szCs w:val="18"/>
                <w:b w:val="1"/>
                <w:bCs w:val="1"/>
                <w:color w:val="auto"/>
              </w:rPr>
              <w:t>Financing Liability (4)</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Servicing fees collected on behalf</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NRZ</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146,567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120,593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443,505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374,322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2820" w:type="dxa"/>
            <w:vAlign w:val="bottom"/>
          </w:tcPr>
          <w:p>
            <w:pPr>
              <w:ind w:left="180"/>
              <w:spacing w:after="0"/>
              <w:rPr>
                <w:sz w:val="20"/>
                <w:szCs w:val="20"/>
                <w:color w:val="auto"/>
              </w:rPr>
            </w:pPr>
            <w:r>
              <w:rPr>
                <w:rFonts w:ascii="Arial" w:cs="Arial" w:eastAsia="Arial" w:hAnsi="Arial"/>
                <w:sz w:val="18"/>
                <w:szCs w:val="18"/>
                <w:color w:val="auto"/>
                <w:w w:val="95"/>
              </w:rPr>
              <w:t>Less: Subservicing fee retained by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Ocwen</w:t>
            </w:r>
          </w:p>
        </w:tc>
        <w:tc>
          <w:tcPr>
            <w:tcW w:w="2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35,462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33,335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108,774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101,997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09"/>
        </w:trPr>
        <w:tc>
          <w:tcPr>
            <w:tcW w:w="2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servicing fees remitted to</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NRZ</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87,258</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334,731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272,325</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30"/>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Reduction (increase) 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financing liability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Original Rights to MSRs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Agreements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(228,644)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(230,193)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2820" w:type="dxa"/>
            <w:vAlign w:val="bottom"/>
          </w:tcPr>
          <w:p>
            <w:pPr>
              <w:ind w:left="380"/>
              <w:spacing w:after="0"/>
              <w:rPr>
                <w:sz w:val="20"/>
                <w:szCs w:val="20"/>
                <w:color w:val="auto"/>
              </w:rPr>
            </w:pPr>
            <w:r>
              <w:rPr>
                <w:rFonts w:ascii="Arial" w:cs="Arial" w:eastAsia="Arial" w:hAnsi="Arial"/>
                <w:sz w:val="18"/>
                <w:szCs w:val="18"/>
                <w:color w:val="auto"/>
              </w:rPr>
              <w:t>2017 Agreements and New</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540"/>
              <w:spacing w:after="0"/>
              <w:rPr>
                <w:sz w:val="20"/>
                <w:szCs w:val="20"/>
                <w:color w:val="auto"/>
              </w:rPr>
            </w:pPr>
            <w:r>
              <w:rPr>
                <w:rFonts w:ascii="Arial" w:cs="Arial" w:eastAsia="Arial" w:hAnsi="Arial"/>
                <w:sz w:val="18"/>
                <w:szCs w:val="18"/>
                <w:color w:val="auto"/>
              </w:rPr>
              <w:t>RMSR Agreements</w:t>
            </w:r>
          </w:p>
        </w:tc>
        <w:tc>
          <w:tcPr>
            <w:tcW w:w="2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(2,163)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15,261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(130)</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PMC MSR Agreements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111,034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(200,704)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0"/>
                <w:szCs w:val="20"/>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(123,721)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Runoff and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2820" w:type="dxa"/>
            <w:vAlign w:val="bottom"/>
          </w:tcPr>
          <w:p>
            <w:pPr>
              <w:ind w:left="380"/>
              <w:spacing w:after="0"/>
              <w:rPr>
                <w:sz w:val="20"/>
                <w:szCs w:val="20"/>
                <w:color w:val="auto"/>
              </w:rPr>
            </w:pPr>
            <w:r>
              <w:rPr>
                <w:rFonts w:ascii="Arial" w:cs="Arial" w:eastAsia="Arial" w:hAnsi="Arial"/>
                <w:sz w:val="18"/>
                <w:szCs w:val="18"/>
                <w:color w:val="auto"/>
              </w:rPr>
              <w:t>Original Rights to MSRs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540"/>
              <w:spacing w:after="0"/>
              <w:rPr>
                <w:sz w:val="20"/>
                <w:szCs w:val="20"/>
                <w:color w:val="auto"/>
              </w:rPr>
            </w:pPr>
            <w:r>
              <w:rPr>
                <w:rFonts w:ascii="Arial" w:cs="Arial" w:eastAsia="Arial" w:hAnsi="Arial"/>
                <w:sz w:val="18"/>
                <w:szCs w:val="18"/>
                <w:color w:val="auto"/>
              </w:rPr>
              <w:t>Agreements</w:t>
            </w:r>
          </w:p>
        </w:tc>
        <w:tc>
          <w:tcPr>
            <w:tcW w:w="2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15,896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31,617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50,739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2017 Agreements and New</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RMSR Agreements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26,705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33,724</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103,390</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2820" w:type="dxa"/>
            <w:vAlign w:val="bottom"/>
          </w:tcPr>
          <w:p>
            <w:pPr>
              <w:ind w:left="380"/>
              <w:spacing w:after="0"/>
              <w:rPr>
                <w:sz w:val="20"/>
                <w:szCs w:val="20"/>
                <w:color w:val="auto"/>
              </w:rPr>
            </w:pPr>
            <w:r>
              <w:rPr>
                <w:rFonts w:ascii="Arial" w:cs="Arial" w:eastAsia="Arial" w:hAnsi="Arial"/>
                <w:sz w:val="18"/>
                <w:szCs w:val="18"/>
                <w:color w:val="auto"/>
              </w:rPr>
              <w:t>PMC MSR Agreements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7"/>
        </w:trPr>
        <w:tc>
          <w:tcPr>
            <w:tcW w:w="2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53,756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49,620</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157,173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154,129</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2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ectPr>
          <w:pgSz w:w="11900" w:h="16884" w:orient="portrait"/>
          <w:cols w:equalWidth="0" w:num="1">
            <w:col w:w="11420"/>
          </w:cols>
          <w:pgMar w:left="240" w:top="742"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(1,760)</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(4,383)</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70"/>
        </w:trPr>
        <w:tc>
          <w:tcPr>
            <w:tcW w:w="28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57"/>
        </w:trPr>
        <w:tc>
          <w:tcPr>
            <w:tcW w:w="2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256,416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36,717</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598 %</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303,301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111,256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2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Modifications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316</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987</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8,863</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30,542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97"/>
        </w:trPr>
        <w:tc>
          <w:tcPr>
            <w:tcW w:w="2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9,179</w:t>
            </w:r>
          </w:p>
        </w:tc>
        <w:tc>
          <w:tcPr>
            <w:tcW w:w="1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(32)%</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19,831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31,529</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2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Average balance of advances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match funded advances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1,018,539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1,145,026</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1,059,789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1,227,819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629,592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702,679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664,215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753,805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893,785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729,049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926,308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760,491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1,753</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7,229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23,323</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256,913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38,259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305,690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115,625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164</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20.99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20.27</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117</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55.68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63.45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r>
      <w:tr>
        <w:trPr>
          <w:trHeight w:val="229"/>
        </w:trPr>
        <w:tc>
          <w:tcPr>
            <w:tcW w:w="2820" w:type="dxa"/>
            <w:vAlign w:val="bottom"/>
          </w:tcPr>
          <w:p>
            <w:pPr>
              <w:ind w:left="1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1,183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4,185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1ML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30"/>
        </w:trPr>
        <w:tc>
          <w:tcPr>
            <w:tcW w:w="2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3,981</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4,192</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938</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97"/>
        </w:trPr>
        <w:tc>
          <w:tcPr>
            <w:tcW w:w="2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4,919</w:t>
            </w:r>
          </w:p>
        </w:tc>
        <w:tc>
          <w:tcPr>
            <w:tcW w:w="1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5,200</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2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not meaningful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019"/>
          </w:cols>
          <w:pgMar w:left="1440" w:top="827" w:right="1440" w:bottom="1440" w:gutter="0" w:footer="0" w:header="0"/>
        </w:sectPr>
      </w:pPr>
    </w:p>
    <w:bookmarkStart w:id="83" w:name="page84"/>
    <w:bookmarkEnd w:id="83"/>
    <w:p>
      <w:pPr>
        <w:ind w:left="492" w:hanging="492"/>
        <w:spacing w:after="0" w:line="255" w:lineRule="auto"/>
        <w:tabs>
          <w:tab w:leader="none" w:pos="4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492" w:right="160" w:hanging="492"/>
        <w:spacing w:after="0" w:line="246" w:lineRule="auto"/>
        <w:tabs>
          <w:tab w:leader="none" w:pos="4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Conventional loans include 115,587 and 119,974 prime loans with a UPB of $21.4 billion and $20.6 billion at September 30, 2019 and 2018, respectively, which we service or subservice.</w:t>
      </w:r>
    </w:p>
    <w:p>
      <w:pPr>
        <w:ind w:left="492" w:hanging="492"/>
        <w:spacing w:after="0"/>
        <w:tabs>
          <w:tab w:leader="none" w:pos="4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w:t>
      </w:r>
    </w:p>
    <w:p>
      <w:pPr>
        <w:spacing w:after="0" w:line="5" w:lineRule="exact"/>
        <w:rPr>
          <w:rFonts w:ascii="Arial" w:cs="Arial" w:eastAsia="Arial" w:hAnsi="Arial"/>
          <w:sz w:val="16"/>
          <w:szCs w:val="16"/>
          <w:color w:val="auto"/>
        </w:rPr>
      </w:pPr>
    </w:p>
    <w:p>
      <w:pPr>
        <w:ind w:left="492" w:right="20" w:hanging="492"/>
        <w:spacing w:after="0" w:line="328" w:lineRule="auto"/>
        <w:tabs>
          <w:tab w:leader="none" w:pos="4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effective average interest rate on the financing liability that we recognized in connection with the sales of Rights to MSRs to NRZ is 126.81% and 22.41% for the three months ended September 30, 2019 and 2018, respectively, and 48.32% and 21.72% for the nine months ended September 30, 2019 and 2018, respectively.</w:t>
      </w:r>
    </w:p>
    <w:p>
      <w:pPr>
        <w:spacing w:after="0" w:line="16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92"/>
          </w:cols>
          <w:pgMar w:left="248" w:top="697" w:right="359" w:bottom="1440" w:gutter="0" w:footer="0" w:header="0"/>
        </w:sectPr>
      </w:pPr>
    </w:p>
    <w:bookmarkStart w:id="84" w:name="page85"/>
    <w:bookmarkEnd w:id="84"/>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 of UPB</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ind w:left="1400"/>
              <w:spacing w:after="0"/>
              <w:rPr>
                <w:sz w:val="20"/>
                <w:szCs w:val="20"/>
                <w:color w:val="auto"/>
              </w:rPr>
            </w:pPr>
            <w:r>
              <w:rPr>
                <w:rFonts w:ascii="Arial" w:cs="Arial" w:eastAsia="Arial" w:hAnsi="Arial"/>
                <w:sz w:val="18"/>
                <w:szCs w:val="18"/>
                <w:b w:val="1"/>
                <w:bCs w:val="1"/>
                <w:color w:val="auto"/>
              </w:rPr>
              <w:t>Count</w:t>
            </w:r>
          </w:p>
        </w:tc>
        <w:tc>
          <w:tcPr>
            <w:tcW w:w="11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256,000,490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179,352,554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1,221,695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 (1)</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5,387,517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546,619</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(78,061)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(1,157,156)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(302,120)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(9,072,050)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(6,204,885)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251,080,740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173,388,876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1,534,351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1,185,912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(1)</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10,005,573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655,943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(166,082)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transfers (2)</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(21,865,696)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(9,771,490)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(6,692,475)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(40,219)</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229,283,045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167,127,014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1,146,089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 (1)</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3,606,398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641,286</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2,808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(270,261)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(6,635,442)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(9,228,956)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(6,168,322)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Portfolio at September 30</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216,754,784</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160,996,474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1,451,653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1,106,822</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0"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Additions in the third quarter of 2019 include purchased MSRs on portfolios consisting of 5,114 loans with a UPB of $1.0 billion that have not yet transferred to the Black Knight MSP servicing system. These loans are scheduled to transfer onto Black Knight MSP in the fourth quarter of 2019. Because we have legal title to the MSRs, the UPB and count of the loans are included in our reported servicing portfolio. The seller continues to subservice the loans on an interim basis between the transaction closing date and the servicing transfer date. Additions also include $4.9 billion and $6.0 billion in the first and second quarter of 2019, respectively, and the loans have completed the transfer onto the Black Knight MSP servicing system.</w:t>
      </w:r>
    </w:p>
    <w:p>
      <w:pPr>
        <w:spacing w:after="0" w:line="1" w:lineRule="exact"/>
        <w:rPr>
          <w:rFonts w:ascii="Arial" w:cs="Arial" w:eastAsia="Arial" w:hAnsi="Arial"/>
          <w:sz w:val="16"/>
          <w:szCs w:val="16"/>
          <w:color w:val="auto"/>
        </w:rPr>
      </w:pPr>
    </w:p>
    <w:p>
      <w:pPr>
        <w:ind w:left="500" w:right="80" w:hanging="492"/>
        <w:spacing w:after="0" w:line="290" w:lineRule="auto"/>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Primarily represents the termination of a subservicing client relationship consisting of 33,626 loans with a UPB of $21.4 billion. For the nine months ended September 30, 2019, total servicing fee revenue for this client was $1.3 million which was earned through May 31, 2019 when the loans were released.</w:t>
      </w:r>
    </w:p>
    <w:p>
      <w:pPr>
        <w:spacing w:after="0" w:line="15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key drivers of our servicing segment operating results for the three and nine months ended September 30, 2019, as compared to the same periods of 2018, are the PHH acquisition and related integration, portfolio runoff and the effects of cost improvements achieved in aligning our servicing operations more appropriately to the size of our servicing portfolio. Until the Black Knight MSP conversion was completed in June 2019, we were maintaining the infrastructure and related costs of two servicing platforms, including certain corporate functions.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2018</w:t>
      </w:r>
    </w:p>
    <w:p>
      <w:pPr>
        <w:spacing w:after="0" w:line="117" w:lineRule="exact"/>
        <w:rPr>
          <w:sz w:val="20"/>
          <w:szCs w:val="20"/>
          <w:color w:val="auto"/>
        </w:rPr>
      </w:pPr>
    </w:p>
    <w:p>
      <w:pPr>
        <w:jc w:val="both"/>
        <w:ind w:right="60" w:firstLine="324"/>
        <w:spacing w:after="0" w:line="255" w:lineRule="auto"/>
        <w:rPr>
          <w:sz w:val="20"/>
          <w:szCs w:val="20"/>
          <w:color w:val="auto"/>
        </w:rPr>
      </w:pPr>
      <w:r>
        <w:rPr>
          <w:rFonts w:ascii="Arial" w:cs="Arial" w:eastAsia="Arial" w:hAnsi="Arial"/>
          <w:sz w:val="18"/>
          <w:szCs w:val="18"/>
          <w:color w:val="auto"/>
        </w:rPr>
        <w:t>Servicing and subservicing fee revenue increased by $33.8 million, or 16%, as compared to the third quarter of 2018, due to the increase in the portfolio resulting from the acquisition of PHH on October 4, 2018 and the acquisition of MSRs during the first nine months of 2019, offset in part by portfolio runoff and a decline in completed loan modifications. Revenue recognized in connection with loan modifications, including servicing fees, late charges and HAMP fees, declined 32% to $9.8 million for the third quarter of 2019 as compared to $14.4 million in the third quarter of 2018. Total completed loan modifications decreased 32% as compared to the third quarter of 2018, primarily due to the expiration of government sponsored modification programs and fewer available modification opportunities in our servicing portfolio.</w:t>
      </w:r>
    </w:p>
    <w:p>
      <w:pPr>
        <w:spacing w:after="0" w:line="8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MSR valuation adjustments, net, decreased $175.9 million, or 426%, as compared to the third quarter of 2018, primarily due to a $252.3 million valuation adjustment to our non-Agency MSR fair value associated with continued improved collateral performance confirmed by recent market trade activity. The change in interest rates had a partially offsetting impact, with a 40 basis-point decline in the 10-year swap rate in the third quarter of 2019, as compared to the 10 basis-point increase in the third quarter of 2018, resulting in a $16.9 million valuation adjustment increase on MSRs acquired subsequent to the third quarter of 2018 and $51.1 million from interest rate changes on the remainder of the portfolio. In addition, we recognized $8.5 million of net unfavorable impacts from higher runoff, including on MSRs added from the PHH acquisition and other Agency MSR purchases, and other assumption updates unrelated to interest rates. The acquired MSRs are primarily Agency loans that are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125" w:right="259" w:bottom="1440"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t>more sensitive to interest rates. Fair value adjustments to our MSRs are offset, in part, by fair value adjustments related to the NRZ financing liabilities, which are recorded in Interest expense.</w:t>
      </w:r>
    </w:p>
    <w:p>
      <w:pPr>
        <w:spacing w:after="0" w:line="170"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Operating expenses, representing total expenses excluding MSR valuation adjustments, net, decreased $8.3 million, or 6%, as compared to the third quarter of 2018, mostly due to $9.8 million lower Other expenses and offsetting expense changes, as described below.</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Compensation and benefits expense increased $3.0 million, or 9%, as compared to the third quarter of 2018, due to PHH compensation and benefits expense offset in part by a reduction in expenses resulting from our efforts to re-engineer our cost structure and align headcount in our servicing operations with the size of our servicing portfolio. Although average total servicing headcount decreased 11% compared to the third quarter of 2018, average higher-cost U.S. headcount increased to 25% of the total from 19% for the third quarter of 2018.</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Servicing and origination expense increased $3.8 million, or 13%, as compared to the third quarter of 2018, primarily due to a $2.7 million increase in government-insured claim loss provisions on reinstated or modified loans, in line with an increase in the volume of claims, and an increase in other servicing-related expenses associated with a larger portfolio offset in part by a $2.3 million decrease in provisions for non-recoverable servicing advances and receivables. Government-insured claim loss provisions are generally offset by changes in the fair value of the corresponding MSRs, which are recorded in MSR valuation adjustments, net.</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Occupancy and equipment expense increased $2.2 million, or 26%, as compared to the third quarter of 2018, primarily due to expenses attributable to PHH acquisition in October 2018.</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Technology and communication expense declined $3.4 million, or 34%, as compared to the third quarter of 2018. The increase attributed to PHH was more than offset by the results of our cost reduction efforts which included bringing technology services in-house.</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Corporate overhead allocations declined $3.2 million, as compared to the third quarter of 2018, primarily due to lower legal expenses offset in part by PHH overhead expense allocations.</w:t>
      </w:r>
    </w:p>
    <w:p>
      <w:pPr>
        <w:spacing w:after="0" w:line="6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Other expenses decreased $9.8 million as compared to the third quarter of 2018 as a result of a $9.7 million decline in the provision for indemnification obligations that was largely as a result of the reversal of a portion of the liability for representation and warranty obligations related to favorable updates to default, defect and severity assumptions relative to historical performance.</w:t>
      </w:r>
    </w:p>
    <w:p>
      <w:pPr>
        <w:spacing w:after="0" w:line="73"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Interest expense increased by $221.2 million, or 467%, as compared to the third quarter of 2018, due to a $219.7 million increase in interest expense on the NRZ financing liabilities that are recorded at fair value. Changes in the fair value of the NRZ financing liabilities are offset, to a large extent, by changes in the fair value of the associated MSRs that did qualify for sale accounting treatment which are recorded in MSR valuation adjustments, net.</w:t>
      </w:r>
    </w:p>
    <w:p>
      <w:pPr>
        <w:spacing w:after="0" w:line="14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net increase in interest expense on the NRZ financing liabilities was largely due to a $228.6 million unfavorable fair value adjustment in the third quarter of 2019 related to the Original Rights to MSRs Agreements which increased the NRZ financing liability, and interest expense, offsetting the favorable fair value adjustment of the underlying MSRs. This unfavorable fair value adjustment results from an update to our non-Agency MSR fair value based on improved collateral performance and recent market trade activity (see the MSR valuation adjustments, net discussion above). We recognized a $30.2 million favorable fair value adjustment in the third quarter of 2019 related to the PMC MSR Agreements primarily due to the 40 basis-point decline in the 10-year swap rate. MSRs underlying the PMC Agreements are Agency mortgage loans and as a result, both their fair value and runoff are highly sensitive to changes in interest rates. The MSRs underlying the Original Rights to MSRs Agreements are seasoned non-Agency mortgage loans and changes in interest rates do not have any significant impact on prepayments.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2018</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Servicing and subservicing fee revenue increased by $83.9 million, or 13%, as compared to the nine months ended September 30, 2018, due to the increase in the portfolio resulting from the acquisition of PHH and the acquisition of MSRs during the first nine months of 2019, offset in part by portfolio runoff and a decline in completed loan modifications. Revenue recognized in connection with loan modifications declined 38% to $29.2 million during the nine months ended September 30, 2019 as compared to $47.1 million during the nine months ended September 30, 2018. Total completed loan modifications decreased 37% as compared to the nine months ended September 30, 2018.</w:t>
      </w:r>
    </w:p>
    <w:p>
      <w:pPr>
        <w:spacing w:after="0" w:line="8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MSR valuation adjustments, net, increased $30.2 million, or 33%, as compared to the nine months ended September 30, 2018, primarily due to portfolio runoff on MSRs added in the PHH acquisition and other Agency MSR purchases, and the 115 basis-point decline in the 10-year swap rate in the nine months ended September 30, 2019, as compared to the 65 basis-point increase in the nine months ended September 30, 2018. The increase in MSR valuation adjustments, net, includes $12.0 million due to runoff and $25.5 million from interest rate changes on MSRs acquired subsequent to the third quarter of 2018, and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92" w:right="239" w:bottom="1440" w:gutter="0" w:footer="0" w:header="0"/>
        </w:sectPr>
      </w:pPr>
    </w:p>
    <w:bookmarkStart w:id="86" w:name="page87"/>
    <w:bookmarkEnd w:id="86"/>
    <w:p>
      <w:pPr>
        <w:ind w:right="80"/>
        <w:spacing w:after="0" w:line="259" w:lineRule="auto"/>
        <w:rPr>
          <w:sz w:val="20"/>
          <w:szCs w:val="20"/>
          <w:color w:val="auto"/>
        </w:rPr>
      </w:pPr>
      <w:r>
        <w:rPr>
          <w:rFonts w:ascii="Arial" w:cs="Arial" w:eastAsia="Arial" w:hAnsi="Arial"/>
          <w:sz w:val="18"/>
          <w:szCs w:val="18"/>
          <w:color w:val="auto"/>
        </w:rPr>
        <w:t>$249.7 million from interest rate changes on the remainder of the portfolio. This is offset by a $252.3 million net favorable valuation adjustment to our non-Agency MSR fair value associated with improved collateral performance and recent market trade activity, and $4.6 million from runoff and other assumption updates unrelated to interest rates. Fair value adjustments to our MSRs are offset, in part, by fair value adjustments related to the NRZ financing liabilities, which are recorded in interest expense.</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Operating expenses which represent Total expenses excluding MSR valuation adjustments, net, increased $3.6 million, or 1%, as compared to the nine months ended September 30, 2018.</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Compensation and benefits expense increased $13.0 million, or 13%, as compared to the nine months ended September 30, 2018, due to PHH compensation and benefits expenses offset in part by a reduction in expenses resulting from of our efforts to re-engineer our cost structure and align headcount in our servicing operations with the size of our servicing portfolio. Although average total servicing headcount decreased 9% compared to the nine months ended September 30, 2018, average higher-cost U.S. headcount increased to 27% of the total from 19% for the nine months ended September 30, 2018.</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Servicing and origination expense declined $6.6 million, or 8%, as compared to the nine months ended September 30, 2018, primarily due to an $6.1 million reduction in government-insured claim loss provisions on reinstated or modified loans in line with a decline in the volume of claims and a $7.7 million decrease in provisions for non-recoverable servicing advances and receivables. These declines were offset in part by an increase in other servicing-related expenses associated with a larger portfolio.</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Occupancy and equipment expense increased $6.8 million, or 24%, as compared to the nine months ended September 30, 2018, primarily due to PHH expenses.</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Professional services expense declined $3.1 million, or 8%, as compared to the nine months ended September 30, 2018, primarily due to a $5.4 million decline in provisions for probable losses in connection with litigation, partially offset by PHH professional services expense and a $0.8 million increase in fees incurred in connection with our conversion of NRZ’s Rights to MSRs to fully-owned MSRs.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Technology and communication expense declined $7.2 million, or 23%, as compared to the nine months ended September 30, 2018. PHH expenses were more than offset by the results of our cost reduction efforts which included bringing technology services in-house.</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Corporate overhead allocations increased $11.2 million, as compared to the nine months ended September 30, 2018, primarily due to the allocation of PHH overhead expenses partially offset by a reduction in legal expenses.</w:t>
      </w:r>
    </w:p>
    <w:p>
      <w:pPr>
        <w:spacing w:after="0" w:line="62"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Other expenses decreased $10.4 million as compared to the third quarter of 2018 primarily due to a $13.6 million decline in the provision for indemnification obligations largely as a result of the reversal of a portion of the liability for representation and warranty obligations related to favorable updates to default, defect and severity assumptions relative to historical performance.</w:t>
      </w:r>
    </w:p>
    <w:p>
      <w:pPr>
        <w:spacing w:after="0" w:line="7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Interest expense increased by $192.9 million, or 133%, as compared to the nine months ended September 30, 2018, due to a $192.0 million increase in interest expense on the NRZ financing liabilities.</w:t>
      </w:r>
    </w:p>
    <w:p>
      <w:pPr>
        <w:spacing w:after="0" w:line="6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net increase in interest expense on the NRZ financing liabilities was largely due to the $228.6 million unfavorable fair value adjustment in the third quarter of 2019 discussed above related to the Original Rights to MSRs Agreements which increased the NRZ financing liability, and interest expense, offsetting the favorable fair value adjustment of the underlying MSRs. This unfavorable fair value adjustment results from an update to our non-Agency MSR fair value associated with improved collateral performance and observable recent market trade activity (see the MSR valuation adjustments, net discussion above). We recognized a $111.0 million favorable fair value adjustment in the nine months ended September 30, 2019 related to the PMC MSR Agreements due to the 40 basis-point decline in the 10-year swap rate, partially offsetting the unfavorable fair value adjustment related to the Original Rights to MSRs Agreements. In the nine months ended September 30, 2018, a favorable fair value adjustment reduced interest expense related to the 2017 and New RMSR Agreements by $15.3 million, driven primarily by the initial fair value gain attributable to the $279.6 million lump-sum cash payment received in connection with the New RMSR Agreements.</w:t>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originate and purchase conventional and government-insured forward mortgage loans through our forward lending operations. During 2018 and the first nine months of 2019, our forward lending efforts were principally focused on targeting existing Ocwen customers by offering them competitive mortgage refinance opportunities (i.e., portfolio recapture), where permitted by the governing servicing and pooling agreement. In doing so, we generate revenues for our forward lending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92" w:right="239" w:bottom="1440" w:gutter="0" w:footer="0" w:header="0"/>
        </w:sectPr>
      </w:pPr>
    </w:p>
    <w:bookmarkStart w:id="87" w:name="page88"/>
    <w:bookmarkEnd w:id="87"/>
    <w:p>
      <w:pPr>
        <w:ind w:right="220"/>
        <w:spacing w:after="0" w:line="277" w:lineRule="auto"/>
        <w:rPr>
          <w:sz w:val="20"/>
          <w:szCs w:val="20"/>
          <w:color w:val="auto"/>
        </w:rPr>
      </w:pPr>
      <w:r>
        <w:rPr>
          <w:rFonts w:ascii="Arial" w:cs="Arial" w:eastAsia="Arial" w:hAnsi="Arial"/>
          <w:sz w:val="18"/>
          <w:szCs w:val="18"/>
          <w:color w:val="auto"/>
        </w:rPr>
        <w:t>business and protect the servicing portfolio by retaining these customers. We re-entered the forward lending correspondent channel in the second quarter of 2019 to drive higher servicing portfolio replenishment.</w:t>
      </w:r>
    </w:p>
    <w:p>
      <w:pPr>
        <w:spacing w:after="0" w:line="170" w:lineRule="exact"/>
        <w:rPr>
          <w:sz w:val="20"/>
          <w:szCs w:val="20"/>
          <w:color w:val="auto"/>
        </w:rPr>
      </w:pPr>
    </w:p>
    <w:p>
      <w:pPr>
        <w:ind w:right="20" w:firstLine="369"/>
        <w:spacing w:after="0" w:line="259" w:lineRule="auto"/>
        <w:rPr>
          <w:sz w:val="20"/>
          <w:szCs w:val="20"/>
          <w:color w:val="auto"/>
        </w:rPr>
      </w:pPr>
      <w:r>
        <w:rPr>
          <w:rFonts w:ascii="Arial" w:cs="Arial" w:eastAsia="Arial" w:hAnsi="Arial"/>
          <w:sz w:val="18"/>
          <w:szCs w:val="18"/>
          <w:color w:val="auto"/>
        </w:rPr>
        <w:t>Under the terms of our agreements with NRZ, to the extent we refinance a loan underlying the MSRs subject to these agreements, we are obligated to transfer such recaptured MSR to NRZ under the terms of a separate subservicing agreement. Effective June 1, 2019, we no longer perform any portfolio recapture on behalf of NRZ. We expect this change will not have a material negative impact on pre-tax earnings after associated direct cost reductions and the gain on sale generated by new recapture opportunities on newly acquired MSR portfolios.</w:t>
      </w:r>
    </w:p>
    <w:p>
      <w:pPr>
        <w:spacing w:after="0" w:line="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originate and purchase reverse mortgages through our reverse lending operations under the guidelines of the HECM reverse mortgage insurance program of HUD. Loans originated under this program are generally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$1.5 billion at September 30, 2019.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At September 30, 2019, unrecognized Future Value related to future draw commitments on loans purchased or originated prior to January 1, 2019 is estimated to be $55.5 million (versus $68.1 million at December 31, 2018) and will be recognized over time as future draws are securitized or sold. Effective for loans purchased or originated after December 31, 2018, we elected to fair value future draw commitments.</w:t>
      </w:r>
    </w:p>
    <w:p>
      <w:pPr>
        <w:spacing w:after="0" w:line="7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On February 28, 2019, we merged Homeward into PMC with PMC being the surviving entity. All of our forward lending purchase and origination activities are conducted under the PHH brand effective April 1, 2019.</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692" w:right="259" w:bottom="1440" w:gutter="0" w:footer="0" w:header="0"/>
        </w:sectPr>
      </w:pPr>
    </w:p>
    <w:bookmarkStart w:id="88" w:name="page89"/>
    <w:bookmarkEnd w:id="88"/>
    <w:p>
      <w:pPr>
        <w:ind w:right="68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Lending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loans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32,419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15,608</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53,221</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11,895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361</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16,917</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99,386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65,116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r>
      <w:tr>
        <w:trPr>
          <w:trHeight w:val="318"/>
        </w:trPr>
        <w:tc>
          <w:tcPr>
            <w:tcW w:w="30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9,959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32,138</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11,302</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3,773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2,554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86</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20,665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18,954</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63,021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57,036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91"/>
        </w:trPr>
        <w:tc>
          <w:tcPr>
            <w:tcW w:w="3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10"/>
        </w:trPr>
        <w:tc>
          <w:tcPr>
            <w:tcW w:w="3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30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9"/>
              </w:rPr>
              <w:t>Income (loss)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37,109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8,106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358 %</w:t>
            </w: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w w:val="97"/>
              </w:rPr>
              <w:t>The following table provides selected operating statistics for our Lending segment: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140,644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91,134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Reverse loans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Value (1)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draw commitment (UPB) (3)</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1,494,991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1,460,642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92,891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1,750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131,232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172,302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489,834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602,338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97"/>
        </w:trPr>
        <w:tc>
          <w:tcPr>
            <w:tcW w:w="28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224,123</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172,302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586,008</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604,496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4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Purchase production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Reverse loans (4)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106,907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94,631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278,793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278,681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59,056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38,414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145,423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136,086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22,129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14,471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46,410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50,153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97"/>
        </w:trPr>
        <w:tc>
          <w:tcPr>
            <w:tcW w:w="28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188,092</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147,516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470,626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464,920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Future Value represents the net present value of estimated future cash flows from customer draws of the loans and projected performance assumptions based on historical experience and industry benchmarks discounted at 12% related to HECM loans originated prior to January 1, 2019. We recognize this Future Value over time as future draws are securitized or sold.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Excludes the fair value of future draw commitments related to HECM loans purchased or originated after December 31, 2018 that we elected to carry at fair value.</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all future draw commitments.</w:t>
      </w:r>
    </w:p>
    <w:p>
      <w:pPr>
        <w:spacing w:after="0" w:line="5" w:lineRule="exact"/>
        <w:rPr>
          <w:rFonts w:ascii="Arial" w:cs="Arial" w:eastAsia="Arial" w:hAnsi="Arial"/>
          <w:sz w:val="16"/>
          <w:szCs w:val="16"/>
          <w:color w:val="auto"/>
        </w:rPr>
      </w:pPr>
    </w:p>
    <w:p>
      <w:pPr>
        <w:ind w:left="500" w:right="380" w:hanging="492"/>
        <w:spacing w:after="0" w:line="290"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New loan production excludes draws to borrowers on reverse mortgage loans disbursed subsequent to origination of $73.5 million for both the three months ended September 30, 2019 and 2018, and $220.0 million and $223.4 million for the nine months ended September 30, 2019 and 2018, respectively.</w:t>
      </w:r>
    </w:p>
    <w:p>
      <w:pPr>
        <w:spacing w:after="0" w:line="5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Our Lending segment results for the three and nine months ended September 30, 2019, as compared to the same periods of 2018, were primarily driven by the acquisition of PHH, our re-entry into the forward lending correspondent channel and reverse lending HECM program and market changes and the related impacts on loan production, revenue and expenses. According to the HUD HECM Endorsement Summary Report, industry endorsements, or the number of new HECM loans insured by the FHA during the reporting period, totaled 7,515 and 23,883, and 8,985 and 34,341, for the three and nine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92" w:right="239" w:bottom="1440" w:gutter="0" w:footer="0" w:header="0"/>
        </w:sectPr>
      </w:pPr>
    </w:p>
    <w:bookmarkStart w:id="90" w:name="page91"/>
    <w:bookmarkEnd w:id="90"/>
    <w:p>
      <w:pPr>
        <w:ind w:right="1880"/>
        <w:spacing w:after="0" w:line="402" w:lineRule="auto"/>
        <w:rPr>
          <w:sz w:val="20"/>
          <w:szCs w:val="20"/>
          <w:color w:val="auto"/>
        </w:rPr>
      </w:pPr>
      <w:r>
        <w:rPr>
          <w:rFonts w:ascii="Arial" w:cs="Arial" w:eastAsia="Arial" w:hAnsi="Arial"/>
          <w:sz w:val="18"/>
          <w:szCs w:val="18"/>
          <w:color w:val="auto"/>
        </w:rPr>
        <w:t xml:space="preserve">ended September 30, 2019 and 2018, respectively, representing a decline of 16% and 30% in the 2019 periods as compared to 2018. </w:t>
      </w:r>
      <w:r>
        <w:rPr>
          <w:rFonts w:ascii="Arial" w:cs="Arial" w:eastAsia="Arial" w:hAnsi="Arial"/>
          <w:sz w:val="18"/>
          <w:szCs w:val="18"/>
          <w:b w:val="1"/>
          <w:bCs w:val="1"/>
          <w:i w:val="1"/>
          <w:iCs w:val="1"/>
          <w:color w:val="auto"/>
        </w:rPr>
        <w:t>Three Months Ended September 30, 2019 versus 2018</w:t>
      </w:r>
    </w:p>
    <w:p>
      <w:pPr>
        <w:spacing w:after="0" w:line="6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Total revenue increased $12.6 million, or 74%, as compared to the third quarter of 2018, primarily due to a $12.9 million favorable net change in the fair values of our HECM reverse mortgage loans and the related HMBS financing liability, which is recorded in Other revenue, offset in part by a $0.7 million decline in reverse lending gain on loans held for sale.</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$13.0 million favorable fair value adjustments recognized in the third quarter of 2019 include $3.6 million in connection with the fair value election for future draw commitments on HECM reverse mortgage loans purchased or originated after December 31, 2018 and $2.9 million related to lower interest rates. Lower interest rates generally result in favorable net fair value impacts on our HECM reverse mortgage loans and the related HMBS financing liability and higher interest rates generally result in unfavorable net fair value impacts.</w:t>
      </w:r>
    </w:p>
    <w:p>
      <w:pPr>
        <w:spacing w:after="0" w:line="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Gain on loans held for sale, net, declined $0.7 million, or 5%, as compared to the third quarter of 2018, despite the $92.4 million, or 29% increase in total loan production due to our re-entry into the forward lending correspondent channel in the second quarter of 2019 and margin compression within the channels. Reverse lending gain on loans held for sale declined by $0.7 million, or 9%, on a 28% increase in lending volume due to significant margin compression resulting from increased price competitiveness in the wholesale and correspondent channels. The increase in our reverse lending volume for the three months ended September 30, 2019 as compared to the same period in 2018 versus the decline in industry endorsements for the comparable periods is due to our efforts to re-start purchases with former customers and increase wallet share with existing customers in our wholesale, correspondent and closed whole-loan purchase channels. The significant reduction in margin was largely attributable to lower gain on sales margins driven by increased price competition as compared to the same period in 2018. The slight increase in forward lending gain on loans held for sale was due to a 30% increase in loan production offset by margin compression.</w:t>
      </w:r>
    </w:p>
    <w:p>
      <w:pPr>
        <w:spacing w:after="0" w:line="8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Total expenses increased $1.7 million, or 9%, as compared to the third quarter of 2018, primarily due to expenses attributed to PHH and the increase in origination volume offset in part by a reduction in expenses resulting from our efforts to re-engineer our cost structure. The majority of expenses are variable, and as a result, as origination volume increase or decrease so do the related expenses. Examples include commissions, recorded in Compensation and benefits expense, and advertising expense, recorded in Other expenses. Total average headcount decreased 17% as compared to the third quarter of 2018, reflecting reductions in staffing levels as part of our cost re-engineering and simplification plans offset in part by the increase due to the acquisition of PHH. Compensation expense as compared to the third quarter of 2018 declined only slightly as average higher-cost U.S. headcount increased to 79% of total average headcount from 74% for the three months ended September 30, 2018. Servicing and origination expense increased $1.1 million as compared to the third quarter of 2018 primarily due to an increase in Ginnie Mae claim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2018</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Total revenue increased $34.3 million, or 53%, as compared to the nine months ended September 30, 2018, primarily due to $42.2 million favorable net change in the fair values of our HECM reverse mortgage loans and the related HMBS financing liability included in Other revenue, offset in part by an $8.3 million decline in reverse lending gain on loans held for sale.</w:t>
      </w:r>
    </w:p>
    <w:p>
      <w:pPr>
        <w:spacing w:after="0" w:line="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$50.2 million favorable fair value adjustments for the nine months ended September 30, 2019 includes $9.2 million in connection with the fair value election for future draw commitments on HECM reverse mortgage loans purchased or originated after December 31, 2018, $16.9 million related to lower interest rates and $11.5 million driven by an update in the first quarter of 2019 of the financing assumption for active HECM reverse mortgage loan repurchases in connection with our HMBS Issuer obligations. As these repurchases have become more prevalent, a more liquid market for financing has developed, resulting in a lower financing cost assumption.</w:t>
      </w:r>
    </w:p>
    <w:p>
      <w:pPr>
        <w:spacing w:after="0" w:line="8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Gain on loans held for sale, net, declined $8.6 million, or 16%, as compared to the nine months ended September 30, 2018, as total loan production decreased $12.8 million, or 1%. Reverse lending gain on loans held for sale declined by $8.3 million, or 25%, in spite of a 1% increase in loan production due to margin compression in the wholesale and correspondent channels as a result of market pricing competitiveness. Our reverse lending volume increased for the nine months ended September 30, 2019 as compared to the same period in 2018 versus the decline in industry endorsements for the comparable periods for the reasons noted above. A 2% reduction in the forward lending gain on loans held for sale resulted from a 3% decline in loan production.</w:t>
      </w:r>
    </w:p>
    <w:p>
      <w:pPr>
        <w:spacing w:after="0" w:line="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expenses increased $6.0 million, or 10%, as compared to the nine months ended September 30, 2018, in spite of the 1% decrease in total loan production, primarily due to expenses attributed to PHH. While total average headcount decreased 4% as compared to the nine months ended September 30, 2018, Compensation and benefits expense increased 5% as average higher-cost U.S. headcount increased to 79% of total average headcount from 75% for the nine months ended September 30, 2018.</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692" w:right="259" w:bottom="1440" w:gutter="0" w:footer="0" w:header="0"/>
        </w:sectPr>
      </w:pPr>
    </w:p>
    <w:bookmarkStart w:id="91" w:name="page92"/>
    <w:bookmarkEnd w:id="91"/>
    <w:p>
      <w:pPr>
        <w:ind w:left="40"/>
        <w:spacing w:after="0"/>
        <w:rPr>
          <w:sz w:val="20"/>
          <w:szCs w:val="20"/>
          <w:color w:val="auto"/>
        </w:rPr>
      </w:pPr>
      <w:r>
        <w:rPr>
          <w:rFonts w:ascii="Arial" w:cs="Arial" w:eastAsia="Arial" w:hAnsi="Arial"/>
          <w:sz w:val="18"/>
          <w:szCs w:val="18"/>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Corporate Items and Other includes revenues and expenses of corporate support services, CRL, discontinued operations and inactive entities, and our other business activities that are currently individually insignificant, revenues and expenses that are not directly related to other reportable segments, interest income on short-term investments of cash and interest expense on corporate debt. Interest expense on direct asset financings are recorded in the respective Servicing and Lending segments, while interest expense on the SSTL and the Senior Notes is recorded in Corporate Items and Other and is not allocated. Our cash balances are included in Corporate Items and Other.</w:t>
      </w:r>
    </w:p>
    <w:p>
      <w:pPr>
        <w:spacing w:after="0" w:line="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drive to return to profitability as soon as possible, we will seek to reduce our corporate support services expenses while complying with our legal and regulatory obligations. We anticipate that our ability to return to sustainable profitability will be significantly impacted by the degree to which we can reduce these costs going forward. Corporate Items and Other also includes severance, retention, facility-related and other expenses incurred in the first nine months of 2019 related to our re-engineering plan and have not been allocated to other segments.</w:t>
      </w:r>
    </w:p>
    <w:p>
      <w:pPr>
        <w:spacing w:after="0" w:line="189"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(formerly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has an expiration date of December 31, 2020, although it may be terminated by either party at any time with thirty days’ advance written notice.</w:t>
      </w:r>
    </w:p>
    <w:p>
      <w:pPr>
        <w:spacing w:after="0" w:line="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Certain expenses incurred by corporate support services are allocated to the Servicing and Lending segments. Certain litigation and settlement related expenses or recoveries, costs related to our Board of Directors and costs related to certain closed facility sites are not allocated and remain within in the Corporate Items and Other segment.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1391" w:right="299" w:bottom="1440" w:gutter="0" w:footer="0" w:header="0"/>
        </w:sectPr>
      </w:pPr>
    </w:p>
    <w:bookmarkStart w:id="92" w:name="page93"/>
    <w:bookmarkEnd w:id="92"/>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Premiums (CRL)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10,214</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3,731</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21,218</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75,717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23,677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26,749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40,932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71,396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5,261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10,510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expenses before corporate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overhead allocations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70,195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198,115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197,844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(145,710)</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49,580</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1,775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w w:val="92"/>
              </w:rPr>
              <w:t>Gain on repurchase of senior secured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notes</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(2,519)</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(43,674)</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2018</w:t>
      </w:r>
    </w:p>
    <w:p>
      <w:pPr>
        <w:spacing w:after="0" w:line="11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CRL premium revenue was $3.8 million, flat compared to the third quarter of 2018, as the average number of foreclosed real estate properties in our servicing portfolio remained stable.</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Total expenses before corporate overhead allocations increased $6.9 million, or 11%, as compared to the third quarter of 2018, primarily due to higher compensation and benefits expense attributed to PHH.</w:t>
      </w:r>
    </w:p>
    <w:p>
      <w:pPr>
        <w:spacing w:after="0" w:line="17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Compensation and benefits expense increased $7.2 million, or 34%, as compared to the third quarter of 2018, primarily due to the PHH acquisition and $7.3 million of employee-related re-engineering costs recognized in connection with our integration-related headcount reductions of primarily U.S. based employees. Average total corporate headcount increased 5%, primarily due to the PHH acquisition, including an increase in average higher-cost U.S. headcount to 36% of the total from 30% for the third quarter of 2018. Professional services expense declined $3.1 million, or 11%, as compared to the third quarter of 2018, primarily due to a decline in legal fees and settlements partially offset by professional services expense attributed to PHH.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92" w:right="239" w:bottom="1440" w:gutter="0" w:footer="0" w:header="0"/>
        </w:sectPr>
      </w:pPr>
    </w:p>
    <w:bookmarkStart w:id="93" w:name="page94"/>
    <w:bookmarkEnd w:id="93"/>
    <w:p>
      <w:pPr>
        <w:ind w:firstLine="324"/>
        <w:spacing w:after="0" w:line="264" w:lineRule="auto"/>
        <w:rPr>
          <w:sz w:val="20"/>
          <w:szCs w:val="20"/>
          <w:color w:val="auto"/>
        </w:rPr>
      </w:pPr>
      <w:r>
        <w:rPr>
          <w:rFonts w:ascii="Arial" w:cs="Arial" w:eastAsia="Arial" w:hAnsi="Arial"/>
          <w:sz w:val="18"/>
          <w:szCs w:val="18"/>
          <w:color w:val="auto"/>
        </w:rPr>
        <w:t>Occupancy and equipment expense increased $3.2 million, or 154%, as compared to the third quarter of 2018, primarily due to expenses attributed to PHH and accelerated amortization of ROU assets in connection with our decision to vacate leased properties prior to the contractual maturity date of the lease agreements.</w:t>
      </w:r>
    </w:p>
    <w:p>
      <w:pPr>
        <w:spacing w:after="0" w:line="18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Other, net increased $2.3 million, or 92%, as compared to the third quarter of 2018, primarily due to a $2.7 million increase in losses on fixed assets, including the write-off of $2.2 million of capitalized software no longer used, and increases related to PHH, offset by a $1.8 million decrease in foreign currency remeasurement losses. The higher foreign currency remeasurement losses in 2018 were primarily attributable to depreciation of the India Rupee against the U.S. Dollar. While we do not currently hedge our foreign currency exposure, we do maintain India Rupee denominated investments in higher-yielding term deposits to partially offset our exposure.</w:t>
      </w:r>
    </w:p>
    <w:p>
      <w:pPr>
        <w:spacing w:after="0" w:line="188"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Total expenses, after corporate overhead allocation, increased by $9.7 million, or 72%, as compared to the third quarter of 2018, primarily due to $18.3 million severance, retention, facility-related and other expenses related to our cost re-engineering plan and offset by $7.2 million lower professional services expenses and $1.9 million of PHH transaction related expense in the third quarter of 2018, that are not allocated.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2018</w:t>
      </w:r>
    </w:p>
    <w:p>
      <w:pPr>
        <w:spacing w:after="0" w:line="225"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CRL premium revenue decreased $2.6 million, or 20%, as compared to the nine months ended September 30, 2018, primarily due to the 18% decline in the average number of foreclosed real estate properties in our servicing portfolio.</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Total expenses before corporate overhead allocations increased $0.3 million as compared to the nine months ended September 30, 2018, primarily due to higher compensation and benefits expense attributed to PHH and costs incurred related to our cost re-engineering plan, offset by the recovery in the first quarter of 2019 of $30.7 million from a service provider and lower legal fees and settlements.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Compensation and benefits expense increased $24.5 million, or 32%, as compared to the nine months ended September 30, 2018, due to the PHH acquisition and $31.5 million of employee-related re-engineering costs recognized in connection with our integration-related headcount reductions of primarily U.S. based employees. Average total corporate headcount increased 8%, due to the PHH acquisition, including an increase in average higher-cost U.S. headcount to 41% of the total from 30% for the nine months ended September 30, 2018.</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Professional services expense declined $30.5 million, or 43%, as compared to the nine months ended September 30, 2018, primarily due to the recovery in the first quarter of 2019 of $30.7 million of amounts previously recognized as expense from a service provider and a $4.6 million decline in provisions for probable losses in connection with litigation, partially offset by professional services expense incurred by PHH.</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Occupancy and equipment expense increased $7.3 million or 138%, as compared to the nine months ended September 30, 2018, primarily due to PHH expenses and accelerated amortization of ROU assets in in connection with our decision to vacate leased properties in 2019 prior to the contractual maturity date of the lease agreements.</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Other, net increased $0.7 million, or 13%, as compared to the nine months ended September 30, 2018, primarily due to a $3.2 million increase in losses on fixed assets and increases related to PHH, offset by a $4.6 million decrease in foreign currency remeasurement losses. The higher foreign currency remeasurement losses in 2018 were primarily attributable to depreciation of the India Rupee against the U.S. Dollar.</w:t>
      </w:r>
    </w:p>
    <w:p>
      <w:pPr>
        <w:spacing w:after="0" w:line="166"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total expenses, after corporate overhead allocation, of $36.4 million for the nine months ended September 30, 2019 include $50.6 million of expenses associated with our cost re-engineering plan and the recovery of $30.7 million from a service provider, that are not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over various time horizons as a way to anticipate and mitigate liquidity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assessing our liquidity outlook, our primary focus is on available cash on hand, unused available funding and the following six forecasted measures:</w:t>
      </w:r>
    </w:p>
    <w:p>
      <w:pPr>
        <w:spacing w:after="0" w:line="24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88</w:t>
      </w:r>
    </w:p>
    <w:p>
      <w:pPr>
        <w:sectPr>
          <w:pgSz w:w="11900" w:h="16838" w:orient="portrait"/>
          <w:cols w:equalWidth="0" w:num="1">
            <w:col w:w="11380"/>
          </w:cols>
          <w:pgMar w:left="240" w:top="692" w:right="279" w:bottom="1440" w:gutter="0" w:footer="0" w:header="0"/>
        </w:sectPr>
      </w:pPr>
    </w:p>
    <w:bookmarkStart w:id="94" w:name="page95"/>
    <w:bookmarkEnd w:id="94"/>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Anticipated amounts and timing of payments relating to our cost re-engineering plans and integration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sources of cash;</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projected change in advances and match funded advances compared to the projected borrowing capacity to fund such advances under our facilities, including capacity for monthly peak needs; and</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Projected funding requirements for acquisitions of MSRs and other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MSR transactions.</w:t>
      </w:r>
    </w:p>
    <w:p>
      <w:pPr>
        <w:spacing w:after="0" w:line="2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At September 30, 2019, our unrestricted cash position was $345.1 million compared to $329.1 million at December 31, 2018. We typically invest cash in excess of our immediate operating needs in money market deposit accounts and other liquid assets. At September 30, 2019, $6.4 million of unencumbered loans held for sale were eligible for funding under our warehouse facilities on an uncommitted basis, compared to $62.4 million on a committed basis as of December 31, 2018. Our liquidity was bolstered by the $120.0 million upsizing of our SSTL during the first quarter of 2019 and borrowings of $137.6 million under our new MSR financing facility during the third quarter of 2019. During the third quarter of 2019, we used $138.1 million of cash to repay the PHH senior unsecured notes at maturity, partially repurchase second lien senior secured notes and pay the SSTL required amortization.</w:t>
      </w:r>
    </w:p>
    <w:p>
      <w:pPr>
        <w:spacing w:after="0" w:line="5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regularly evaluate capital structure options that we believe will most effectively provide the necessary capacity to invest in targeted assets, address upcoming debt maturities and accommodate our business needs. For example, on July 1, 2019, we closed a $300.0 million MSR funding facility and we are currently evaluating other capital structure alternatives in order to optimize access to capital, improve our cost of capital and reduce funding risk. Historical losses have significantly eroded our stockholders’ equity and weakened our financial condition. To the extent we are not successful in achieving our objective of returning to profitability, funding continuing losses will limit our opportunities to grow our business.</w:t>
      </w:r>
    </w:p>
    <w:p>
      <w:pPr>
        <w:spacing w:after="0" w:line="1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available borrowing capacity under our advance financing facilities has increased by $20.8 million from $46.7 million at December 31, 2018 to $67.5 million at September 30, 2019. The $90.8 million decline in outstanding borrowings drove the net increase in available capacity as our maximum borrowing capacity was reduced by $70.0 million from December 31, 2018. Our ability to continue to pledge collateral under our advance financing facilities depends on the performance of the advances, among other factors. At September 30, 2019, none of the available borrowing capacity could be used based on the amount of eligible collateral that had been pledged to our advance financing facilities.</w:t>
      </w:r>
    </w:p>
    <w:p>
      <w:pPr>
        <w:spacing w:after="0" w:line="6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At September 30, 2019, we had maximum borrowing capacity under our forward and reverse warehouse facilities of $1.1 billion. Of the borrowing capacity extended on a committed basis, $101.1 million was available at September 30, 2019, and none of the available borrowing capacity could have been used based on the amount of eligible collateral that could be pledged. Uncommitted amounts ($730.7 million available at September 30, 2019) can be advanced solely at the discretion of the lender, and there can be no assurance that any uncommitted amounts will be available to us at any particular time. At September 30, 2019, $6.4 million of the uncommitted borrowing capacity could have been used based on the amount of eligible collateral that could be pledged, assuming our lenders were willing to do so.</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portion of our cash balances are held in our non-U.S. subsidiaries. Should we wish to utilize this cash in the U.S. we would have to repatriate the cash held by our non-U.S. subsidiaries, potentially with tax consequences and in compliance with applicable laws.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open regulatory and litigation matters, recurring and nonrecurring costs, levels of investment and availability of funding sources. As part of this analysis, we have also assessed the cash requirements to operate our business and our financial obligations coming due. Based upon these evaluations and analysis, we believe that we have sufficient liquidity and access to adequate sources of new capital to meet our obligations and fund our operations for the next twelve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the MSR financing facility;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 advance financing facilities to financial institutions have revolving periods of 12 to 18 months. Term notes are generally issued to institutional investors with one-, two- or three-year revolving periods.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4" w:right="239" w:bottom="1440" w:gutter="0" w:footer="0" w:header="0"/>
        </w:sectPr>
      </w:pPr>
    </w:p>
    <w:bookmarkStart w:id="95" w:name="page96"/>
    <w:bookmarkEnd w:id="95"/>
    <w:p>
      <w:pPr>
        <w:ind w:right="80" w:firstLine="324"/>
        <w:spacing w:after="0" w:line="257" w:lineRule="auto"/>
        <w:rPr>
          <w:sz w:val="20"/>
          <w:szCs w:val="20"/>
          <w:color w:val="auto"/>
        </w:rPr>
      </w:pPr>
      <w:r>
        <w:rPr>
          <w:rFonts w:ascii="Arial" w:cs="Arial" w:eastAsia="Arial" w:hAnsi="Arial"/>
          <w:sz w:val="18"/>
          <w:szCs w:val="18"/>
          <w:color w:val="auto"/>
        </w:rPr>
        <w:t>We use mortgage loan warehouse facilities to fund newly-originated loans on a short-term basis until they are sold to secondary market investors, including GSEs or other third-party investors, and to fund repurchases of certain Ginnie Mae forward loans, HECM loans and other types of loans. Warehouse facilities are structured as repurchase or participation agreements under which ownership of the loans is temporarily transferred to the lender. Currently, our master repurchase and participation agreements generally have maximum terms of 364-days. The funds are typically repaid using the proceeds from the sale of the loans to the secondary market investors, usually within 30 days.</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a secured lien under the SSTL are as follows at September 30, 2019:</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Collateral for</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Secured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Borrowings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Sale Commitments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Commitments (1)</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 (2)</w:t>
            </w: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345,084</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MSRs (3)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265,247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212,684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183,919</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 funded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275,579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203,023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72,556</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6,073,687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6,031,793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41,894</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152,222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128,778</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43,974</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513,449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452,977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56,226</w:t>
            </w: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9,956,653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8,284,360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494,512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1,137,678</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right="20" w:hanging="332"/>
        <w:spacing w:after="0" w:line="257"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Commitments includes Restricted cash and deposits held as collateral to support certain contractual obligations, and Contingent loan repurchase assets related to the Ginnie Mae EBO program for which a corresponding liability is recognized in Other liabilities.</w:t>
      </w:r>
    </w:p>
    <w:p>
      <w:pPr>
        <w:spacing w:after="0" w:line="1" w:lineRule="exact"/>
        <w:rPr>
          <w:rFonts w:ascii="Arial" w:cs="Arial" w:eastAsia="Arial" w:hAnsi="Arial"/>
          <w:sz w:val="16"/>
          <w:szCs w:val="16"/>
          <w:color w:val="auto"/>
        </w:rPr>
      </w:pPr>
    </w:p>
    <w:p>
      <w:pPr>
        <w:ind w:left="340" w:right="60" w:hanging="332"/>
        <w:spacing w:after="0" w:line="298"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1" w:lineRule="exact"/>
        <w:rPr>
          <w:rFonts w:ascii="Arial" w:cs="Arial" w:eastAsia="Arial" w:hAnsi="Arial"/>
          <w:sz w:val="15"/>
          <w:szCs w:val="15"/>
          <w:color w:val="auto"/>
        </w:rPr>
      </w:pPr>
    </w:p>
    <w:p>
      <w:pPr>
        <w:ind w:left="340" w:right="500" w:hanging="332"/>
        <w:spacing w:after="0" w:line="27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MSRs pledged as collateral for secured borrowings includes MSRs pledged to NRZ in connection with the Rights to MSRs transactions which are accounted for as secured financings and MSRs securing the financing facility PMC entered into on July 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in normal course include:</w:t>
      </w:r>
    </w:p>
    <w:p>
      <w:pPr>
        <w:spacing w:after="0" w:line="1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relating to our cost re-engineering plans and integration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Investing in our servicing and lending businesses, including MSR and other asset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Funding of originated and repurchased loans, including scheduled and unscheduled equity draws on reverse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Repayments of borrowings, including under our advance financing facilities and warehouse facilities, and payment of interest expense;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92" w:right="239" w:bottom="1440" w:gutter="0" w:footer="0" w:header="0"/>
        </w:sectPr>
      </w:pPr>
    </w:p>
    <w:bookmarkStart w:id="96" w:name="page97"/>
    <w:bookmarkEnd w:id="96"/>
    <w:p>
      <w:pPr>
        <w:ind w:right="240" w:firstLine="324"/>
        <w:spacing w:after="0" w:line="277"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Regarding the current maturities of our borrowings, as of September 30, 2019, we have approximately $808.7 million of debt outstanding that will either come due, begin amortizing or require partial repayment in the next 12 months. This amount is comprised of $25.4 million in contractual repayments of our SSTL, $243.2 million of borrowings under warehouse facilities, $402.5 million of variable funding and term notes under advance financing facilities that will enter their respective amortization periods and $137.6 million outstanding under our new MSR financing facility which will terminate in June 2020 unless renewed or extended.</w:t>
      </w:r>
    </w:p>
    <w:p>
      <w:pPr>
        <w:spacing w:after="0" w:line="18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that we will be able to renew, replace or extend our debt agreements to the extent necessary to finance our operations before or as they become due, consistent with our historical experience.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current and anticipated financing needs:</w:t>
      </w:r>
    </w:p>
    <w:p>
      <w:pPr>
        <w:spacing w:after="0" w:line="62" w:lineRule="exact"/>
        <w:rPr>
          <w:sz w:val="20"/>
          <w:szCs w:val="20"/>
          <w:color w:val="auto"/>
        </w:rPr>
      </w:pPr>
    </w:p>
    <w:p>
      <w:pPr>
        <w:ind w:left="660" w:right="50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January 23, 2019, we renewed a mortgage loan warehouse agreement through January 22, 2020. Under this agreement, the lender provides uncommitted financing for up to $50.0 million for reverse mortgage loan originations.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4, 2019, we entered into a mortgage loan warehouse agreement under which the lender will provide $300.0 million of borrowing capacity on an uncommitted basis for forward mortgage loan originations.</w:t>
      </w:r>
    </w:p>
    <w:p>
      <w:pPr>
        <w:ind w:left="660" w:right="1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March 18, 2019, we amended the SSTL to provide an additional term loan of $120.0 million subject to the same maturity, interest rate and other material terms of existing borrowings under the SSTL. The required quarterly principal payment was increased from $4.2 million to $6.4 million beginning March 31, 2019.</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8"/>
          <w:szCs w:val="18"/>
          <w:color w:val="auto"/>
        </w:rPr>
        <w:t>On June 6, 2019, we renewed our OFAF advance financing facility through June 5, 2020 and reduced the borrowing capacity from $65.0 million to $60.0 million.</w:t>
      </w:r>
    </w:p>
    <w:p>
      <w:pPr>
        <w:ind w:left="660" w:right="44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July 1, 2019, we entered into a committed financing facility that is secured by certain Fannie Mae and Freddie Mac MSRs. In the future, borrowings under this facility may also be secured by Ginnie Mae MSRs. The maximum amount which we may borrow is $300.0 million. This facility will terminate in June 2020 unless the parties mutually agree to renew or extend.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August 13, 2019, we renewed a reverse mortgage loan warehouse agreement with a maximum borrowing capacity of $100.0 million (all of which is uncommitted) through August 14, 2020.</w:t>
      </w:r>
    </w:p>
    <w:p>
      <w:pPr>
        <w:ind w:left="660" w:right="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August 14, 2019, we issued two fixed-rate term notes (Series 2019 T-1 and Series 2019-T2) totaling $470.0 million and repaid Series 2016-T2, 2018-T1 and 2018-T2 fixed-rate term notes on August 15, 2019. The amortization period for the Series 2019 T-1 and Series 2019-T2 notes begin on August 17, 2020 and August 16, 2021, respectively.</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September 2, 2019, we redeemed all of the $97.5 million of our 7.375% Senior unsecured notes due in September 2019, at a redemption price of 100.0% of the outstanding principal balance plus accrued and unpaid interest.</w:t>
      </w:r>
    </w:p>
    <w:p>
      <w:pPr>
        <w:ind w:left="660" w:right="120" w:hanging="328"/>
        <w:spacing w:after="0" w:line="26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September 27, 2019, we renewed a mortgage loan warehouse agreement with a maximum borrowing capacity of $175.0 million ($100.0 million of which is committed) through September 25, 2020.</w:t>
      </w:r>
    </w:p>
    <w:p>
      <w:pPr>
        <w:spacing w:after="0" w:line="7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4" w:right="239" w:bottom="1440" w:gutter="0" w:footer="0" w:header="0"/>
        </w:sectPr>
      </w:pPr>
    </w:p>
    <w:bookmarkStart w:id="97" w:name="page98"/>
    <w:bookmarkEnd w:id="97"/>
    <w:p>
      <w:pPr>
        <w:ind w:right="80"/>
        <w:spacing w:after="0" w:line="293" w:lineRule="auto"/>
        <w:rPr>
          <w:sz w:val="20"/>
          <w:szCs w:val="20"/>
          <w:color w:val="auto"/>
        </w:rPr>
      </w:pPr>
      <w:r>
        <w:rPr>
          <w:rFonts w:ascii="Arial" w:cs="Arial" w:eastAsia="Arial" w:hAnsi="Arial"/>
          <w:sz w:val="16"/>
          <w:szCs w:val="16"/>
          <w:color w:val="auto"/>
        </w:rPr>
        <w:t>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Lower ratings generally result in higher borrowing costs and reduced access to capital markets. The following table summarizes the current ratings and outlook for PMC by the respective nationally recognized rating agencies. A credit rating is not a recommendation to buy, sell or hold securities and may be subject to revision or withdrawal at any time.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Caa1</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11, 2019</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July 13, 2019</w:t>
            </w:r>
          </w:p>
        </w:tc>
      </w:tr>
    </w:tbl>
    <w:p>
      <w:pPr>
        <w:spacing w:after="0" w:line="12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On September 11, 2019 Moody’s withdrew the Caa1 corporate family rating of Ocwen as it no longer maintained any rated debt outstanding and issued a corporate family rating of Caa1 with negative outlook to PMC. It is possible that additional actions by credit rating agencies could have a material adverse impact on our liquidity and funding position, including materially changing the terms on which we may be able to borrow money.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NRZ agreements have a significant impact on our consolidated statements of cash flows. Because the lump-sum payments we received in connection with our 2017 and New RMSR Agreements are recorded as secured financings, additions to, and reductions in, the balance of those secured financings are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nine months ended September 30, 2019 and 2018 includes $76.1 million and $103.4 million, respectively, of such cash flows and they were offset by corresponding amounts in net cash used in financing activities in the same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2019</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operating activities provided $184.1 million of cash largely due to $189.9 million of net collections of servicing advances, offset in part by net cash paid on loans held for sale of $85.2 million for the nine months ended September 30, 2019.</w:t>
      </w:r>
    </w:p>
    <w:p>
      <w:pPr>
        <w:spacing w:after="0" w:line="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investing activities used $397.3 million of cash. The primary uses of cash in our investing activities include net cash outflows in connection with our HECM reverse mortgages of $292.1 million. Cash outflows also include $112.4 million to purchase MSRs.</w:t>
      </w:r>
    </w:p>
    <w:p>
      <w:pPr>
        <w:spacing w:after="0" w:line="6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financing activities provided $219.9 million of cash. Cash inflows include $665.8 million received in connection with our reverse mortgage securitizations, which are accounted for as secured financings, less repayments on the related financing liability of $377.1 million. We increased borrowings under the SSTL through the issuance of an additional term loan of $120.0 million (before a discount of $0.9 million), less repayments of $19.1 million. In addition, we increased borrowings under our mortgage loan warehouse facilities by $87.5 million and borrowed $137.6 million under a new MSR financing facility. Cash outflows include $90.8 million of net repayments on match funded liabilities as a result of advance recoveries, $157.2 million of net payments on the financing liabilities related to MSRs pledged and $131.8 million to redeem and repurchase Senior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2018</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operating activities provided $291.5 million of cash largely due to $243.8 million of net collections of servicing advances. Net cash paid on loans held for sale during the nine months ended September 30, 2018 was $80.3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692" w:right="259" w:bottom="1440" w:gutter="0" w:footer="0" w:header="0"/>
        </w:sectPr>
      </w:pPr>
    </w:p>
    <w:bookmarkStart w:id="98" w:name="page99"/>
    <w:bookmarkEnd w:id="98"/>
    <w:p>
      <w:pPr>
        <w:jc w:val="both"/>
        <w:ind w:right="20" w:firstLine="324"/>
        <w:spacing w:after="0" w:line="312" w:lineRule="auto"/>
        <w:rPr>
          <w:sz w:val="20"/>
          <w:szCs w:val="20"/>
          <w:color w:val="auto"/>
        </w:rPr>
      </w:pPr>
      <w:r>
        <w:rPr>
          <w:rFonts w:ascii="Arial" w:cs="Arial" w:eastAsia="Arial" w:hAnsi="Arial"/>
          <w:sz w:val="16"/>
          <w:szCs w:val="16"/>
          <w:color w:val="auto"/>
        </w:rPr>
        <w:t>Our investing activities used $371.9 million of cash. The primary uses of cash in our investing activities include net cash outflows in connection with our HECM reverse mortgages of $414.2 million. Cash inflows include net proceeds of $33.0 million in connection with the automotive capital services business, which we decided to exit in January 2018, and the receipt of $14.0 million of net proceeds from the sale of MSRs and related advances.</w:t>
      </w:r>
    </w:p>
    <w:p>
      <w:pPr>
        <w:spacing w:after="0" w:line="14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financing activities provided $58.1 million of cash. Cash inflows include $728.7 million received in connection with our reverse mortgage securitizations, less repayments on the related financing liability of $290.3 million. In January 2018, Ocwen received a lump-sum payment of $279.6 million in accordance with the terms of the New RMSR Agreements. Cash outflows include $284.4 million of net repayments on match funded liabilities as a result of advance recoveries, $154.1 million of net payments on the financing liabilities related to MSRs pledged and $62.6 million of repayments on the SSTL. In addition, we reduced borrowings under our mortgage loan warehouse facilities by $140.7 million.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0" w:firstLine="27"/>
        <w:spacing w:after="0" w:line="401"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0" w:firstLine="324"/>
        <w:spacing w:after="0" w:line="270" w:lineRule="auto"/>
        <w:rPr>
          <w:sz w:val="20"/>
          <w:szCs w:val="20"/>
          <w:color w:val="auto"/>
        </w:rPr>
      </w:pPr>
      <w:r>
        <w:rPr>
          <w:rFonts w:ascii="Arial" w:cs="Arial" w:eastAsia="Arial" w:hAnsi="Arial"/>
          <w:sz w:val="17"/>
          <w:szCs w:val="17"/>
          <w:color w:val="auto"/>
        </w:rPr>
        <w:t>We believe that we have adequate resources to fund all unfunded commitments to the extent required and meet all contractual obligations as they come due. At September 30, 2019,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nine months ended September 30, 2019, other than changes related to our secured borrowings. During the nine months ended September 30, 2019, we (1) renewed our OFAF advance financing facility through June 5, 2020 and reduced the borrowing capacity from $65.0 million to $60.0 million, (2) renewed three existing mortgage loan warehouse facilities with combined borrowing capacity of $325.0 million for one year and terminated two facilities with a combined borrowing capacity of $250.0 million, entered into a new $300.0 million mortgage loan warehouse facility, entered into a new $300.0 MSR financing facility and amended the SSTL to provide an additional term loan of $120.0 million subject to the same maturity and interest rate terms of existing borrowings under the SSTL. See Note 13 – Borrowings to the Unaudited Consolidated Financial Statements and “Liquidity and Capital Resources - Outlook” for additional information.</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4 – Securitizations and Variable Interest Entities, Note 14 – Other Liabilities and Note 21 – Contingencies to the Unaudited Consolidated Financial Statements for additional information.</w:t>
      </w:r>
    </w:p>
    <w:p>
      <w:pPr>
        <w:spacing w:after="0" w:line="8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HMBS Issuer Obligations. </w:t>
      </w:r>
      <w:r>
        <w:rPr>
          <w:rFonts w:ascii="Arial" w:cs="Arial" w:eastAsia="Arial" w:hAnsi="Arial"/>
          <w:sz w:val="17"/>
          <w:szCs w:val="17"/>
          <w:color w:val="auto"/>
        </w:rPr>
        <w:t>As an HMBS issuer, we assume certain obligations related to each security issued. The most significant obligation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692" w:right="279" w:bottom="1440" w:gutter="0" w:footer="0" w:header="0"/>
        </w:sectPr>
      </w:pPr>
    </w:p>
    <w:bookmarkStart w:id="99" w:name="page100"/>
    <w:bookmarkEnd w:id="99"/>
    <w:p>
      <w:pPr>
        <w:ind w:right="460"/>
        <w:spacing w:after="0" w:line="277" w:lineRule="auto"/>
        <w:rPr>
          <w:sz w:val="20"/>
          <w:szCs w:val="20"/>
          <w:color w:val="auto"/>
        </w:rPr>
      </w:pPr>
      <w:r>
        <w:rPr>
          <w:rFonts w:ascii="Arial" w:cs="Arial" w:eastAsia="Arial" w:hAnsi="Arial"/>
          <w:sz w:val="18"/>
          <w:szCs w:val="18"/>
          <w:color w:val="auto"/>
        </w:rPr>
        <w:t>are generally liquidated through foreclosure and subsequent sale of REO, with a claim filed with HUD for recoverable remaining principal and advance balances. See Note 20 — Commitments to the Unaudited Consolidated Financial Statements for additional information.</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Involvement with VIEs</w:t>
      </w:r>
      <w:r>
        <w:rPr>
          <w:rFonts w:ascii="Arial" w:cs="Arial" w:eastAsia="Arial" w:hAnsi="Arial"/>
          <w:sz w:val="16"/>
          <w:szCs w:val="16"/>
          <w:color w:val="auto"/>
        </w:rPr>
        <w:t>. We use SPEs and VIEs for a variety of purposes but principally in the financing of our servicing advances, in the securitization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loans and in the financing of our MSRs. We include VIEs in our consolidated financial statements if we determine we are the primary beneficiary. See Note 4 – Securitizations and Variable Interest Entities to the Unaudited Consolidated Financial Statements for additional information.</w:t>
      </w:r>
    </w:p>
    <w:p>
      <w:pPr>
        <w:spacing w:after="0" w:line="3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15 – Derivative Financial Instruments and Hedging Activities to the Unaudited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2018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use fair value measurements to record fair value adjustments to certain instruments in our statement of operations and to determine fair value disclosures. Refer to Note 5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692" w:right="259" w:bottom="1440" w:gutter="0" w:footer="0" w:header="0"/>
        </w:sectPr>
      </w:pPr>
    </w:p>
    <w:bookmarkStart w:id="100" w:name="page101"/>
    <w:bookmarkEnd w:id="100"/>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2019</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December 31, 2018</w:t>
            </w:r>
          </w:p>
        </w:tc>
      </w:tr>
      <w:tr>
        <w:trPr>
          <w:trHeight w:val="27"/>
        </w:trPr>
        <w:tc>
          <w:tcPr>
            <w:tcW w:w="7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242,622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6,049,242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5,472,199</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 Restricted for securitization investors</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26,520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1,455,553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1,457,149</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1,502</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notes and corporate bonds</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1,514</w:t>
            </w:r>
          </w:p>
        </w:tc>
      </w:tr>
      <w:tr>
        <w:trPr>
          <w:trHeight w:val="297"/>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Assets at fair value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7,813,158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7,206,058</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assets</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HMBS-related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5,903,965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5,380,448</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Financing liability - MSRs pledged</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986,952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1,032,856</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liability - Owed to securitization investors</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24,815</w:t>
            </w:r>
          </w:p>
        </w:tc>
      </w:tr>
      <w:tr>
        <w:trPr>
          <w:trHeight w:val="237"/>
        </w:trPr>
        <w:tc>
          <w:tcPr>
            <w:tcW w:w="79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6,913,744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6,438,119</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4,986</w:t>
            </w:r>
          </w:p>
        </w:tc>
      </w:tr>
      <w:tr>
        <w:trPr>
          <w:trHeight w:val="297"/>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at fair value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6,917,063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6,443,105</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7,599,210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7,024,145</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6,913,744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6,438,119</w:t>
            </w: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Assets at fair value using Level 3 inputs increased during the nine months ended September 30, 2019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MSRs</w:t>
      </w:r>
    </w:p>
    <w:p>
      <w:pPr>
        <w:spacing w:after="0" w:line="12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MSRs are assets that represent the right to service a portfolio of mortgage loans. We originate MSRs from our lending activities and obtain MSRs through asset acquisitions. For initial measurement, acquired and originated MSRs are initially measured at fair value. Subsequent to acquisition or origination, we elect to account for MSRs using either the amortization method or the fair value measurement method.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This irrevocable election applies to all subsequently acquired or originated servicing assets and liabilities that have characteristics consistent with each of these classes.</w:t>
      </w:r>
    </w:p>
    <w:p>
      <w:pPr>
        <w:spacing w:after="0" w:line="5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9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key assumptions used in the valuation of these MSRs include prepayment speeds, loan delinquency, cost to service and discount rates.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class projected for the five-year period beginning September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Conventional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Government-Insured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speed</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10.8% to 18.0%</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11.1% to 22.2%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9.2% to 14.2%</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1.5% to 3.5%</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7.2% to 16.8%</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24.5% to 28.5%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10.7%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27.3%</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$69 to $77</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$86 to $133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$246 to $278</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11.3%</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71"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8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record an allowance for losses on servicing advances through a charge to earnings to the extent that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September 30, 2019, the allowance for losses on servicing advances was $9.3 million, which represents 1% of the combined total balance of servicing advances and match funded advances.</w:t>
      </w:r>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record an allowance for losses on receivables in our Servicing business related to defaulted FHA or VA insured loans repurchased from Ginnie Mae guaranteed securitizations (government-insured loan claims). This allowance represents management’s estimate of incurred losses and is maintained at a level that management considers adequate based upon continuing assessments of collectability, current trends, and historical loss experience. At September 30, 2019, the allowance for losses on receivables related to government-insured claims was $53.2 million, which represents 55% of the total balance of government-insured claims receivables.</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Determining an allowance for losses involves degrees of judgment and assumptions that, given similar information at any given point, may result in a different but reasonable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December 2017, the Securities and Exchange Commission Staff issued Staff Accounting Bulletin (SAB) 118 (as further clarified by FASB ASU 2018-05, Income Taxes (Topic 740): “Amendments to SEC Paragraphs Pursuant to SEC Staff Accounting Bulletin No. 118”), which provides guidance on accounting for the income tax effects of the Tax Act. SAB 118 provides a measurement period that should not extend beyond one year from the Tax Act enactment date of December 22, 2017 for companies to complete the accounting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In accordance with SAB 118, a company must reflect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92" w:right="239" w:bottom="1440" w:gutter="0" w:footer="0" w:header="0"/>
        </w:sectPr>
      </w:pPr>
    </w:p>
    <w:bookmarkStart w:id="102" w:name="page103"/>
    <w:bookmarkEnd w:id="102"/>
    <w:p>
      <w:pPr>
        <w:ind w:right="100"/>
        <w:spacing w:after="0" w:line="302" w:lineRule="auto"/>
        <w:rPr>
          <w:sz w:val="20"/>
          <w:szCs w:val="20"/>
          <w:color w:val="auto"/>
        </w:rPr>
      </w:pPr>
      <w:r>
        <w:rPr>
          <w:rFonts w:ascii="Arial" w:cs="Arial" w:eastAsia="Arial" w:hAnsi="Arial"/>
          <w:sz w:val="16"/>
          <w:szCs w:val="16"/>
          <w:color w:val="auto"/>
        </w:rPr>
        <w:t>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We finalized our provisional amounts under SAB 118 in the fourth quarter of 2018.</w:t>
      </w:r>
    </w:p>
    <w:p>
      <w:pPr>
        <w:spacing w:after="0" w:line="1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3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three-year periods ended December 31, 2018 and 2017, the USVI filing jurisdiction was in a material cumulative loss position. The U.S. jurisdiction was also in a three-year cumulative loss position as of December 31, 2018 and 2017.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result of these evaluations, we recognized a full valuation allowance of $46.3 million and $62.9 million on our U.S. deferred tax assets at December 31, 2018 and 2017, respectively, and a full valuation allowance of $21.3 million and $43.9 million on our USVI deferred tax assets at December 31, 2018 and 2017,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5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193"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We have evaluated whether we experienced an ownership change as measured under Section 382, and during 2018 we determined that an ownership change did occur in January 2015 and in December 2017 in the U.S. jurisdiction, which also results in an ownership change under Section 382 in the USVI jurisdiction. This determination was made based on information available as of the date of our Form 10-K filing for the fiscal year ended December 31, 2018. Due to the Section 382 and 383 limitations and the maximum carryforward period for our NOLs and tax credits, we will be unable to fully recognize certain deferred tax assets. Accordingly, as of December 31, 2018, we had reduced our gross deferred tax asset related to our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any future recognized built-in losses or deductions, and tax credit carryforwards could have an adverse effect on our financial condition, results of operations and cash flows.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92" w:right="239" w:bottom="1440" w:gutter="0" w:footer="0" w:header="0"/>
        </w:sectPr>
      </w:pPr>
    </w:p>
    <w:bookmarkStart w:id="103" w:name="page104"/>
    <w:bookmarkEnd w:id="103"/>
    <w:p>
      <w:pPr>
        <w:ind w:right="20" w:firstLine="324"/>
        <w:spacing w:after="0" w:line="286"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7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10-Q, Ocwen has not received all requested responses from selected shareholders, and will continue to consider such shareholders as economic owners of Ocwen’s stock until actual knowledge is otherwise received.</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9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Our evaluation of whether it is probable that we will be unable to meet our obligations as they become due within one year after the date that our financial statements are issued involves a degree of judgment, including about matters that are, to different degrees, uncertain.</w:t>
      </w:r>
    </w:p>
    <w:p>
      <w:pPr>
        <w:spacing w:after="0" w:line="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Note 1 - Organization, Business Environment and Basis of Presentation to the Unaudited Consolidated Financial Statements for information related to recently issued accounting pronouncements and the expected impact on our consolidated financial statements.</w:t>
      </w:r>
    </w:p>
    <w:p>
      <w:pPr>
        <w:spacing w:after="0" w:line="200" w:lineRule="exact"/>
        <w:rPr>
          <w:sz w:val="20"/>
          <w:szCs w:val="20"/>
          <w:color w:val="auto"/>
        </w:rPr>
      </w:pPr>
    </w:p>
    <w:p>
      <w:pPr>
        <w:spacing w:after="0" w:line="291" w:lineRule="exact"/>
        <w:rPr>
          <w:sz w:val="20"/>
          <w:szCs w:val="20"/>
          <w:color w:val="auto"/>
        </w:rPr>
      </w:pPr>
    </w:p>
    <w:p>
      <w:pPr>
        <w:ind w:right="16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(Dollars in thousands unless otherwise indicated) Interest Rates</w:t>
      </w:r>
    </w:p>
    <w:p>
      <w:pPr>
        <w:ind w:right="180" w:firstLine="324"/>
        <w:spacing w:after="0" w:line="259" w:lineRule="auto"/>
        <w:rPr>
          <w:sz w:val="20"/>
          <w:szCs w:val="20"/>
          <w:color w:val="auto"/>
        </w:rPr>
      </w:pPr>
      <w:r>
        <w:rPr>
          <w:rFonts w:ascii="Arial" w:cs="Arial" w:eastAsia="Arial" w:hAnsi="Arial"/>
          <w:sz w:val="18"/>
          <w:szCs w:val="18"/>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rate-sensitive liabilities mature or re-price at different speeds, or on different bases, than interest-earning assets.</w:t>
      </w:r>
    </w:p>
    <w:p>
      <w:pPr>
        <w:spacing w:after="0" w:line="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the counterparties with whom we are permitted to enter into</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688" w:right="259" w:bottom="1440" w:gutter="0" w:footer="0" w:header="0"/>
        </w:sectPr>
      </w:pPr>
    </w:p>
    <w:bookmarkStart w:id="105" w:name="page106"/>
    <w:bookmarkEnd w:id="105"/>
    <w:p>
      <w:pPr>
        <w:ind w:right="300"/>
        <w:spacing w:after="0" w:line="277" w:lineRule="auto"/>
        <w:rPr>
          <w:sz w:val="20"/>
          <w:szCs w:val="20"/>
          <w:color w:val="auto"/>
        </w:rPr>
      </w:pPr>
      <w:r>
        <w:rPr>
          <w:rFonts w:ascii="Arial" w:cs="Arial" w:eastAsia="Arial" w:hAnsi="Arial"/>
          <w:sz w:val="18"/>
          <w:szCs w:val="18"/>
          <w:color w:val="auto"/>
        </w:rPr>
        <w:t>hedging transactions and our liquidity risk profile. See Note 15 – Derivative Financial Instruments and Hedging Activities to the Unaudited Consolidated Financial Statements for additional information regarding our use of derivatives.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Hedging Strategy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Beginning in September 2019,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8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10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lock commitments (pipeline).</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determine and monitor daily the hedge coverage based on the duration and interest rate sensitivity measures of our net MSR portfolio exposure, considering market and liquidity conditions. At September 30, 2019, our hedging strategy provides for a partial coverage of our net MSR portfolio exposure of approximately 30%. The changes in fair value of our hedging instruments may not offset the changes in fair value of our net MSR portfolio exposure attributable to interest rate changes due to the partial hedge coverage and other factors.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following table illustrates the composition of our net MSR portfolio exposure at September 30, 2019 with the associated interest rate sensitivity for a hypothetical, instantaneous decrease in interest rate of 25 basis points assuming a parallel shift in interest rate yield curves (refer to the description below under Sensitivity Analysis). The amounts based on market risk sensitive measures are hypothetical and presented for illustrative purposes only. Changes in fair value cannot be extrapolated because the relationship to the change in fair value may not be linear.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Hypothetical change in</w:t>
            </w:r>
          </w:p>
        </w:tc>
      </w:tr>
      <w:tr>
        <w:trPr>
          <w:trHeight w:val="216"/>
        </w:trPr>
        <w:tc>
          <w:tcPr>
            <w:tcW w:w="6940" w:type="dxa"/>
            <w:vAlign w:val="bottom"/>
          </w:tcPr>
          <w:p>
            <w:pPr>
              <w:spacing w:after="0"/>
              <w:rPr>
                <w:sz w:val="18"/>
                <w:szCs w:val="18"/>
                <w:color w:val="auto"/>
              </w:rPr>
            </w:pPr>
          </w:p>
        </w:tc>
        <w:tc>
          <w:tcPr>
            <w:tcW w:w="20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Fair value at September</w:t>
            </w: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fair value due to 25 bps</w:t>
            </w:r>
          </w:p>
        </w:tc>
      </w:tr>
      <w:tr>
        <w:trPr>
          <w:trHeight w:val="234"/>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40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rate decrease</w:t>
            </w:r>
          </w:p>
        </w:tc>
      </w:tr>
      <w:tr>
        <w:trPr>
          <w:trHeight w:val="27"/>
        </w:trPr>
        <w:tc>
          <w:tcPr>
            <w:tcW w:w="6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Agency MSR - interest rate sensitive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Less NRZ Agency MSR financing liability</w:t>
            </w: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29.8</w:t>
            </w:r>
          </w:p>
        </w:tc>
      </w:tr>
      <w:tr>
        <w:trPr>
          <w:trHeight w:val="27"/>
        </w:trPr>
        <w:tc>
          <w:tcPr>
            <w:tcW w:w="6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Agency MSR exposure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318"/>
        </w:trPr>
        <w:tc>
          <w:tcPr>
            <w:tcW w:w="69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 of HECM loans, net of HMBS-related liability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Loans HFS</w:t>
            </w:r>
          </w:p>
        </w:tc>
        <w:tc>
          <w:tcPr>
            <w:tcW w:w="4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324"/>
        </w:trPr>
        <w:tc>
          <w:tcPr>
            <w:tcW w:w="6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MSR portfolio exposure (sum of the above)</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Hypothetical 30% offset by hedging instruments</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27"/>
        </w:trPr>
        <w:tc>
          <w:tcPr>
            <w:tcW w:w="6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Hypothetical residual exposure to changes in interest rates</w:t>
            </w:r>
          </w:p>
        </w:tc>
        <w:tc>
          <w:tcPr>
            <w:tcW w:w="4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6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We use forward trades of MBS or Agency TBAs with different banking counterparties as hedging instruments that are not designated as accounting hedges. TBAs, or To-Be-Announced securities are actively traded, forward contracts to purchase or sell Agency MBS on a specific future date. We report changes in fair value of these derivative instruments in MSR valuation adjustments, net in our unaudited consolidated statements of operations.</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TBAs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 and MSR Financing Liabilities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entire portfolio of MSRs is accounted for using the fair value measurement method. MSRs are subject to interest rate risk as the mortgage loans underlying the MSRs permit borrowers to prepay their loans. The fair value of MSRs generally</w:t>
      </w:r>
    </w:p>
    <w:p>
      <w:pPr>
        <w:sectPr>
          <w:pgSz w:w="11900" w:h="16838" w:orient="portrait"/>
          <w:cols w:equalWidth="0" w:num="1">
            <w:col w:w="11360"/>
          </w:cols>
          <w:pgMar w:left="240" w:top="692"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360"/>
          </w:cols>
          <w:pgMar w:left="240" w:top="692" w:right="299" w:bottom="1440" w:gutter="0" w:footer="0" w:header="0"/>
          <w:type w:val="continuous"/>
        </w:sectPr>
      </w:pPr>
    </w:p>
    <w:bookmarkStart w:id="106" w:name="page107"/>
    <w:bookmarkEnd w:id="106"/>
    <w:p>
      <w:pPr>
        <w:ind w:right="440"/>
        <w:spacing w:after="0" w:line="277" w:lineRule="auto"/>
        <w:rPr>
          <w:sz w:val="20"/>
          <w:szCs w:val="20"/>
          <w:color w:val="auto"/>
        </w:rPr>
      </w:pPr>
      <w:r>
        <w:rPr>
          <w:rFonts w:ascii="Arial" w:cs="Arial" w:eastAsia="Arial" w:hAnsi="Arial"/>
          <w:sz w:val="18"/>
          <w:szCs w:val="18"/>
          <w:color w:val="auto"/>
        </w:rPr>
        <w:t>decreases in periods where interest rates are declining, as prepayments increase, and generally increases in periods where interest rates are increasing, as prepayments decrease.</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While the majority of our non-Agency MSRs have been sold to NRZ, these transactions did not qualify as sales and are accounted for as secured financings.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unaudited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Loans Held for Investment and IRLCs</w:t>
      </w:r>
    </w:p>
    <w:p>
      <w:pPr>
        <w:spacing w:after="0" w:line="12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our lending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variable-rate loan commitments. This interest rate exposure had historically been economically hedged with freestanding derivatives, including forward sales of agency TBAs and forward mortgage-backed securities (Forward MBS). Beginning in September 2019, this exposure is not individually hedged, but rather used as an offset to our MSR exposure and managed as part of our MSR hedging strategy described above.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and HMBS-related Borrowings</w:t>
      </w:r>
    </w:p>
    <w:p>
      <w:pPr>
        <w:spacing w:after="0" w:line="135" w:lineRule="exact"/>
        <w:rPr>
          <w:sz w:val="20"/>
          <w:szCs w:val="20"/>
          <w:color w:val="auto"/>
        </w:rPr>
      </w:pPr>
    </w:p>
    <w:p>
      <w:pPr>
        <w:ind w:right="260" w:firstLine="324"/>
        <w:spacing w:after="0" w:line="271" w:lineRule="auto"/>
        <w:rPr>
          <w:sz w:val="20"/>
          <w:szCs w:val="20"/>
          <w:color w:val="auto"/>
        </w:rPr>
      </w:pPr>
      <w:r>
        <w:rPr>
          <w:rFonts w:ascii="Arial" w:cs="Arial" w:eastAsia="Arial" w:hAnsi="Arial"/>
          <w:sz w:val="18"/>
          <w:szCs w:val="18"/>
          <w:color w:val="auto"/>
        </w:rPr>
        <w:t>We elected fair value accounting for the entire reverse mortgage HECM loan portfolio, which is held for investment, together with the HMBS-related borrowings. The fair value of our HECM loan portfolio decreases as market rates rise and increases as market rates fall. As our HECM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asset value for securitized HECM loans, net of the corresponding HMBS-related borrowings for securitized loans is comprised of net servicing income on the existing securitized HECM portfolio which we have not previously hedged, but which acts as a partial hedge for our forward MSR value sensitivity. Due to this characteristic, beginning in September 2019, this exposure is used as an offset to our MSR exposure and managed as part of our MSR hedging strategy described above.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5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76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319,549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319,549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266,235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266,235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value(1)</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67,934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66,097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66,097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6,049,242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6,049,242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5,472,199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U.S. Treasury notes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service accounts and time deposits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27,964</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rate-sensitive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6,661,788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6,661,788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6,010,084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6,010,084</w:t>
            </w:r>
          </w:p>
        </w:tc>
      </w:tr>
      <w:tr>
        <w:trPr>
          <w:trHeight w:val="217"/>
        </w:trPr>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Match funded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776,485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HMBS-related borrowings, at fair value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5,903,965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5,903,965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5,380,448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5,380,448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SSTL and other secured borrowings (2)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383,162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Senior notes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310,788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258,114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448,727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426,147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rate-sensitive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7,611,179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7,558,782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6,989,997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6,966,242</w:t>
            </w:r>
          </w:p>
        </w:tc>
      </w:tr>
      <w:tr>
        <w:trPr>
          <w:trHeight w:val="122"/>
        </w:trPr>
        <w:tc>
          <w:tcPr>
            <w:tcW w:w="47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4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10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692" w:right="239" w:bottom="1106"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September 30, 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Notional</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Balance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caps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IRLCs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173,616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trades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TBA / Forward MBS trades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Derivatives, net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Carrying values are net of unamortized debt issuance costs and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September 30, 2019, given hypothetical instantaneous parallel shifts in the yield curve. We used September 30, 2019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HECM loans held for investment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TBA / Forward MBS trades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(1)</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MSRs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240" w:hanging="492"/>
        <w:spacing w:after="0" w:line="286" w:lineRule="auto"/>
        <w:tabs>
          <w:tab w:leader="none" w:pos="5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Primarily reflects the impact of market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interest expense. Approximately 48% of the above change in fair value would be offset by interest expense on the NRZ financing liabilities.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50" w:right="239"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40" w:firstLine="324"/>
        <w:spacing w:after="0" w:line="308" w:lineRule="auto"/>
        <w:rPr>
          <w:sz w:val="20"/>
          <w:szCs w:val="20"/>
          <w:color w:val="auto"/>
        </w:rPr>
      </w:pPr>
      <w:r>
        <w:rPr>
          <w:rFonts w:ascii="Arial" w:cs="Arial" w:eastAsia="Arial" w:hAnsi="Arial"/>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3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Based on September 30, 2019 balances, if interest rates were to increase by 1% on our variable-rate debt and interest earning cash and float balances, we estimate a net positive impact of approximately $12.0 million resulting from an increase of $23.9 million in annual interest income and an increase of $11.9 million in annual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Prices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2019.</w:t>
      </w:r>
    </w:p>
    <w:p>
      <w:pPr>
        <w:spacing w:after="0" w:line="7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Based on such evaluation, management concluded that our disclosure controls and procedures as of September 30, 2019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w:t>
      </w:r>
    </w:p>
    <w:p>
      <w:pPr>
        <w:spacing w:after="0" w:line="2" w:lineRule="exact"/>
        <w:rPr>
          <w:sz w:val="20"/>
          <w:szCs w:val="20"/>
          <w:color w:val="auto"/>
        </w:rPr>
      </w:pPr>
    </w:p>
    <w:p>
      <w:pPr>
        <w:ind w:right="320" w:firstLine="8"/>
        <w:spacing w:after="0" w:line="261"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officer or principal financial officer, as appropriate, to allow timely decisions regarding required disclosure.</w:t>
      </w:r>
    </w:p>
    <w:p>
      <w:pPr>
        <w:spacing w:after="0" w:line="7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September 30, 2019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692" w:right="23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See Note 19 – Regulatory Requirements and Note 21 – Contingencies to the Unaudited Consolidated Financial Statements. That information is incorporated into this item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An investment in our common stock involves significant risk. We describe the most significant risks that management believes affect or could affect us under Part I of our Annual Report on Form 10-K for the year ended December 31, 2018.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above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93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160" w:type="dxa"/>
            <w:vAlign w:val="bottom"/>
          </w:tcPr>
          <w:p>
            <w:pPr>
              <w:ind w:left="240"/>
              <w:spacing w:after="0"/>
              <w:rPr>
                <w:rFonts w:ascii="Arial" w:cs="Arial" w:eastAsia="Arial" w:hAnsi="Arial"/>
                <w:sz w:val="18"/>
                <w:szCs w:val="18"/>
                <w:color w:val="auto"/>
              </w:rPr>
            </w:pPr>
            <w:hyperlink r:id="rId45">
              <w:r>
                <w:rPr>
                  <w:rFonts w:ascii="Arial" w:cs="Arial" w:eastAsia="Arial" w:hAnsi="Arial"/>
                  <w:sz w:val="18"/>
                  <w:szCs w:val="18"/>
                  <w:color w:val="auto"/>
                </w:rPr>
                <w:t>3.1</w:t>
              </w:r>
            </w:hyperlink>
          </w:p>
        </w:tc>
        <w:tc>
          <w:tcPr>
            <w:tcW w:w="9340" w:type="dxa"/>
            <w:vAlign w:val="bottom"/>
          </w:tcPr>
          <w:p>
            <w:pPr>
              <w:ind w:left="60"/>
              <w:spacing w:after="0"/>
              <w:rPr>
                <w:rFonts w:ascii="Arial" w:cs="Arial" w:eastAsia="Arial" w:hAnsi="Arial"/>
                <w:sz w:val="18"/>
                <w:szCs w:val="18"/>
                <w:color w:val="auto"/>
              </w:rPr>
            </w:pPr>
            <w:hyperlink r:id="rId45">
              <w:r>
                <w:rPr>
                  <w:rFonts w:ascii="Arial" w:cs="Arial" w:eastAsia="Arial" w:hAnsi="Arial"/>
                  <w:sz w:val="18"/>
                  <w:szCs w:val="18"/>
                  <w:color w:val="auto"/>
                </w:rPr>
                <w:t>Amended and Restated Articles of Incorporation, as amended (1)</w:t>
              </w:r>
            </w:hyperlink>
          </w:p>
        </w:tc>
      </w:tr>
      <w:tr>
        <w:trPr>
          <w:trHeight w:val="270"/>
        </w:trPr>
        <w:tc>
          <w:tcPr>
            <w:tcW w:w="760" w:type="dxa"/>
            <w:vAlign w:val="bottom"/>
          </w:tcPr>
          <w:p>
            <w:pPr>
              <w:spacing w:after="0"/>
              <w:rPr>
                <w:sz w:val="23"/>
                <w:szCs w:val="23"/>
                <w:color w:val="auto"/>
              </w:rPr>
            </w:pPr>
          </w:p>
        </w:tc>
        <w:tc>
          <w:tcPr>
            <w:tcW w:w="1160" w:type="dxa"/>
            <w:vAlign w:val="bottom"/>
          </w:tcPr>
          <w:p>
            <w:pPr>
              <w:ind w:left="240"/>
              <w:spacing w:after="0"/>
              <w:rPr>
                <w:rFonts w:ascii="Arial" w:cs="Arial" w:eastAsia="Arial" w:hAnsi="Arial"/>
                <w:sz w:val="18"/>
                <w:szCs w:val="18"/>
                <w:color w:val="auto"/>
              </w:rPr>
            </w:pPr>
            <w:hyperlink r:id="rId46">
              <w:r>
                <w:rPr>
                  <w:rFonts w:ascii="Arial" w:cs="Arial" w:eastAsia="Arial" w:hAnsi="Arial"/>
                  <w:sz w:val="18"/>
                  <w:szCs w:val="18"/>
                  <w:color w:val="auto"/>
                </w:rPr>
                <w:t>3.2</w:t>
              </w:r>
            </w:hyperlink>
          </w:p>
        </w:tc>
        <w:tc>
          <w:tcPr>
            <w:tcW w:w="9340" w:type="dxa"/>
            <w:vAlign w:val="bottom"/>
          </w:tcPr>
          <w:p>
            <w:pPr>
              <w:ind w:left="60"/>
              <w:spacing w:after="0"/>
              <w:rPr>
                <w:rFonts w:ascii="Arial" w:cs="Arial" w:eastAsia="Arial" w:hAnsi="Arial"/>
                <w:sz w:val="18"/>
                <w:szCs w:val="18"/>
                <w:color w:val="auto"/>
              </w:rPr>
            </w:pPr>
            <w:hyperlink r:id="rId46">
              <w:r>
                <w:rPr>
                  <w:rFonts w:ascii="Arial" w:cs="Arial" w:eastAsia="Arial" w:hAnsi="Arial"/>
                  <w:sz w:val="18"/>
                  <w:szCs w:val="18"/>
                  <w:color w:val="auto"/>
                </w:rPr>
                <w:t>Amended and Restated Bylaws of Ocwen Financial Corporation (2)</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4.1</w:t>
            </w:r>
          </w:p>
        </w:tc>
        <w:tc>
          <w:tcPr>
            <w:tcW w:w="9340" w:type="dxa"/>
            <w:vAlign w:val="bottom"/>
          </w:tcPr>
          <w:p>
            <w:pPr>
              <w:ind w:left="60"/>
              <w:spacing w:after="0"/>
              <w:rPr>
                <w:sz w:val="20"/>
                <w:szCs w:val="20"/>
                <w:color w:val="auto"/>
              </w:rPr>
            </w:pPr>
            <w:r>
              <w:rPr>
                <w:rFonts w:ascii="Arial" w:cs="Arial" w:eastAsia="Arial" w:hAnsi="Arial"/>
                <w:sz w:val="18"/>
                <w:szCs w:val="18"/>
                <w:color w:val="auto"/>
                <w:w w:val="89"/>
              </w:rPr>
              <w:t>The Company agrees to furnish to the Securities and Exchange Commission upon request a copy of each instrument with respect</w:t>
            </w:r>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w w:val="90"/>
              </w:rPr>
              <w:t>to the issuance of long-term debt of the Company and its subsidiaries, the authorized principal amount of which does not exceed</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10% of the consolidated assets of the Company and its subsidiaries.</w:t>
            </w:r>
          </w:p>
        </w:tc>
      </w:tr>
      <w:tr>
        <w:trPr>
          <w:trHeight w:val="270"/>
        </w:trPr>
        <w:tc>
          <w:tcPr>
            <w:tcW w:w="760" w:type="dxa"/>
            <w:vAlign w:val="bottom"/>
          </w:tcPr>
          <w:p>
            <w:pPr>
              <w:spacing w:after="0"/>
              <w:rPr>
                <w:sz w:val="23"/>
                <w:szCs w:val="23"/>
                <w:color w:val="auto"/>
              </w:rPr>
            </w:pPr>
          </w:p>
        </w:tc>
        <w:tc>
          <w:tcPr>
            <w:tcW w:w="1160" w:type="dxa"/>
            <w:vAlign w:val="bottom"/>
          </w:tcPr>
          <w:p>
            <w:pPr>
              <w:ind w:left="240"/>
              <w:spacing w:after="0"/>
              <w:rPr>
                <w:rFonts w:ascii="Arial" w:cs="Arial" w:eastAsia="Arial" w:hAnsi="Arial"/>
                <w:sz w:val="18"/>
                <w:szCs w:val="18"/>
                <w:color w:val="auto"/>
              </w:rPr>
            </w:pPr>
            <w:hyperlink w:anchor="page112">
              <w:r>
                <w:rPr>
                  <w:rFonts w:ascii="Arial" w:cs="Arial" w:eastAsia="Arial" w:hAnsi="Arial"/>
                  <w:sz w:val="18"/>
                  <w:szCs w:val="18"/>
                  <w:color w:val="auto"/>
                </w:rPr>
                <w:t>31.1</w:t>
              </w:r>
            </w:hyperlink>
          </w:p>
        </w:tc>
        <w:tc>
          <w:tcPr>
            <w:tcW w:w="9340" w:type="dxa"/>
            <w:vAlign w:val="bottom"/>
          </w:tcPr>
          <w:p>
            <w:pPr>
              <w:ind w:left="60"/>
              <w:spacing w:after="0"/>
              <w:rPr>
                <w:rFonts w:ascii="Arial" w:cs="Arial" w:eastAsia="Arial" w:hAnsi="Arial"/>
                <w:sz w:val="18"/>
                <w:szCs w:val="18"/>
                <w:color w:val="auto"/>
                <w:w w:val="97"/>
              </w:rPr>
            </w:pPr>
            <w:hyperlink w:anchor="page112">
              <w:r>
                <w:rPr>
                  <w:rFonts w:ascii="Arial" w:cs="Arial" w:eastAsia="Arial" w:hAnsi="Arial"/>
                  <w:sz w:val="18"/>
                  <w:szCs w:val="18"/>
                  <w:color w:val="auto"/>
                  <w:w w:val="97"/>
                </w:rPr>
                <w:t>Certification of the principal executive officer pursuant to Section 302 of the Sarbanes-Oxley Act of 2002 (filed herewith)</w:t>
              </w:r>
            </w:hyperlink>
          </w:p>
        </w:tc>
      </w:tr>
      <w:tr>
        <w:trPr>
          <w:trHeight w:val="270"/>
        </w:trPr>
        <w:tc>
          <w:tcPr>
            <w:tcW w:w="760" w:type="dxa"/>
            <w:vAlign w:val="bottom"/>
          </w:tcPr>
          <w:p>
            <w:pPr>
              <w:spacing w:after="0"/>
              <w:rPr>
                <w:sz w:val="23"/>
                <w:szCs w:val="23"/>
                <w:color w:val="auto"/>
              </w:rPr>
            </w:pPr>
          </w:p>
        </w:tc>
        <w:tc>
          <w:tcPr>
            <w:tcW w:w="1160" w:type="dxa"/>
            <w:vAlign w:val="bottom"/>
          </w:tcPr>
          <w:p>
            <w:pPr>
              <w:ind w:left="240"/>
              <w:spacing w:after="0"/>
              <w:rPr>
                <w:rFonts w:ascii="Arial" w:cs="Arial" w:eastAsia="Arial" w:hAnsi="Arial"/>
                <w:sz w:val="18"/>
                <w:szCs w:val="18"/>
                <w:color w:val="auto"/>
              </w:rPr>
            </w:pPr>
            <w:hyperlink w:anchor="page113">
              <w:r>
                <w:rPr>
                  <w:rFonts w:ascii="Arial" w:cs="Arial" w:eastAsia="Arial" w:hAnsi="Arial"/>
                  <w:sz w:val="18"/>
                  <w:szCs w:val="18"/>
                  <w:color w:val="auto"/>
                </w:rPr>
                <w:t>31.2</w:t>
              </w:r>
            </w:hyperlink>
          </w:p>
        </w:tc>
        <w:tc>
          <w:tcPr>
            <w:tcW w:w="9340" w:type="dxa"/>
            <w:vAlign w:val="bottom"/>
          </w:tcPr>
          <w:p>
            <w:pPr>
              <w:ind w:left="60"/>
              <w:spacing w:after="0"/>
              <w:rPr>
                <w:rFonts w:ascii="Arial" w:cs="Arial" w:eastAsia="Arial" w:hAnsi="Arial"/>
                <w:sz w:val="18"/>
                <w:szCs w:val="18"/>
                <w:color w:val="auto"/>
                <w:w w:val="98"/>
              </w:rPr>
            </w:pPr>
            <w:hyperlink w:anchor="page113">
              <w:r>
                <w:rPr>
                  <w:rFonts w:ascii="Arial" w:cs="Arial" w:eastAsia="Arial" w:hAnsi="Arial"/>
                  <w:sz w:val="18"/>
                  <w:szCs w:val="18"/>
                  <w:color w:val="auto"/>
                  <w:w w:val="98"/>
                </w:rPr>
                <w:t>Certification of the principal financial officer pursuant to Section 302 of the Sarbanes-Oxley Act of 2002 (filed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w:anchor="page114">
              <w:r>
                <w:rPr>
                  <w:rFonts w:ascii="Arial" w:cs="Arial" w:eastAsia="Arial" w:hAnsi="Arial"/>
                  <w:sz w:val="18"/>
                  <w:szCs w:val="18"/>
                  <w:color w:val="auto"/>
                </w:rPr>
                <w:t>32.1</w:t>
              </w:r>
            </w:hyperlink>
          </w:p>
        </w:tc>
        <w:tc>
          <w:tcPr>
            <w:tcW w:w="9340" w:type="dxa"/>
            <w:vAlign w:val="bottom"/>
          </w:tcPr>
          <w:p>
            <w:pPr>
              <w:ind w:left="60"/>
              <w:spacing w:after="0"/>
              <w:rPr>
                <w:rFonts w:ascii="Arial" w:cs="Arial" w:eastAsia="Arial" w:hAnsi="Arial"/>
                <w:sz w:val="18"/>
                <w:szCs w:val="18"/>
                <w:color w:val="auto"/>
                <w:w w:val="94"/>
              </w:rPr>
            </w:pPr>
            <w:hyperlink w:anchor="page114">
              <w:r>
                <w:rPr>
                  <w:rFonts w:ascii="Arial" w:cs="Arial" w:eastAsia="Arial" w:hAnsi="Arial"/>
                  <w:sz w:val="18"/>
                  <w:szCs w:val="18"/>
                  <w:color w:val="auto"/>
                  <w:w w:val="94"/>
                </w:rPr>
                <w:t>Certification of the principal executive officer pursuant to 18 U.S.C. Section 1350, as adopted pursuant to Section 906 of the</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40" w:type="dxa"/>
            <w:vAlign w:val="bottom"/>
          </w:tcPr>
          <w:p>
            <w:pPr>
              <w:ind w:left="60"/>
              <w:spacing w:after="0"/>
              <w:rPr>
                <w:rFonts w:ascii="Arial" w:cs="Arial" w:eastAsia="Arial" w:hAnsi="Arial"/>
                <w:sz w:val="18"/>
                <w:szCs w:val="18"/>
                <w:color w:val="auto"/>
              </w:rPr>
            </w:pPr>
            <w:hyperlink w:anchor="page114">
              <w:r>
                <w:rPr>
                  <w:rFonts w:ascii="Arial" w:cs="Arial" w:eastAsia="Arial" w:hAnsi="Arial"/>
                  <w:sz w:val="18"/>
                  <w:szCs w:val="18"/>
                  <w:color w:val="auto"/>
                </w:rPr>
                <w:t>Sarbanes-Oxley Act of 2002 (furnished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w:anchor="page115">
              <w:r>
                <w:rPr>
                  <w:rFonts w:ascii="Arial" w:cs="Arial" w:eastAsia="Arial" w:hAnsi="Arial"/>
                  <w:sz w:val="18"/>
                  <w:szCs w:val="18"/>
                  <w:color w:val="auto"/>
                </w:rPr>
                <w:t>32.2</w:t>
              </w:r>
            </w:hyperlink>
          </w:p>
        </w:tc>
        <w:tc>
          <w:tcPr>
            <w:tcW w:w="9340" w:type="dxa"/>
            <w:vAlign w:val="bottom"/>
          </w:tcPr>
          <w:p>
            <w:pPr>
              <w:ind w:left="60"/>
              <w:spacing w:after="0"/>
              <w:rPr>
                <w:rFonts w:ascii="Arial" w:cs="Arial" w:eastAsia="Arial" w:hAnsi="Arial"/>
                <w:sz w:val="18"/>
                <w:szCs w:val="18"/>
                <w:color w:val="auto"/>
                <w:w w:val="95"/>
              </w:rPr>
            </w:pPr>
            <w:hyperlink w:anchor="page115">
              <w:r>
                <w:rPr>
                  <w:rFonts w:ascii="Arial" w:cs="Arial" w:eastAsia="Arial" w:hAnsi="Arial"/>
                  <w:sz w:val="18"/>
                  <w:szCs w:val="18"/>
                  <w:color w:val="auto"/>
                  <w:w w:val="95"/>
                </w:rPr>
                <w:t>Certification of the principal financial officer pursuant to 18 U.S.C. Section 1350, as adopted pursuant to Section 906 of the</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40" w:type="dxa"/>
            <w:vAlign w:val="bottom"/>
          </w:tcPr>
          <w:p>
            <w:pPr>
              <w:ind w:left="60"/>
              <w:spacing w:after="0"/>
              <w:rPr>
                <w:rFonts w:ascii="Arial" w:cs="Arial" w:eastAsia="Arial" w:hAnsi="Arial"/>
                <w:sz w:val="18"/>
                <w:szCs w:val="18"/>
                <w:color w:val="auto"/>
              </w:rPr>
            </w:pPr>
            <w:hyperlink w:anchor="page115">
              <w:r>
                <w:rPr>
                  <w:rFonts w:ascii="Arial" w:cs="Arial" w:eastAsia="Arial" w:hAnsi="Arial"/>
                  <w:sz w:val="18"/>
                  <w:szCs w:val="18"/>
                  <w:color w:val="auto"/>
                </w:rPr>
                <w:t>Sarbanes-Oxley Act of 2002 (furnished herewith)</w:t>
              </w:r>
            </w:hyperlink>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101.INS</w:t>
            </w:r>
          </w:p>
        </w:tc>
        <w:tc>
          <w:tcPr>
            <w:tcW w:w="9340" w:type="dxa"/>
            <w:vAlign w:val="bottom"/>
          </w:tcPr>
          <w:p>
            <w:pPr>
              <w:ind w:left="6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101.SCH</w:t>
            </w:r>
          </w:p>
        </w:tc>
        <w:tc>
          <w:tcPr>
            <w:tcW w:w="9340" w:type="dxa"/>
            <w:vAlign w:val="bottom"/>
          </w:tcPr>
          <w:p>
            <w:pPr>
              <w:ind w:left="6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101.CAL</w:t>
            </w:r>
          </w:p>
        </w:tc>
        <w:tc>
          <w:tcPr>
            <w:tcW w:w="934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101.DEF</w:t>
            </w:r>
          </w:p>
        </w:tc>
        <w:tc>
          <w:tcPr>
            <w:tcW w:w="934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101.LAB</w:t>
            </w:r>
          </w:p>
        </w:tc>
        <w:tc>
          <w:tcPr>
            <w:tcW w:w="934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101.PRE</w:t>
            </w:r>
          </w:p>
        </w:tc>
        <w:tc>
          <w:tcPr>
            <w:tcW w:w="934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6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to the Registrant’s Form 10-Q for the quarter ended June 30, 2017 filed on August 3, 2017.</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796" w:right="299" w:bottom="1440"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240" w:top="688" w:right="3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A. Messina, President and Chief Executive Officer</w:t>
      </w:r>
    </w:p>
    <w:p>
      <w:pPr>
        <w:sectPr>
          <w:pgSz w:w="11900" w:h="16838" w:orient="portrait"/>
          <w:cols w:equalWidth="0" w:num="1">
            <w:col w:w="11420"/>
          </w:cols>
          <w:pgMar w:left="240" w:top="86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6"/>
          <w:szCs w:val="16"/>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June C. Campbell, Executive Vice President and Chief Financial</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86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2019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November 5, 2019</w:t>
            </w:r>
          </w:p>
        </w:tc>
      </w:tr>
    </w:tbl>
    <w:p>
      <w:pPr>
        <w:sectPr>
          <w:pgSz w:w="11900" w:h="16838" w:orient="portrait"/>
          <w:cols w:equalWidth="0" w:num="1">
            <w:col w:w="11420"/>
          </w:cols>
          <w:pgMar w:left="240" w:top="86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state and attest that:</w:t>
      </w:r>
    </w:p>
    <w:p>
      <w:pPr>
        <w:spacing w:after="0" w:line="225" w:lineRule="exact"/>
        <w:rPr>
          <w:sz w:val="20"/>
          <w:szCs w:val="20"/>
          <w:color w:val="auto"/>
        </w:rPr>
      </w:pPr>
    </w:p>
    <w:p>
      <w:pPr>
        <w:ind w:left="500" w:hanging="411"/>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2019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880" w:type="dxa"/>
            <w:vAlign w:val="bottom"/>
          </w:tcPr>
          <w:p>
            <w:pPr>
              <w:ind w:left="40"/>
              <w:spacing w:after="0"/>
              <w:rPr>
                <w:sz w:val="20"/>
                <w:szCs w:val="20"/>
                <w:color w:val="auto"/>
              </w:rPr>
            </w:pPr>
            <w:r>
              <w:rPr>
                <w:rFonts w:ascii="Arial" w:cs="Arial" w:eastAsia="Arial" w:hAnsi="Arial"/>
                <w:sz w:val="18"/>
                <w:szCs w:val="18"/>
                <w:color w:val="auto"/>
              </w:rPr>
              <w:t>/s/ June C. Campbell</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40"/>
              <w:spacing w:after="0"/>
              <w:rPr>
                <w:sz w:val="20"/>
                <w:szCs w:val="20"/>
                <w:color w:val="auto"/>
              </w:rPr>
            </w:pPr>
            <w:r>
              <w:rPr>
                <w:rFonts w:ascii="Arial" w:cs="Arial" w:eastAsia="Arial" w:hAnsi="Arial"/>
                <w:sz w:val="18"/>
                <w:szCs w:val="18"/>
                <w:color w:val="auto"/>
              </w:rPr>
              <w:t>November 5, 2019</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7"/>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4"/>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Roman"/>
      <w:start w:val="2"/>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
      <w:numFmt w:val="bullet"/>
      <w:start w:val="1"/>
    </w:lvl>
  </w:abstractNum>
  <w:abstractNum w:abstractNumId="60">
    <w:nsid w:val="10233C9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5" Type="http://schemas.openxmlformats.org/officeDocument/2006/relationships/hyperlink" Target="http://www.sec.gov/Archives/edgar/data/873860/000162828017008009/a20170630ex31.htm" TargetMode="External"/><Relationship Id="rId46"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2019-12-28T02:41:57Z</dcterms:created>
  <dcterms:modified xsi:type="dcterms:W3CDTF">2019-12-28T02:41:57Z</dcterms:modified>
</cp:coreProperties>
</file>