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5"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221"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8" w:lineRule="exact"/>
        <w:rPr>
          <w:sz w:val="24"/>
          <w:szCs w:val="24"/>
          <w:color w:val="auto"/>
        </w:rPr>
      </w:pPr>
    </w:p>
    <w:p>
      <w:pPr>
        <w:ind w:left="540" w:hanging="532"/>
        <w:spacing w:after="0"/>
        <w:tabs>
          <w:tab w:leader="none" w:pos="54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22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For the transition period from: _____________________to 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1-13219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89"/>
              </w:rPr>
              <w:t>65-0039856</w:t>
            </w:r>
          </w:p>
        </w:tc>
      </w:tr>
      <w:tr>
        <w:trPr>
          <w:trHeight w:val="202"/>
        </w:trPr>
        <w:tc>
          <w:tcPr>
            <w:tcW w:w="5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1120" w:type="dxa"/>
            <w:vAlign w:val="bottom"/>
          </w:tcPr>
          <w:p>
            <w:pPr>
              <w:spacing w:after="0"/>
              <w:rPr>
                <w:sz w:val="17"/>
                <w:szCs w:val="17"/>
                <w:color w:val="auto"/>
              </w:rPr>
            </w:pPr>
          </w:p>
        </w:tc>
        <w:tc>
          <w:tcPr>
            <w:tcW w:w="5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16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1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1661 Worthington Road, Suite 100, West Palm Beach, Florida 33409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 682-8000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40"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00"/>
        <w:spacing w:after="0"/>
        <w:tabs>
          <w:tab w:leader="none" w:pos="10980" w:val="left"/>
        </w:tabs>
        <w:rPr>
          <w:sz w:val="20"/>
          <w:szCs w:val="20"/>
          <w:color w:val="auto"/>
        </w:rPr>
      </w:pPr>
      <w:r>
        <w:rPr>
          <w:rFonts w:ascii="Arial" w:cs="Arial" w:eastAsia="Arial" w:hAnsi="Arial"/>
          <w:sz w:val="22"/>
          <w:szCs w:val="22"/>
          <w:color w:val="auto"/>
        </w:rPr>
        <w:t>Yes x</w:t>
      </w:r>
      <w:r>
        <w:rPr>
          <w:sz w:val="20"/>
          <w:szCs w:val="20"/>
          <w:color w:val="auto"/>
        </w:rPr>
        <w:tab/>
      </w:r>
      <w:r>
        <w:rPr>
          <w:rFonts w:ascii="Arial" w:cs="Arial" w:eastAsia="Arial" w:hAnsi="Arial"/>
          <w:sz w:val="19"/>
          <w:szCs w:val="19"/>
          <w:color w:val="auto"/>
        </w:rPr>
        <w:t>No o</w:t>
      </w:r>
    </w:p>
    <w:p>
      <w:pPr>
        <w:spacing w:after="0" w:line="222" w:lineRule="exact"/>
        <w:rPr>
          <w:sz w:val="24"/>
          <w:szCs w:val="24"/>
          <w:color w:val="auto"/>
        </w:rPr>
      </w:pPr>
    </w:p>
    <w:p>
      <w:pPr>
        <w:ind w:right="40" w:firstLine="324"/>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10480"/>
        <w:spacing w:after="0"/>
        <w:tabs>
          <w:tab w:leader="none" w:pos="110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o</w:t>
      </w:r>
    </w:p>
    <w:p>
      <w:pPr>
        <w:spacing w:after="0" w:line="238"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17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760"/>
        <w:spacing w:after="0"/>
        <w:rPr>
          <w:sz w:val="20"/>
          <w:szCs w:val="20"/>
          <w:color w:val="auto"/>
        </w:rPr>
      </w:pPr>
      <w:r>
        <w:rPr>
          <w:rFonts w:ascii="Arial" w:cs="Arial" w:eastAsia="Arial" w:hAnsi="Arial"/>
          <w:sz w:val="16"/>
          <w:szCs w:val="16"/>
          <w:color w:val="auto"/>
        </w:rPr>
        <w:t>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83" w:lineRule="exact"/>
        <w:rPr>
          <w:sz w:val="24"/>
          <w:szCs w:val="24"/>
          <w:color w:val="auto"/>
        </w:rPr>
      </w:pPr>
    </w:p>
    <w:p>
      <w:pPr>
        <w:sectPr>
          <w:pgSz w:w="11900" w:h="16838" w:orient="portrait"/>
          <w:cols w:equalWidth="0" w:num="4">
            <w:col w:w="1620" w:space="560"/>
            <w:col w:w="6220" w:space="720"/>
            <w:col w:w="1960" w:space="260"/>
            <w:col w:w="80"/>
          </w:cols>
          <w:pgMar w:left="240" w:top="225" w:right="2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 w:lineRule="exact"/>
        <w:rPr>
          <w:sz w:val="24"/>
          <w:szCs w:val="24"/>
          <w:color w:val="auto"/>
        </w:rPr>
      </w:pPr>
    </w:p>
    <w:p>
      <w:pPr>
        <w:jc w:val="right"/>
        <w:spacing w:after="0"/>
        <w:tabs>
          <w:tab w:leader="none" w:pos="3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Number of shares of Common Stock, $0.01 par value, outstanding as of October 31, 2010: 100,496,378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40" w:type="dxa"/>
            <w:vAlign w:val="bottom"/>
            <w:gridSpan w:val="2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10340" w:type="dxa"/>
            <w:vAlign w:val="bottom"/>
            <w:gridSpan w:val="22"/>
            <w:vMerge w:val="continue"/>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20" w:type="dxa"/>
            <w:vAlign w:val="bottom"/>
            <w:gridSpan w:val="4"/>
          </w:tcPr>
          <w:p>
            <w:pPr>
              <w:spacing w:after="0"/>
              <w:rPr>
                <w:sz w:val="24"/>
                <w:szCs w:val="24"/>
                <w:color w:val="auto"/>
              </w:rPr>
            </w:pPr>
          </w:p>
        </w:tc>
        <w:tc>
          <w:tcPr>
            <w:tcW w:w="93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at September 30, 2010 and December 31, 2009</w:t>
              </w:r>
            </w:hyperlink>
          </w:p>
        </w:tc>
        <w:tc>
          <w:tcPr>
            <w:tcW w:w="3780" w:type="dxa"/>
            <w:vAlign w:val="bottom"/>
            <w:gridSpan w:val="6"/>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and Nine Months Ended September 30, 2010 and 2009</w:t>
              </w:r>
            </w:hyperlink>
          </w:p>
        </w:tc>
        <w:tc>
          <w:tcPr>
            <w:tcW w:w="1500" w:type="dxa"/>
            <w:vAlign w:val="bottom"/>
            <w:gridSpan w:val="2"/>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7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for the Three and Nine Months Ended September 30, 2010 and 2009</w:t>
              </w:r>
            </w:hyperlink>
          </w:p>
        </w:tc>
        <w:tc>
          <w:tcPr>
            <w:tcW w:w="58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 of Changes in Equity for the Nine Months Ended September 30, 2010 and 2009</w:t>
              </w:r>
            </w:hyperlink>
          </w:p>
        </w:tc>
        <w:tc>
          <w:tcPr>
            <w:tcW w:w="1800" w:type="dxa"/>
            <w:vAlign w:val="bottom"/>
            <w:gridSpan w:val="3"/>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 for the Nine Months Ended September 30, 2010 and 2009</w:t>
              </w:r>
            </w:hyperlink>
          </w:p>
        </w:tc>
        <w:tc>
          <w:tcPr>
            <w:tcW w:w="2220" w:type="dxa"/>
            <w:vAlign w:val="bottom"/>
            <w:gridSpan w:val="4"/>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Notes to Interim Consolidated Financial Statements</w:t>
              </w:r>
            </w:hyperlink>
          </w:p>
        </w:tc>
        <w:tc>
          <w:tcPr>
            <w:tcW w:w="5580" w:type="dxa"/>
            <w:vAlign w:val="bottom"/>
            <w:gridSpan w:val="9"/>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2.</w:t>
              </w:r>
            </w:hyperlink>
          </w:p>
        </w:tc>
        <w:tc>
          <w:tcPr>
            <w:tcW w:w="500" w:type="dxa"/>
            <w:vAlign w:val="bottom"/>
            <w:gridSpan w:val="3"/>
          </w:tcPr>
          <w:p>
            <w:pPr>
              <w:spacing w:after="0"/>
              <w:rPr>
                <w:sz w:val="24"/>
                <w:szCs w:val="24"/>
                <w:color w:val="auto"/>
              </w:rPr>
            </w:pPr>
          </w:p>
        </w:tc>
        <w:tc>
          <w:tcPr>
            <w:tcW w:w="930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Item 3.</w:t>
              </w:r>
            </w:hyperlink>
          </w:p>
        </w:tc>
        <w:tc>
          <w:tcPr>
            <w:tcW w:w="500" w:type="dxa"/>
            <w:vAlign w:val="bottom"/>
            <w:gridSpan w:val="3"/>
          </w:tcPr>
          <w:p>
            <w:pPr>
              <w:spacing w:after="0"/>
              <w:rPr>
                <w:sz w:val="24"/>
                <w:szCs w:val="24"/>
                <w:color w:val="auto"/>
              </w:rPr>
            </w:pPr>
          </w:p>
        </w:tc>
        <w:tc>
          <w:tcPr>
            <w:tcW w:w="9300" w:type="dxa"/>
            <w:vAlign w:val="bottom"/>
            <w:gridSpan w:val="1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500" w:type="dxa"/>
            <w:vAlign w:val="bottom"/>
            <w:gridSpan w:val="3"/>
          </w:tcPr>
          <w:p>
            <w:pPr>
              <w:spacing w:after="0"/>
              <w:rPr>
                <w:sz w:val="24"/>
                <w:szCs w:val="24"/>
                <w:color w:val="auto"/>
              </w:rPr>
            </w:pPr>
          </w:p>
        </w:tc>
        <w:tc>
          <w:tcPr>
            <w:tcW w:w="9300" w:type="dxa"/>
            <w:vAlign w:val="bottom"/>
            <w:gridSpan w:val="1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22"/>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 – OTHER INFORMATION</w:t>
              </w:r>
            </w:hyperlink>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Item 1.</w:t>
              </w:r>
            </w:hyperlink>
          </w:p>
        </w:tc>
        <w:tc>
          <w:tcPr>
            <w:tcW w:w="500" w:type="dxa"/>
            <w:vAlign w:val="bottom"/>
            <w:tcBorders>
              <w:top w:val="single" w:sz="8" w:color="0000EE"/>
            </w:tcBorders>
            <w:gridSpan w:val="3"/>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7480" w:type="dxa"/>
            <w:vAlign w:val="bottom"/>
            <w:gridSpan w:val="11"/>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1A.</w:t>
              </w:r>
            </w:hyperlink>
          </w:p>
        </w:tc>
        <w:tc>
          <w:tcPr>
            <w:tcW w:w="9300" w:type="dxa"/>
            <w:vAlign w:val="bottom"/>
            <w:gridSpan w:val="1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Risk Factors</w:t>
              </w:r>
            </w:hyperlink>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0" w:type="dxa"/>
            <w:vAlign w:val="bottom"/>
            <w:gridSpan w:val="1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400" w:type="dxa"/>
            <w:vAlign w:val="bottom"/>
            <w:gridSpan w:val="2"/>
          </w:tcPr>
          <w:p>
            <w:pPr>
              <w:spacing w:after="0"/>
              <w:rPr>
                <w:sz w:val="24"/>
                <w:szCs w:val="24"/>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auto"/>
              </w:rPr>
              <w:t>Other Information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0" w:type="dxa"/>
            <w:vAlign w:val="bottom"/>
            <w:gridSpan w:val="2"/>
          </w:tcPr>
          <w:p>
            <w:pPr>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Item 6.</w:t>
              </w:r>
            </w:hyperlink>
          </w:p>
        </w:tc>
        <w:tc>
          <w:tcPr>
            <w:tcW w:w="500" w:type="dxa"/>
            <w:vAlign w:val="bottom"/>
            <w:gridSpan w:val="3"/>
          </w:tcPr>
          <w:p>
            <w:pPr>
              <w:spacing w:after="0"/>
              <w:rPr>
                <w:sz w:val="24"/>
                <w:szCs w:val="24"/>
                <w:color w:val="auto"/>
              </w:rPr>
            </w:pPr>
          </w:p>
        </w:tc>
        <w:tc>
          <w:tcPr>
            <w:tcW w:w="9300" w:type="dxa"/>
            <w:vAlign w:val="bottom"/>
            <w:gridSpan w:val="1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628"/>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gridSpan w:val="11"/>
          </w:tcPr>
          <w:p>
            <w:pPr>
              <w:ind w:left="4620"/>
              <w:spacing w:after="0"/>
              <w:rPr>
                <w:sz w:val="20"/>
                <w:szCs w:val="20"/>
                <w:color w:val="auto"/>
              </w:rPr>
            </w:pPr>
            <w:r>
              <w:rPr>
                <w:rFonts w:ascii="Arial" w:cs="Arial" w:eastAsia="Arial" w:hAnsi="Arial"/>
                <w:sz w:val="18"/>
                <w:szCs w:val="18"/>
                <w:color w:val="auto"/>
              </w:rPr>
              <w:t>1</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including, but not limited to the following:</w:t>
      </w:r>
    </w:p>
    <w:p>
      <w:pPr>
        <w:spacing w:after="0" w:line="197" w:lineRule="exact"/>
        <w:rPr>
          <w:sz w:val="20"/>
          <w:szCs w:val="20"/>
          <w:color w:val="auto"/>
        </w:rPr>
      </w:pPr>
    </w:p>
    <w:p>
      <w:pPr>
        <w:ind w:left="1160" w:hanging="69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related to the sources of liquidity, our ability to fund advances and the adequacy of financial resources;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regarding prepayment speeds, float balances, delinquency rates, advances and other servicing portfolio characteristics;</w:t>
      </w:r>
    </w:p>
    <w:p>
      <w:pPr>
        <w:spacing w:after="0" w:line="236" w:lineRule="exact"/>
        <w:rPr>
          <w:rFonts w:ascii="Arial" w:cs="Arial" w:eastAsia="Arial" w:hAnsi="Arial"/>
          <w:sz w:val="17"/>
          <w:szCs w:val="17"/>
          <w:color w:val="auto"/>
        </w:rPr>
      </w:pPr>
    </w:p>
    <w:p>
      <w:pPr>
        <w:ind w:left="1160" w:hanging="69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continue to sell our non-core assets;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continued ability to successfully and timely modify delinquent loans, foreclose on delinquent loans and sell foreclosed properties;</w:t>
      </w:r>
    </w:p>
    <w:p>
      <w:pPr>
        <w:spacing w:after="0" w:line="236" w:lineRule="exact"/>
        <w:rPr>
          <w:rFonts w:ascii="Arial" w:cs="Arial" w:eastAsia="Arial" w:hAnsi="Arial"/>
          <w:sz w:val="17"/>
          <w:szCs w:val="17"/>
          <w:color w:val="auto"/>
        </w:rPr>
      </w:pPr>
    </w:p>
    <w:p>
      <w:pPr>
        <w:ind w:left="1160" w:hanging="69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reserves, valuations and anticipated realization on assets; and</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effect of resolution of pending legal proceedings on our financial condition.</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include, but are not limited to, the risks discussed in “Risk Factors” below and the following:</w:t>
      </w:r>
    </w:p>
    <w:p>
      <w:pPr>
        <w:spacing w:after="0" w:line="208" w:lineRule="exact"/>
        <w:rPr>
          <w:sz w:val="20"/>
          <w:szCs w:val="20"/>
          <w:color w:val="auto"/>
        </w:rPr>
      </w:pPr>
    </w:p>
    <w:p>
      <w:pPr>
        <w:ind w:left="1160" w:hanging="69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and timely sources of liquidity;</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delinquencies, advances and availability of servicing;</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rFonts w:ascii="Arial" w:cs="Arial" w:eastAsia="Arial" w:hAnsi="Arial"/>
          <w:sz w:val="18"/>
          <w:szCs w:val="18"/>
          <w:color w:val="auto"/>
        </w:rPr>
      </w:pPr>
    </w:p>
    <w:p>
      <w:pPr>
        <w:ind w:left="1160" w:right="80" w:hanging="693"/>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regarding loan putbacks and other servicing practices;</w:t>
      </w:r>
    </w:p>
    <w:p>
      <w:pPr>
        <w:spacing w:after="0" w:line="170" w:lineRule="exact"/>
        <w:rPr>
          <w:rFonts w:ascii="Arial" w:cs="Arial" w:eastAsia="Arial" w:hAnsi="Arial"/>
          <w:sz w:val="18"/>
          <w:szCs w:val="18"/>
          <w:color w:val="auto"/>
        </w:rPr>
      </w:pPr>
    </w:p>
    <w:p>
      <w:pPr>
        <w:ind w:left="1160" w:right="140" w:hanging="693"/>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in the future or claims pertaining to past practices;</w:t>
      </w:r>
    </w:p>
    <w:p>
      <w:pPr>
        <w:spacing w:after="0" w:line="170" w:lineRule="exact"/>
        <w:rPr>
          <w:rFonts w:ascii="Arial" w:cs="Arial" w:eastAsia="Arial" w:hAnsi="Arial"/>
          <w:sz w:val="18"/>
          <w:szCs w:val="18"/>
          <w:color w:val="auto"/>
        </w:rPr>
      </w:pPr>
    </w:p>
    <w:p>
      <w:pPr>
        <w:ind w:left="1160" w:hanging="69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government programs, regulations and policies; and</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dispute resolution and litigation.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are detailed within this report and our other reports and filings with the Securities and Exchange Commission including our Annual report on Form 10-K for the year ended December 31, 2009, our quarterly reports on Form 10-Q and our current reports on Form 8-K. Forward-looking statements speak only as of the date they are made and should not be relied upon. Ocwen Financial Corporation undertakes no obligation to update or revise forward-looking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Cash</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163,911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90,919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Restricted cash – for securitization investors</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Trading securities, at fair value: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Auction rate</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74,712</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Subordinates and residuals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 at lower of cost or fair value</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29,352</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Advances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218,936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advances</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2,126,991</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69,736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203,930</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42,747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67,095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tax assets, net</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133,782</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19,457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Premises and equipment, net</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11,893</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12,284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tcBorders>
            <w:shd w:val="clear" w:color="auto" w:fill="EAF9E8"/>
          </w:tcPr>
          <w:p>
            <w:pPr>
              <w:spacing w:after="0"/>
              <w:rPr>
                <w:sz w:val="19"/>
                <w:szCs w:val="19"/>
                <w:color w:val="auto"/>
              </w:rPr>
            </w:pPr>
          </w:p>
        </w:tc>
        <w:tc>
          <w:tcPr>
            <w:tcW w:w="16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147,101</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89,636</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3,255,774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1,769,350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Liabilities and Equity Liabilities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Match funded liabilities</w:t>
            </w:r>
          </w:p>
        </w:tc>
        <w:tc>
          <w:tcPr>
            <w:tcW w:w="5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1,606,346</w:t>
            </w:r>
          </w:p>
        </w:tc>
        <w:tc>
          <w:tcPr>
            <w:tcW w:w="4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Secured borrowings – owed to securitization investors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64,564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444,499</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Investment line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Servicer liabilities</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2,368</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82,554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95,564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tcBorders>
            <w:shd w:val="clear" w:color="auto" w:fill="EAF9E8"/>
          </w:tcPr>
          <w:p>
            <w:pPr>
              <w:spacing w:after="0"/>
              <w:rPr>
                <w:sz w:val="19"/>
                <w:szCs w:val="19"/>
                <w:color w:val="auto"/>
              </w:rPr>
            </w:pPr>
          </w:p>
        </w:tc>
        <w:tc>
          <w:tcPr>
            <w:tcW w:w="16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166,751</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90,782</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2,367,082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903,487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6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Ocwen Financial Corporation stockholders’ equity</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ind w:left="480"/>
              <w:spacing w:after="0" w:line="201" w:lineRule="exact"/>
              <w:rPr>
                <w:sz w:val="20"/>
                <w:szCs w:val="20"/>
                <w:color w:val="auto"/>
              </w:rPr>
            </w:pPr>
            <w:r>
              <w:rPr>
                <w:rFonts w:ascii="Arial" w:cs="Arial" w:eastAsia="Arial" w:hAnsi="Arial"/>
                <w:sz w:val="18"/>
                <w:szCs w:val="18"/>
                <w:color w:val="auto"/>
                <w:w w:val="99"/>
              </w:rPr>
              <w:t>Common stock, $.01 par value; 200,000,000 shares authorized; 100,476,378 and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640"/>
              <w:spacing w:after="0"/>
              <w:rPr>
                <w:sz w:val="20"/>
                <w:szCs w:val="20"/>
                <w:color w:val="auto"/>
              </w:rPr>
            </w:pPr>
            <w:r>
              <w:rPr>
                <w:rFonts w:ascii="Arial" w:cs="Arial" w:eastAsia="Arial" w:hAnsi="Arial"/>
                <w:sz w:val="18"/>
                <w:szCs w:val="18"/>
                <w:color w:val="auto"/>
                <w:w w:val="91"/>
              </w:rPr>
              <w:t>99,956,833 shares issued and outstanding at September 30, 2010 and December 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640"/>
              <w:spacing w:after="0"/>
              <w:rPr>
                <w:sz w:val="20"/>
                <w:szCs w:val="20"/>
                <w:color w:val="auto"/>
              </w:rPr>
            </w:pPr>
            <w:r>
              <w:rPr>
                <w:rFonts w:ascii="Arial" w:cs="Arial" w:eastAsia="Arial" w:hAnsi="Arial"/>
                <w:sz w:val="18"/>
                <w:szCs w:val="18"/>
                <w:color w:val="auto"/>
              </w:rPr>
              <w:t>2009, respectively</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4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465,005</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435,535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405,198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shd w:val="clear" w:color="auto" w:fill="EAF9E8"/>
          </w:tcPr>
          <w:p>
            <w:pPr>
              <w:ind w:left="480"/>
              <w:spacing w:after="0"/>
              <w:rPr>
                <w:sz w:val="20"/>
                <w:szCs w:val="20"/>
                <w:color w:val="auto"/>
              </w:rPr>
            </w:pPr>
            <w:r>
              <w:rPr>
                <w:rFonts w:ascii="Arial" w:cs="Arial" w:eastAsia="Arial" w:hAnsi="Arial"/>
                <w:sz w:val="18"/>
                <w:szCs w:val="18"/>
                <w:color w:val="auto"/>
              </w:rPr>
              <w:t>Accumulated other comprehensive loss, net of income taxes</w:t>
            </w:r>
          </w:p>
        </w:tc>
        <w:tc>
          <w:tcPr>
            <w:tcW w:w="2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(13,104)</w:t>
            </w:r>
          </w:p>
        </w:tc>
        <w:tc>
          <w:tcPr>
            <w:tcW w:w="2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top w:val="single" w:sz="8" w:color="EAF9E8"/>
            </w:tcBorders>
          </w:tcPr>
          <w:p>
            <w:pPr>
              <w:ind w:left="640"/>
              <w:spacing w:after="0"/>
              <w:rPr>
                <w:sz w:val="20"/>
                <w:szCs w:val="20"/>
                <w:color w:val="auto"/>
              </w:rPr>
            </w:pPr>
            <w:r>
              <w:rPr>
                <w:rFonts w:ascii="Arial" w:cs="Arial" w:eastAsia="Arial" w:hAnsi="Arial"/>
                <w:sz w:val="18"/>
                <w:szCs w:val="18"/>
                <w:color w:val="auto"/>
              </w:rPr>
              <w:t>Total Ocwen Financial Corporation stockholders’ equity</w:t>
            </w:r>
          </w:p>
        </w:tc>
        <w:tc>
          <w:tcPr>
            <w:tcW w:w="28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888,441</w:t>
            </w: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865,611</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Non-controlling interest in subsidiaries</w:t>
            </w:r>
          </w:p>
        </w:tc>
        <w:tc>
          <w:tcPr>
            <w:tcW w:w="2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tcBorders>
            <w:shd w:val="clear" w:color="auto" w:fill="EAF9E8"/>
          </w:tcPr>
          <w:p>
            <w:pPr>
              <w:spacing w:after="0"/>
              <w:rPr>
                <w:sz w:val="19"/>
                <w:szCs w:val="19"/>
                <w:color w:val="auto"/>
              </w:rPr>
            </w:pPr>
          </w:p>
        </w:tc>
        <w:tc>
          <w:tcPr>
            <w:tcW w:w="16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6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888,692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shd w:val="clear" w:color="auto" w:fill="EAF9E8"/>
          </w:tcPr>
          <w:p>
            <w:pPr>
              <w:ind w:left="800"/>
              <w:spacing w:after="0"/>
              <w:rPr>
                <w:sz w:val="20"/>
                <w:szCs w:val="20"/>
                <w:color w:val="auto"/>
              </w:rPr>
            </w:pPr>
            <w:r>
              <w:rPr>
                <w:rFonts w:ascii="Arial" w:cs="Arial" w:eastAsia="Arial" w:hAnsi="Arial"/>
                <w:sz w:val="18"/>
                <w:szCs w:val="18"/>
                <w:color w:val="auto"/>
              </w:rPr>
              <w:t>Total liabilities and equity</w:t>
            </w:r>
          </w:p>
        </w:tc>
        <w:tc>
          <w:tcPr>
            <w:tcW w:w="5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3,255,774</w:t>
            </w:r>
          </w:p>
        </w:tc>
        <w:tc>
          <w:tcPr>
            <w:tcW w:w="4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1,769,350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Nine months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86,424</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57,534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218,840</w:t>
            </w:r>
          </w:p>
        </w:tc>
        <w:tc>
          <w:tcPr>
            <w:tcW w:w="2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7,911</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24,594</w:t>
            </w: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24,132</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98,372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95,569</w:t>
            </w:r>
          </w:p>
        </w:tc>
        <w:tc>
          <w:tcPr>
            <w:tcW w:w="2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84,211</w:t>
            </w: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247,108</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307,980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43,886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18,959</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69,752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7,874</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7,159</w:t>
            </w: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22,103</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1,707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7,804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6,727</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5,065</w:t>
            </w: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18,582</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25,132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6,378</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37,521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5,201</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4,192</w:t>
            </w: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13,517</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2,847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4,675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93,374</w:t>
            </w:r>
          </w:p>
        </w:tc>
        <w:tc>
          <w:tcPr>
            <w:tcW w:w="2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54,232</w:t>
            </w: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173,209</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199,148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2,195</w:t>
            </w:r>
          </w:p>
        </w:tc>
        <w:tc>
          <w:tcPr>
            <w:tcW w:w="2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29,979</w:t>
            </w:r>
          </w:p>
        </w:tc>
        <w:tc>
          <w:tcPr>
            <w:tcW w:w="16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73,899</w:t>
            </w:r>
          </w:p>
        </w:tc>
        <w:tc>
          <w:tcPr>
            <w:tcW w:w="2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108,832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1,992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(24,187)</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(16,145)</w:t>
            </w: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(50,017)</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Gain (loss) on trading securities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8,291</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(3,958)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(2,626)</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(1,059)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1,604</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1,642</w:t>
            </w: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(3,154)</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(22,907)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(6,521)</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(49,904)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84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8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(20,712)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23,458</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23,995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(7,487)</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65,294</w:t>
            </w: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82,803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b w:val="1"/>
                <w:bCs w:val="1"/>
                <w:color w:val="auto"/>
              </w:rPr>
              <w:t>Income (loss) from continuing operations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(13,225)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(41,836)</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23,685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4,383</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4,383</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(8,842)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(42,067)</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28,068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Net loss (income) attributable to non-controlling interest in</w:t>
            </w: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subsidiaries</w:t>
            </w:r>
          </w:p>
        </w:tc>
        <w:tc>
          <w:tcPr>
            <w:tcW w:w="3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Borders>
              <w:top w:val="single" w:sz="8" w:color="EAF9E8"/>
            </w:tcBorders>
          </w:tcPr>
          <w:p>
            <w:pPr>
              <w:ind w:left="160"/>
              <w:spacing w:after="0" w:line="198" w:lineRule="exact"/>
              <w:rPr>
                <w:sz w:val="20"/>
                <w:szCs w:val="20"/>
                <w:color w:val="auto"/>
              </w:rPr>
            </w:pPr>
            <w:r>
              <w:rPr>
                <w:rFonts w:ascii="Arial" w:cs="Arial" w:eastAsia="Arial" w:hAnsi="Arial"/>
                <w:sz w:val="18"/>
                <w:szCs w:val="18"/>
                <w:b w:val="1"/>
                <w:bCs w:val="1"/>
                <w:color w:val="auto"/>
                <w:w w:val="91"/>
              </w:rPr>
              <w:t>Net income (loss) attributable to Ocwen Financial Corporation</w:t>
            </w:r>
          </w:p>
        </w:tc>
        <w:tc>
          <w:tcPr>
            <w:tcW w:w="34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EAF9E8"/>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40" w:type="dxa"/>
            <w:vAlign w:val="bottom"/>
            <w:tcBorders>
              <w:top w:val="single" w:sz="8" w:color="EAF9E8"/>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EAF9E8"/>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ind w:left="320"/>
              <w:spacing w:after="0"/>
              <w:rPr>
                <w:sz w:val="20"/>
                <w:szCs w:val="20"/>
                <w:color w:val="auto"/>
              </w:rPr>
            </w:pPr>
            <w:r>
              <w:rPr>
                <w:rFonts w:ascii="Arial" w:cs="Arial" w:eastAsia="Arial" w:hAnsi="Arial"/>
                <w:sz w:val="18"/>
                <w:szCs w:val="18"/>
                <w:b w:val="1"/>
                <w:bCs w:val="1"/>
                <w:color w:val="auto"/>
              </w:rPr>
              <w:t>(OCN)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(8,835)</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(42,031)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28,063</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(9,092)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9"/>
              </w:rPr>
              <w:t>Income (loss) from continuing operations attributable to OCN</w:t>
            </w:r>
          </w:p>
        </w:tc>
        <w:tc>
          <w:tcPr>
            <w:tcW w:w="5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(0.13)</w:t>
            </w:r>
          </w:p>
        </w:tc>
        <w:tc>
          <w:tcPr>
            <w:tcW w:w="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0.24</w:t>
            </w:r>
          </w:p>
        </w:tc>
        <w:tc>
          <w:tcPr>
            <w:tcW w:w="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w w:val="96"/>
              </w:rPr>
              <w:t>Income (loss) from discontinued operations attributable to OCN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(loss) attributable to OCN</w:t>
            </w:r>
          </w:p>
        </w:tc>
        <w:tc>
          <w:tcPr>
            <w:tcW w:w="34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(0.09)</w:t>
            </w:r>
          </w:p>
        </w:tc>
        <w:tc>
          <w:tcPr>
            <w:tcW w:w="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0.28</w:t>
            </w:r>
          </w:p>
        </w:tc>
        <w:tc>
          <w:tcPr>
            <w:tcW w:w="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w w:val="99"/>
              </w:rPr>
              <w:t>Income (loss) from continuing operations attributable to OCN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0.23</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from discontinued operations attributable to OCN</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Net income (loss) attributable to OCN</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5"/>
              </w:rPr>
              <w:t>100,329,915</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w w:val="90"/>
              </w:rPr>
              <w:t>82,614,456</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100,159,547</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0"/>
              </w:rPr>
              <w:t>70,966,393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100,329,915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82,614,456</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107,379,725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70,966,393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left="260" w:right="266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(8,842)</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(42,067)</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28,068</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Other comprehensive income (loss), net of income taxes:</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Unrealized foreign currency translation income (loss ) arising</w:t>
            </w:r>
          </w:p>
        </w:tc>
        <w:tc>
          <w:tcPr>
            <w:tcW w:w="3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during the period (1)</w:t>
            </w:r>
          </w:p>
        </w:tc>
        <w:tc>
          <w:tcPr>
            <w:tcW w:w="3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6"/>
              </w:rPr>
              <w:t>Change in deferred loss on cash flow hedges arising during the</w:t>
            </w:r>
          </w:p>
        </w:tc>
        <w:tc>
          <w:tcPr>
            <w:tcW w:w="3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period (2)</w:t>
            </w:r>
          </w:p>
        </w:tc>
        <w:tc>
          <w:tcPr>
            <w:tcW w:w="3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(5,835)</w:t>
            </w:r>
          </w:p>
        </w:tc>
        <w:tc>
          <w:tcPr>
            <w:tcW w:w="2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(13,239)</w:t>
            </w:r>
          </w:p>
        </w:tc>
        <w:tc>
          <w:tcPr>
            <w:tcW w:w="2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160"/>
              <w:spacing w:after="0" w:line="201" w:lineRule="exact"/>
              <w:rPr>
                <w:sz w:val="20"/>
                <w:szCs w:val="20"/>
                <w:color w:val="auto"/>
              </w:rPr>
            </w:pPr>
            <w:r>
              <w:rPr>
                <w:rFonts w:ascii="Arial" w:cs="Arial" w:eastAsia="Arial" w:hAnsi="Arial"/>
                <w:sz w:val="18"/>
                <w:szCs w:val="18"/>
                <w:color w:val="auto"/>
              </w:rPr>
              <w:t>Reclassification adjustment for losses on cash flow hedges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included in net income (3)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 in deferred loss on cash flow hedges</w:t>
            </w:r>
          </w:p>
        </w:tc>
        <w:tc>
          <w:tcPr>
            <w:tcW w:w="3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(5,567)</w:t>
            </w:r>
          </w:p>
        </w:tc>
        <w:tc>
          <w:tcPr>
            <w:tcW w:w="2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(12,950)</w:t>
            </w:r>
          </w:p>
        </w:tc>
        <w:tc>
          <w:tcPr>
            <w:tcW w:w="2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(5,513)</w:t>
            </w:r>
          </w:p>
        </w:tc>
        <w:tc>
          <w:tcPr>
            <w:tcW w:w="2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(12,981)</w:t>
            </w:r>
          </w:p>
        </w:tc>
        <w:tc>
          <w:tcPr>
            <w:tcW w:w="2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(14,355)</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(42,147)</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15,087</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Comprehensive (income) loss attributable to</w:t>
            </w:r>
          </w:p>
        </w:tc>
        <w:tc>
          <w:tcPr>
            <w:tcW w:w="3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(loss) attributable to OCN</w:t>
            </w:r>
          </w:p>
        </w:tc>
        <w:tc>
          <w:tcPr>
            <w:tcW w:w="340" w:type="dxa"/>
            <w:vAlign w:val="bottom"/>
            <w:shd w:val="clear" w:color="auto" w:fill="EAF9E8"/>
          </w:tcPr>
          <w:p>
            <w:pPr>
              <w:spacing w:after="0"/>
              <w:rPr>
                <w:sz w:val="20"/>
                <w:szCs w:val="20"/>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(14,366)</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(42,100)</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15,088</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300" w:hanging="352"/>
        <w:spacing w:after="0" w:line="277"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income tax benefit (expense) of $(8) and $47 for the three months ended September 30, 2010 and 2009, respectively, and $27 and $180 for the nine months ended September 30, 2010 and 2009, respectively.</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benefit of $3,428 and $7,775, respectively for the three and nine months ended September 30, 2010.</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tax expense of $158 and $169, respectively for the three and nine months ended September 30, 2010.</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ind w:left="326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8"/>
          </w:tcPr>
          <w:p>
            <w:pPr>
              <w:jc w:val="right"/>
              <w:ind w:right="117"/>
              <w:spacing w:after="0"/>
              <w:rPr>
                <w:sz w:val="20"/>
                <w:szCs w:val="20"/>
                <w:color w:val="auto"/>
              </w:rPr>
            </w:pPr>
            <w:r>
              <w:rPr>
                <w:rFonts w:ascii="Arial" w:cs="Arial" w:eastAsia="Arial" w:hAnsi="Arial"/>
                <w:sz w:val="18"/>
                <w:szCs w:val="18"/>
                <w:b w:val="1"/>
                <w:bCs w:val="1"/>
                <w:color w:val="auto"/>
                <w:w w:val="92"/>
              </w:rPr>
              <w:t>OCN Shareholders</w:t>
            </w: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ind w:left="20"/>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32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20"/>
                <w:szCs w:val="20"/>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Loss,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 in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Earnings</w:t>
            </w:r>
          </w:p>
        </w:tc>
        <w:tc>
          <w:tcPr>
            <w:tcW w:w="14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Net of Taxes</w:t>
            </w:r>
          </w:p>
        </w:tc>
        <w:tc>
          <w:tcPr>
            <w:tcW w:w="80" w:type="dxa"/>
            <w:vAlign w:val="bottom"/>
          </w:tcPr>
          <w:p>
            <w:pPr>
              <w:spacing w:after="0"/>
              <w:rPr>
                <w:sz w:val="19"/>
                <w:szCs w:val="19"/>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2009</w:t>
            </w:r>
          </w:p>
        </w:tc>
        <w:tc>
          <w:tcPr>
            <w:tcW w:w="9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5"/>
              </w:rPr>
              <w:t>99,956,833</w:t>
            </w:r>
          </w:p>
        </w:tc>
        <w:tc>
          <w:tcPr>
            <w:tcW w:w="24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jc w:val="right"/>
              <w:ind w:right="30"/>
              <w:spacing w:after="0"/>
              <w:rPr>
                <w:sz w:val="20"/>
                <w:szCs w:val="20"/>
                <w:color w:val="auto"/>
              </w:rPr>
            </w:pPr>
            <w:r>
              <w:rPr>
                <w:rFonts w:ascii="Arial" w:cs="Arial" w:eastAsia="Arial" w:hAnsi="Arial"/>
                <w:sz w:val="5"/>
                <w:szCs w:val="5"/>
                <w:color w:val="auto"/>
                <w:w w:val="70"/>
              </w:rPr>
              <w:t>$</w:t>
            </w:r>
          </w:p>
        </w:tc>
        <w:tc>
          <w:tcPr>
            <w:tcW w:w="92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459,542</w:t>
            </w:r>
          </w:p>
        </w:tc>
        <w:tc>
          <w:tcPr>
            <w:tcW w:w="120" w:type="dxa"/>
            <w:vAlign w:val="bottom"/>
            <w:shd w:val="clear" w:color="auto" w:fill="EAF9E8"/>
          </w:tcPr>
          <w:p>
            <w:pPr>
              <w:spacing w:after="0"/>
              <w:rPr>
                <w:sz w:val="18"/>
                <w:szCs w:val="18"/>
                <w:color w:val="auto"/>
              </w:rPr>
            </w:pPr>
          </w:p>
        </w:tc>
        <w:tc>
          <w:tcPr>
            <w:tcW w:w="12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405,198</w:t>
            </w:r>
          </w:p>
        </w:tc>
        <w:tc>
          <w:tcPr>
            <w:tcW w:w="160" w:type="dxa"/>
            <w:vAlign w:val="bottom"/>
            <w:shd w:val="clear" w:color="auto" w:fill="EAF9E8"/>
          </w:tcPr>
          <w:p>
            <w:pPr>
              <w:spacing w:after="0"/>
              <w:rPr>
                <w:sz w:val="18"/>
                <w:szCs w:val="18"/>
                <w:color w:val="auto"/>
              </w:rPr>
            </w:pPr>
          </w:p>
        </w:tc>
        <w:tc>
          <w:tcPr>
            <w:tcW w:w="220" w:type="dxa"/>
            <w:vAlign w:val="bottom"/>
            <w:tcBorders>
              <w:lef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(129)</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252</w:t>
            </w: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865,863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Adoption of ASC 810 (FASB</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Statement No. 167), net of tax</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right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EAF9E8"/>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28,063</w:t>
            </w:r>
          </w:p>
        </w:tc>
        <w:tc>
          <w:tcPr>
            <w:tcW w:w="220" w:type="dxa"/>
            <w:vAlign w:val="bottom"/>
            <w:tcBorders>
              <w:left w:val="single" w:sz="8" w:color="EAF9E8"/>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Exercise of common stock</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502,026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Borders>
              <w:right w:val="single" w:sz="8" w:color="EAF9E8"/>
            </w:tcBorders>
            <w:shd w:val="clear" w:color="auto" w:fill="EAF9E8"/>
          </w:tcPr>
          <w:p>
            <w:pPr>
              <w:spacing w:after="0" w:line="201" w:lineRule="exact"/>
              <w:rPr>
                <w:sz w:val="20"/>
                <w:szCs w:val="20"/>
                <w:color w:val="auto"/>
              </w:rPr>
            </w:pPr>
            <w:r>
              <w:rPr>
                <w:rFonts w:ascii="Arial" w:cs="Arial" w:eastAsia="Arial" w:hAnsi="Arial"/>
                <w:sz w:val="18"/>
                <w:szCs w:val="18"/>
                <w:color w:val="auto"/>
              </w:rPr>
              <w:t>Issuance of common stock awards</w:t>
            </w:r>
          </w:p>
        </w:tc>
        <w:tc>
          <w:tcPr>
            <w:tcW w:w="900" w:type="dxa"/>
            <w:vAlign w:val="bottom"/>
            <w:tcBorders>
              <w:right w:val="single" w:sz="8" w:color="EAF9E8"/>
            </w:tcBorders>
            <w:shd w:val="clear" w:color="auto" w:fill="EAF9E8"/>
          </w:tcPr>
          <w:p>
            <w:pPr>
              <w:spacing w:after="0"/>
              <w:rPr>
                <w:sz w:val="17"/>
                <w:szCs w:val="17"/>
                <w:color w:val="auto"/>
              </w:rPr>
            </w:pPr>
          </w:p>
        </w:tc>
        <w:tc>
          <w:tcPr>
            <w:tcW w:w="240" w:type="dxa"/>
            <w:vAlign w:val="bottom"/>
            <w:tcBorders>
              <w:right w:val="single" w:sz="8" w:color="EAF9E8"/>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20" w:type="dxa"/>
            <w:vAlign w:val="bottom"/>
            <w:tcBorders>
              <w:right w:val="single" w:sz="8" w:color="EAF9E8"/>
            </w:tcBorders>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tcBorders>
              <w:right w:val="single" w:sz="8" w:color="EAF9E8"/>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20" w:type="dxa"/>
            <w:vAlign w:val="bottom"/>
            <w:tcBorders>
              <w:left w:val="single" w:sz="8" w:color="EAF9E8"/>
            </w:tcBorders>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 employees</w:t>
            </w:r>
          </w:p>
        </w:tc>
        <w:tc>
          <w:tcPr>
            <w:tcW w:w="9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9,865</w:t>
            </w:r>
          </w:p>
        </w:tc>
        <w:tc>
          <w:tcPr>
            <w:tcW w:w="240" w:type="dxa"/>
            <w:vAlign w:val="bottom"/>
            <w:tcBorders>
              <w:right w:val="single" w:sz="8" w:color="EAF9E8"/>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4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EAF9E8"/>
            </w:tcBorders>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AF9E8"/>
            </w:tcBorders>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7,654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Borders>
              <w:right w:val="single" w:sz="8" w:color="EAF9E8"/>
            </w:tcBorders>
            <w:shd w:val="clear" w:color="auto" w:fill="EAF9E8"/>
          </w:tcPr>
          <w:p>
            <w:pPr>
              <w:spacing w:after="0" w:line="201" w:lineRule="exact"/>
              <w:rPr>
                <w:sz w:val="20"/>
                <w:szCs w:val="20"/>
                <w:color w:val="auto"/>
              </w:rPr>
            </w:pPr>
            <w:r>
              <w:rPr>
                <w:rFonts w:ascii="Arial" w:cs="Arial" w:eastAsia="Arial" w:hAnsi="Arial"/>
                <w:sz w:val="18"/>
                <w:szCs w:val="18"/>
                <w:color w:val="auto"/>
              </w:rPr>
              <w:t>Other comprehensive loss, net of</w:t>
            </w:r>
          </w:p>
        </w:tc>
        <w:tc>
          <w:tcPr>
            <w:tcW w:w="900" w:type="dxa"/>
            <w:vAlign w:val="bottom"/>
            <w:tcBorders>
              <w:right w:val="single" w:sz="8" w:color="EAF9E8"/>
            </w:tcBorders>
            <w:shd w:val="clear" w:color="auto" w:fill="EAF9E8"/>
          </w:tcPr>
          <w:p>
            <w:pPr>
              <w:spacing w:after="0"/>
              <w:rPr>
                <w:sz w:val="17"/>
                <w:szCs w:val="17"/>
                <w:color w:val="auto"/>
              </w:rPr>
            </w:pPr>
          </w:p>
        </w:tc>
        <w:tc>
          <w:tcPr>
            <w:tcW w:w="240" w:type="dxa"/>
            <w:vAlign w:val="bottom"/>
            <w:tcBorders>
              <w:right w:val="single" w:sz="8" w:color="EAF9E8"/>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20" w:type="dxa"/>
            <w:vAlign w:val="bottom"/>
            <w:tcBorders>
              <w:right w:val="single" w:sz="8" w:color="EAF9E8"/>
            </w:tcBorders>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tcBorders>
              <w:right w:val="single" w:sz="8" w:color="EAF9E8"/>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20" w:type="dxa"/>
            <w:vAlign w:val="bottom"/>
            <w:tcBorders>
              <w:left w:val="single" w:sz="8" w:color="EAF9E8"/>
            </w:tcBorders>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income taxes</w:t>
            </w:r>
          </w:p>
        </w:tc>
        <w:tc>
          <w:tcPr>
            <w:tcW w:w="1140" w:type="dxa"/>
            <w:vAlign w:val="bottom"/>
            <w:tcBorders>
              <w:right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4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EAF9E8"/>
            </w:tcBorders>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AF9E8"/>
            </w:tcBorders>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(12,975)</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Borders>
              <w:right w:val="single" w:sz="8" w:color="auto"/>
            </w:tcBorders>
            <w:shd w:val="clear" w:color="auto" w:fill="EAF9E8"/>
          </w:tcPr>
          <w:p>
            <w:pPr>
              <w:spacing w:after="0"/>
              <w:rPr>
                <w:sz w:val="2"/>
                <w:szCs w:val="2"/>
                <w:color w:val="auto"/>
              </w:rPr>
            </w:pPr>
          </w:p>
        </w:tc>
        <w:tc>
          <w:tcPr>
            <w:tcW w:w="900" w:type="dxa"/>
            <w:vAlign w:val="bottom"/>
            <w:tcBorders>
              <w:right w:val="single" w:sz="8" w:color="EAF9E8"/>
            </w:tcBorders>
            <w:shd w:val="clear" w:color="auto" w:fill="000000"/>
          </w:tcPr>
          <w:p>
            <w:pPr>
              <w:spacing w:after="0"/>
              <w:rPr>
                <w:sz w:val="2"/>
                <w:szCs w:val="2"/>
                <w:color w:val="auto"/>
              </w:rPr>
            </w:pPr>
          </w:p>
        </w:tc>
        <w:tc>
          <w:tcPr>
            <w:tcW w:w="240" w:type="dxa"/>
            <w:vAlign w:val="bottom"/>
            <w:tcBorders>
              <w:right w:val="single" w:sz="8" w:color="auto"/>
            </w:tcBorders>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EAF9E8"/>
            </w:tcBorders>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20" w:type="dxa"/>
            <w:vAlign w:val="bottom"/>
            <w:tcBorders>
              <w:left w:val="single" w:sz="8" w:color="EAF9E8"/>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Balance at September 30, 2010</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100,476,378</w:t>
            </w:r>
          </w:p>
        </w:tc>
        <w:tc>
          <w:tcPr>
            <w:tcW w:w="240" w:type="dxa"/>
            <w:vAlign w:val="bottom"/>
          </w:tcPr>
          <w:p>
            <w:pPr>
              <w:spacing w:after="0"/>
              <w:rPr>
                <w:sz w:val="18"/>
                <w:szCs w:val="18"/>
                <w:color w:val="auto"/>
              </w:rPr>
            </w:pPr>
          </w:p>
        </w:tc>
        <w:tc>
          <w:tcPr>
            <w:tcW w:w="120" w:type="dxa"/>
            <w:vAlign w:val="bottom"/>
          </w:tcPr>
          <w:p>
            <w:pPr>
              <w:jc w:val="right"/>
              <w:ind w:right="30"/>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465,005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435,535</w:t>
            </w:r>
          </w:p>
        </w:tc>
        <w:tc>
          <w:tcPr>
            <w:tcW w:w="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(13,104)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888,692</w:t>
            </w:r>
          </w:p>
        </w:tc>
        <w:tc>
          <w:tcPr>
            <w:tcW w:w="0" w:type="dxa"/>
            <w:vAlign w:val="bottom"/>
          </w:tcPr>
          <w:p>
            <w:pPr>
              <w:spacing w:after="0"/>
              <w:rPr>
                <w:sz w:val="1"/>
                <w:szCs w:val="1"/>
                <w:color w:val="auto"/>
              </w:rPr>
            </w:pPr>
          </w:p>
        </w:tc>
      </w:tr>
      <w:tr>
        <w:trPr>
          <w:trHeight w:val="21"/>
        </w:trPr>
        <w:tc>
          <w:tcPr>
            <w:tcW w:w="28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60" w:type="dxa"/>
            <w:vAlign w:val="bottom"/>
            <w:gridSpan w:val="2"/>
          </w:tcPr>
          <w:p>
            <w:pPr>
              <w:spacing w:after="0"/>
              <w:rPr>
                <w:sz w:val="20"/>
                <w:szCs w:val="20"/>
                <w:color w:val="auto"/>
              </w:rPr>
            </w:pPr>
          </w:p>
        </w:tc>
        <w:tc>
          <w:tcPr>
            <w:tcW w:w="1060" w:type="dxa"/>
            <w:vAlign w:val="bottom"/>
            <w:gridSpan w:val="2"/>
          </w:tcPr>
          <w:p>
            <w:pPr>
              <w:spacing w:after="0"/>
              <w:rPr>
                <w:sz w:val="20"/>
                <w:szCs w:val="20"/>
                <w:color w:val="auto"/>
              </w:rPr>
            </w:pPr>
          </w:p>
        </w:tc>
        <w:tc>
          <w:tcPr>
            <w:tcW w:w="280" w:type="dxa"/>
            <w:vAlign w:val="bottom"/>
            <w:gridSpan w:val="2"/>
          </w:tcPr>
          <w:p>
            <w:pPr>
              <w:spacing w:after="0"/>
              <w:rPr>
                <w:sz w:val="20"/>
                <w:szCs w:val="20"/>
                <w:color w:val="auto"/>
              </w:rPr>
            </w:pPr>
          </w:p>
        </w:tc>
        <w:tc>
          <w:tcPr>
            <w:tcW w:w="9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2008</w:t>
            </w:r>
          </w:p>
        </w:tc>
        <w:tc>
          <w:tcPr>
            <w:tcW w:w="114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w w:val="97"/>
              </w:rPr>
              <w:t>62,716,530</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627</w:t>
            </w:r>
          </w:p>
        </w:tc>
        <w:tc>
          <w:tcPr>
            <w:tcW w:w="200" w:type="dxa"/>
            <w:vAlign w:val="bottom"/>
            <w:gridSpan w:val="2"/>
            <w:shd w:val="clear" w:color="auto" w:fill="EAF9E8"/>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201,831</w:t>
            </w:r>
          </w:p>
        </w:tc>
        <w:tc>
          <w:tcPr>
            <w:tcW w:w="120" w:type="dxa"/>
            <w:vAlign w:val="bottom"/>
            <w:tcBorders>
              <w:right w:val="single" w:sz="8" w:color="EAF9E8"/>
            </w:tcBorders>
            <w:shd w:val="clear" w:color="auto" w:fill="EAF9E8"/>
          </w:tcPr>
          <w:p>
            <w:pPr>
              <w:spacing w:after="0"/>
              <w:rPr>
                <w:sz w:val="18"/>
                <w:szCs w:val="18"/>
                <w:color w:val="auto"/>
              </w:rPr>
            </w:pPr>
          </w:p>
        </w:tc>
        <w:tc>
          <w:tcPr>
            <w:tcW w:w="200" w:type="dxa"/>
            <w:vAlign w:val="bottom"/>
            <w:shd w:val="clear" w:color="auto" w:fill="EAF9E8"/>
          </w:tcPr>
          <w:p>
            <w:pPr>
              <w:jc w:val="right"/>
              <w:ind w:right="3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404,901</w:t>
            </w:r>
          </w:p>
        </w:tc>
        <w:tc>
          <w:tcPr>
            <w:tcW w:w="380" w:type="dxa"/>
            <w:vAlign w:val="bottom"/>
            <w:tcBorders>
              <w:left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1,876</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406</w:t>
            </w: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609,641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Borders>
              <w:right w:val="single" w:sz="8" w:color="EAF9E8"/>
            </w:tcBorders>
            <w:shd w:val="clear" w:color="auto" w:fill="EAF9E8"/>
          </w:tcPr>
          <w:p>
            <w:pPr>
              <w:spacing w:after="0" w:line="201" w:lineRule="exact"/>
              <w:rPr>
                <w:sz w:val="20"/>
                <w:szCs w:val="20"/>
                <w:color w:val="auto"/>
              </w:rPr>
            </w:pPr>
            <w:r>
              <w:rPr>
                <w:rFonts w:ascii="Arial" w:cs="Arial" w:eastAsia="Arial" w:hAnsi="Arial"/>
                <w:sz w:val="18"/>
                <w:szCs w:val="18"/>
                <w:color w:val="auto"/>
              </w:rPr>
              <w:t>Net assets distributed in</w:t>
            </w:r>
          </w:p>
        </w:tc>
        <w:tc>
          <w:tcPr>
            <w:tcW w:w="900" w:type="dxa"/>
            <w:vAlign w:val="bottom"/>
            <w:tcBorders>
              <w:right w:val="single" w:sz="8" w:color="EAF9E8"/>
            </w:tcBorders>
            <w:shd w:val="clear" w:color="auto" w:fill="EAF9E8"/>
          </w:tcPr>
          <w:p>
            <w:pPr>
              <w:spacing w:after="0"/>
              <w:rPr>
                <w:sz w:val="17"/>
                <w:szCs w:val="17"/>
                <w:color w:val="auto"/>
              </w:rPr>
            </w:pPr>
          </w:p>
        </w:tc>
        <w:tc>
          <w:tcPr>
            <w:tcW w:w="240" w:type="dxa"/>
            <w:vAlign w:val="bottom"/>
            <w:tcBorders>
              <w:right w:val="single" w:sz="8" w:color="EAF9E8"/>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20" w:type="dxa"/>
            <w:vAlign w:val="bottom"/>
            <w:tcBorders>
              <w:right w:val="single" w:sz="8" w:color="EAF9E8"/>
            </w:tcBorders>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tcBorders>
              <w:right w:val="single" w:sz="8" w:color="EAF9E8"/>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20" w:type="dxa"/>
            <w:vAlign w:val="bottom"/>
            <w:tcBorders>
              <w:left w:val="single" w:sz="8" w:color="EAF9E8"/>
            </w:tcBorders>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connection with the spin-off of</w:t>
            </w:r>
          </w:p>
        </w:tc>
        <w:tc>
          <w:tcPr>
            <w:tcW w:w="900" w:type="dxa"/>
            <w:vAlign w:val="bottom"/>
            <w:tcBorders>
              <w:right w:val="single" w:sz="8" w:color="EAF9E8"/>
            </w:tcBorders>
            <w:shd w:val="clear" w:color="auto" w:fill="EAF9E8"/>
          </w:tcPr>
          <w:p>
            <w:pPr>
              <w:spacing w:after="0"/>
              <w:rPr>
                <w:sz w:val="18"/>
                <w:szCs w:val="18"/>
                <w:color w:val="auto"/>
              </w:rPr>
            </w:pPr>
          </w:p>
        </w:tc>
        <w:tc>
          <w:tcPr>
            <w:tcW w:w="24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tcBorders>
              <w:right w:val="single" w:sz="8" w:color="EAF9E8"/>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20" w:type="dxa"/>
            <w:vAlign w:val="bottom"/>
            <w:tcBorders>
              <w:left w:val="single" w:sz="8" w:color="EAF9E8"/>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Altisource Portfolio Solutions</w:t>
            </w:r>
          </w:p>
        </w:tc>
        <w:tc>
          <w:tcPr>
            <w:tcW w:w="900" w:type="dxa"/>
            <w:vAlign w:val="bottom"/>
            <w:tcBorders>
              <w:right w:val="single" w:sz="8" w:color="EAF9E8"/>
            </w:tcBorders>
            <w:shd w:val="clear" w:color="auto" w:fill="EAF9E8"/>
          </w:tcPr>
          <w:p>
            <w:pPr>
              <w:spacing w:after="0"/>
              <w:rPr>
                <w:sz w:val="18"/>
                <w:szCs w:val="18"/>
                <w:color w:val="auto"/>
              </w:rPr>
            </w:pPr>
          </w:p>
        </w:tc>
        <w:tc>
          <w:tcPr>
            <w:tcW w:w="24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tcBorders>
              <w:right w:val="single" w:sz="8" w:color="EAF9E8"/>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20" w:type="dxa"/>
            <w:vAlign w:val="bottom"/>
            <w:tcBorders>
              <w:left w:val="single" w:sz="8" w:color="EAF9E8"/>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S.A. (formerly Ocwen</w:t>
            </w:r>
          </w:p>
        </w:tc>
        <w:tc>
          <w:tcPr>
            <w:tcW w:w="900" w:type="dxa"/>
            <w:vAlign w:val="bottom"/>
            <w:tcBorders>
              <w:right w:val="single" w:sz="8" w:color="EAF9E8"/>
            </w:tcBorders>
            <w:shd w:val="clear" w:color="auto" w:fill="EAF9E8"/>
          </w:tcPr>
          <w:p>
            <w:pPr>
              <w:spacing w:after="0"/>
              <w:rPr>
                <w:sz w:val="18"/>
                <w:szCs w:val="18"/>
                <w:color w:val="auto"/>
              </w:rPr>
            </w:pPr>
          </w:p>
        </w:tc>
        <w:tc>
          <w:tcPr>
            <w:tcW w:w="24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tcBorders>
              <w:right w:val="single" w:sz="8" w:color="EAF9E8"/>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20" w:type="dxa"/>
            <w:vAlign w:val="bottom"/>
            <w:tcBorders>
              <w:left w:val="single" w:sz="8" w:color="EAF9E8"/>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Solutions)</w:t>
            </w:r>
          </w:p>
        </w:tc>
        <w:tc>
          <w:tcPr>
            <w:tcW w:w="114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(71,448)</w:t>
            </w:r>
          </w:p>
        </w:tc>
        <w:tc>
          <w:tcPr>
            <w:tcW w:w="120" w:type="dxa"/>
            <w:vAlign w:val="bottom"/>
            <w:tcBorders>
              <w:right w:val="single" w:sz="8" w:color="EAF9E8"/>
            </w:tcBorders>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AF9E8"/>
            </w:tcBorders>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37,671,500</w:t>
            </w:r>
          </w:p>
        </w:tc>
        <w:tc>
          <w:tcPr>
            <w:tcW w:w="1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334,790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335,167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color w:val="auto"/>
              </w:rPr>
              <w:t>Repurchase of common stock</w:t>
            </w:r>
          </w:p>
        </w:tc>
        <w:tc>
          <w:tcPr>
            <w:tcW w:w="1140" w:type="dxa"/>
            <w:vAlign w:val="bottom"/>
            <w:tcBorders>
              <w:right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(10,990)</w:t>
            </w:r>
          </w:p>
        </w:tc>
        <w:tc>
          <w:tcPr>
            <w:tcW w:w="120" w:type="dxa"/>
            <w:vAlign w:val="bottom"/>
            <w:tcBorders>
              <w:right w:val="single" w:sz="8" w:color="EAF9E8"/>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AF9E8"/>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405,013</w:t>
            </w:r>
          </w:p>
        </w:tc>
        <w:tc>
          <w:tcPr>
            <w:tcW w:w="1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2,964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Borders>
              <w:right w:val="single" w:sz="8" w:color="EAF9E8"/>
            </w:tcBorders>
            <w:shd w:val="clear" w:color="auto" w:fill="EAF9E8"/>
          </w:tcPr>
          <w:p>
            <w:pPr>
              <w:spacing w:after="0" w:line="201" w:lineRule="exact"/>
              <w:rPr>
                <w:sz w:val="20"/>
                <w:szCs w:val="20"/>
                <w:color w:val="auto"/>
              </w:rPr>
            </w:pPr>
            <w:r>
              <w:rPr>
                <w:rFonts w:ascii="Arial" w:cs="Arial" w:eastAsia="Arial" w:hAnsi="Arial"/>
                <w:sz w:val="18"/>
                <w:szCs w:val="18"/>
                <w:color w:val="auto"/>
              </w:rPr>
              <w:t>Issuance of common stock awards</w:t>
            </w:r>
          </w:p>
        </w:tc>
        <w:tc>
          <w:tcPr>
            <w:tcW w:w="900" w:type="dxa"/>
            <w:vAlign w:val="bottom"/>
            <w:tcBorders>
              <w:right w:val="single" w:sz="8" w:color="EAF9E8"/>
            </w:tcBorders>
            <w:shd w:val="clear" w:color="auto" w:fill="EAF9E8"/>
          </w:tcPr>
          <w:p>
            <w:pPr>
              <w:spacing w:after="0"/>
              <w:rPr>
                <w:sz w:val="17"/>
                <w:szCs w:val="17"/>
                <w:color w:val="auto"/>
              </w:rPr>
            </w:pPr>
          </w:p>
        </w:tc>
        <w:tc>
          <w:tcPr>
            <w:tcW w:w="240" w:type="dxa"/>
            <w:vAlign w:val="bottom"/>
            <w:tcBorders>
              <w:right w:val="single" w:sz="8" w:color="EAF9E8"/>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20" w:type="dxa"/>
            <w:vAlign w:val="bottom"/>
            <w:tcBorders>
              <w:right w:val="single" w:sz="8" w:color="EAF9E8"/>
            </w:tcBorders>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tcBorders>
              <w:right w:val="single" w:sz="8" w:color="EAF9E8"/>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20" w:type="dxa"/>
            <w:vAlign w:val="bottom"/>
            <w:tcBorders>
              <w:left w:val="single" w:sz="8" w:color="EAF9E8"/>
            </w:tcBorders>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 employees</w:t>
            </w:r>
          </w:p>
        </w:tc>
        <w:tc>
          <w:tcPr>
            <w:tcW w:w="114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29,907</w:t>
            </w:r>
          </w:p>
        </w:tc>
        <w:tc>
          <w:tcPr>
            <w:tcW w:w="1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(138)</w:t>
            </w:r>
          </w:p>
        </w:tc>
        <w:tc>
          <w:tcPr>
            <w:tcW w:w="120" w:type="dxa"/>
            <w:vAlign w:val="bottom"/>
            <w:tcBorders>
              <w:right w:val="single" w:sz="8" w:color="EAF9E8"/>
            </w:tcBorders>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AF9E8"/>
            </w:tcBorders>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12,147</w:t>
            </w:r>
          </w:p>
        </w:tc>
        <w:tc>
          <w:tcPr>
            <w:tcW w:w="1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Borders>
              <w:right w:val="single" w:sz="8" w:color="EAF9E8"/>
            </w:tcBorders>
            <w:shd w:val="clear" w:color="auto" w:fill="EAF9E8"/>
          </w:tcPr>
          <w:p>
            <w:pPr>
              <w:spacing w:after="0" w:line="201" w:lineRule="exact"/>
              <w:rPr>
                <w:sz w:val="20"/>
                <w:szCs w:val="20"/>
                <w:color w:val="auto"/>
              </w:rPr>
            </w:pPr>
            <w:r>
              <w:rPr>
                <w:rFonts w:ascii="Arial" w:cs="Arial" w:eastAsia="Arial" w:hAnsi="Arial"/>
                <w:sz w:val="18"/>
                <w:szCs w:val="18"/>
                <w:color w:val="auto"/>
              </w:rPr>
              <w:t>Repurchase of 3.25% Convertible</w:t>
            </w:r>
          </w:p>
        </w:tc>
        <w:tc>
          <w:tcPr>
            <w:tcW w:w="900" w:type="dxa"/>
            <w:vAlign w:val="bottom"/>
            <w:tcBorders>
              <w:right w:val="single" w:sz="8" w:color="EAF9E8"/>
            </w:tcBorders>
            <w:shd w:val="clear" w:color="auto" w:fill="EAF9E8"/>
          </w:tcPr>
          <w:p>
            <w:pPr>
              <w:spacing w:after="0"/>
              <w:rPr>
                <w:sz w:val="17"/>
                <w:szCs w:val="17"/>
                <w:color w:val="auto"/>
              </w:rPr>
            </w:pPr>
          </w:p>
        </w:tc>
        <w:tc>
          <w:tcPr>
            <w:tcW w:w="240" w:type="dxa"/>
            <w:vAlign w:val="bottom"/>
            <w:tcBorders>
              <w:right w:val="single" w:sz="8" w:color="EAF9E8"/>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20" w:type="dxa"/>
            <w:vAlign w:val="bottom"/>
            <w:tcBorders>
              <w:right w:val="single" w:sz="8" w:color="EAF9E8"/>
            </w:tcBorders>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tcBorders>
              <w:right w:val="single" w:sz="8" w:color="EAF9E8"/>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20" w:type="dxa"/>
            <w:vAlign w:val="bottom"/>
            <w:tcBorders>
              <w:left w:val="single" w:sz="8" w:color="EAF9E8"/>
            </w:tcBorders>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Notes</w:t>
            </w:r>
          </w:p>
        </w:tc>
        <w:tc>
          <w:tcPr>
            <w:tcW w:w="114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EAF9E8"/>
            </w:tcBorders>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AF9E8"/>
            </w:tcBorders>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Other comprehensive loss, net of</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86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Balance at September 30, 2009</w:t>
            </w:r>
          </w:p>
        </w:tc>
        <w:tc>
          <w:tcPr>
            <w:tcW w:w="114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w w:val="97"/>
              </w:rPr>
              <w:t>99,835,097</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998</w:t>
            </w:r>
          </w:p>
        </w:tc>
        <w:tc>
          <w:tcPr>
            <w:tcW w:w="200" w:type="dxa"/>
            <w:vAlign w:val="bottom"/>
            <w:gridSpan w:val="2"/>
            <w:shd w:val="clear" w:color="auto" w:fill="EAF9E8"/>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458,822</w:t>
            </w:r>
          </w:p>
        </w:tc>
        <w:tc>
          <w:tcPr>
            <w:tcW w:w="120" w:type="dxa"/>
            <w:vAlign w:val="bottom"/>
            <w:tcBorders>
              <w:right w:val="single" w:sz="8" w:color="EAF9E8"/>
            </w:tcBorders>
            <w:shd w:val="clear" w:color="auto" w:fill="EAF9E8"/>
          </w:tcPr>
          <w:p>
            <w:pPr>
              <w:spacing w:after="0"/>
              <w:rPr>
                <w:sz w:val="20"/>
                <w:szCs w:val="20"/>
                <w:color w:val="auto"/>
              </w:rPr>
            </w:pPr>
          </w:p>
        </w:tc>
        <w:tc>
          <w:tcPr>
            <w:tcW w:w="200" w:type="dxa"/>
            <w:vAlign w:val="bottom"/>
            <w:shd w:val="clear" w:color="auto" w:fill="EAF9E8"/>
          </w:tcPr>
          <w:p>
            <w:pPr>
              <w:jc w:val="right"/>
              <w:ind w:right="3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395,809</w:t>
            </w:r>
          </w:p>
        </w:tc>
        <w:tc>
          <w:tcPr>
            <w:tcW w:w="380" w:type="dxa"/>
            <w:vAlign w:val="bottom"/>
            <w:tcBorders>
              <w:left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1,569</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262</w:t>
            </w: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857,460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left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For the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28,068</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22,103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Premium amortization and discount accretion</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Depreciation and other amortization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Write-off of investment in commercial real estate partnership</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Reversal of valuation allowance on mortgage servicing assets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Reversal of valuation allowance on discontinued operations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Loss (gain) on trading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2,626</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(increase) in deferred tax assets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Net cash provided by trading activities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168,853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provided by loans held for resale activities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Decrease in advances and match funded advances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204,343</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187,669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Decrease (increase) in receivables and other assets, net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(19,885)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Decrease in servicer liabilities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(36,304)</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(76,294)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Increase in other liabilities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44,912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8,871</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top w:val="single" w:sz="8" w:color="EAF9E8"/>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434,582</w:t>
            </w:r>
          </w:p>
        </w:tc>
        <w:tc>
          <w:tcPr>
            <w:tcW w:w="240" w:type="dxa"/>
            <w:vAlign w:val="bottom"/>
            <w:tcBorders>
              <w:top w:val="single" w:sz="8" w:color="EAF9E8"/>
            </w:tcBorders>
          </w:tcPr>
          <w:p>
            <w:pPr>
              <w:spacing w:after="0"/>
              <w:rPr>
                <w:sz w:val="19"/>
                <w:szCs w:val="19"/>
                <w:color w:val="auto"/>
              </w:rPr>
            </w:pPr>
          </w:p>
        </w:tc>
        <w:tc>
          <w:tcPr>
            <w:tcW w:w="200" w:type="dxa"/>
            <w:vAlign w:val="bottom"/>
            <w:tcBorders>
              <w:top w:val="single" w:sz="8" w:color="EAF9E8"/>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229,529</w:t>
            </w:r>
          </w:p>
        </w:tc>
        <w:tc>
          <w:tcPr>
            <w:tcW w:w="100" w:type="dxa"/>
            <w:vAlign w:val="bottom"/>
            <w:tcBorders>
              <w:top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mortgage servicing rights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(23,425)</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6"/>
              </w:rPr>
              <w:t>Acquisition of advances and other assets in connection with the purchase of mortgage servicing rights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(528,882)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Distributions of capital from unconsolidated entities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3,542</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Cash paid to acquire HomEq Servicing (a business within Barclays Bank PLC)</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(1,167,122)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 to premises and equipment</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(3,261)</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Proceeds from sales of real estate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Increase in restricted cash – for securitization investors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Principal payments received on loans – restricted for securitization investors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tcBorders>
            <w:shd w:val="clear" w:color="auto" w:fill="EAF9E8"/>
          </w:tcPr>
          <w:p>
            <w:pPr>
              <w:spacing w:after="0"/>
              <w:rPr>
                <w:sz w:val="19"/>
                <w:szCs w:val="19"/>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360" w:type="dxa"/>
            <w:vAlign w:val="bottom"/>
            <w:tcBorders>
              <w:bottom w:val="single" w:sz="8" w:color="auto"/>
            </w:tcBorders>
            <w:shd w:val="clear" w:color="auto" w:fill="EAF9E8"/>
          </w:tcPr>
          <w:p>
            <w:pPr>
              <w:spacing w:after="0"/>
              <w:rPr>
                <w:sz w:val="19"/>
                <w:szCs w:val="19"/>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(1,711,776)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Distribution of cash in connection with the Spin-off of Altisource Portfolio Solutions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Proceeds from (repayment of) match funded liabilities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1,140,655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secured borrowings – owed to securitization investors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(7,487)</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Proceeds from lines of credit and other secured borrowings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448,316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lines of credit and other secured borrowings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(63,018)</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Repayment of investment line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(156,968)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Repurchase of debt securities</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(11,659)</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Issuance of common stock</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335,167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Exercise of common stock options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(2,034)</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shd w:val="clear" w:color="auto" w:fill="EAF9E8"/>
          </w:tcPr>
          <w:p>
            <w:pPr>
              <w:spacing w:after="0"/>
              <w:rPr>
                <w:sz w:val="2"/>
                <w:szCs w:val="2"/>
                <w:color w:val="auto"/>
              </w:rPr>
            </w:pPr>
          </w:p>
        </w:tc>
        <w:tc>
          <w:tcPr>
            <w:tcW w:w="5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cash provided (used) by financing activities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1,350,186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(227,549)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3"/>
              </w:rPr>
              <w:t>For the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AF9E8"/>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72,992</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shd w:val="clear" w:color="auto" w:fill="EAF9E8"/>
          </w:tcPr>
          <w:p>
            <w:pPr>
              <w:spacing w:after="0"/>
              <w:rPr>
                <w:sz w:val="20"/>
                <w:szCs w:val="20"/>
                <w:color w:val="auto"/>
              </w:rPr>
            </w:pPr>
            <w:r>
              <w:rPr>
                <w:rFonts w:ascii="Arial" w:cs="Arial" w:eastAsia="Arial" w:hAnsi="Arial"/>
                <w:sz w:val="18"/>
                <w:szCs w:val="18"/>
                <w:color w:val="auto"/>
              </w:rPr>
              <w:t>Cash at end of period</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163,911</w:t>
            </w:r>
          </w:p>
        </w:tc>
        <w:tc>
          <w:tcPr>
            <w:tcW w:w="5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195,854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spacing w:after="0" w:line="201" w:lineRule="exact"/>
              <w:rPr>
                <w:sz w:val="20"/>
                <w:szCs w:val="20"/>
                <w:color w:val="auto"/>
              </w:rPr>
            </w:pPr>
            <w:r>
              <w:rPr>
                <w:rFonts w:ascii="Arial" w:cs="Arial" w:eastAsia="Arial" w:hAnsi="Arial"/>
                <w:sz w:val="18"/>
                <w:szCs w:val="18"/>
                <w:color w:val="auto"/>
              </w:rPr>
              <w:t>Net assets distributed in connection with the spin-off of Altisource Portfolio Solutions S.A. (formerly Ocwen</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Solutions), excluding cash</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Supplemental business acquisition information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AF9E8"/>
          </w:tcPr>
          <w:p>
            <w:pPr>
              <w:spacing w:after="0"/>
              <w:rPr>
                <w:sz w:val="20"/>
                <w:szCs w:val="20"/>
                <w:color w:val="auto"/>
              </w:rPr>
            </w:pPr>
            <w:r>
              <w:rPr>
                <w:rFonts w:ascii="Arial" w:cs="Arial" w:eastAsia="Arial" w:hAnsi="Arial"/>
                <w:sz w:val="18"/>
                <w:szCs w:val="18"/>
                <w:color w:val="auto"/>
              </w:rPr>
              <w:t>Fair value of assets acquired</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Advances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(1,062,873)</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w:t>
            </w: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(84,683)</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(8,008)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(19,457)</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(1,423)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(1,176,444)</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Fair value of liabilities assumed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EAF9E8"/>
          </w:tcPr>
          <w:p>
            <w:pPr>
              <w:spacing w:after="0"/>
              <w:rPr>
                <w:sz w:val="19"/>
                <w:szCs w:val="19"/>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9,322</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360" w:type="dxa"/>
            <w:vAlign w:val="bottom"/>
            <w:tcBorders>
              <w:bottom w:val="single" w:sz="8" w:color="auto"/>
            </w:tcBorders>
            <w:shd w:val="clear" w:color="auto" w:fill="EAF9E8"/>
          </w:tcPr>
          <w:p>
            <w:pPr>
              <w:spacing w:after="0"/>
              <w:rPr>
                <w:sz w:val="19"/>
                <w:szCs w:val="19"/>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paid</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(1,167,122)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Less cash acquired</w:t>
            </w:r>
          </w:p>
        </w:tc>
        <w:tc>
          <w:tcPr>
            <w:tcW w:w="220" w:type="dxa"/>
            <w:vAlign w:val="bottom"/>
            <w:tcBorders>
              <w:bottom w:val="single" w:sz="8" w:color="auto"/>
            </w:tcBorders>
            <w:shd w:val="clear" w:color="auto" w:fill="EAF9E8"/>
          </w:tcPr>
          <w:p>
            <w:pPr>
              <w:spacing w:after="0"/>
              <w:rPr>
                <w:sz w:val="19"/>
                <w:szCs w:val="19"/>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360" w:type="dxa"/>
            <w:vAlign w:val="bottom"/>
            <w:tcBorders>
              <w:bottom w:val="single" w:sz="8" w:color="auto"/>
            </w:tcBorders>
            <w:shd w:val="clear" w:color="auto" w:fill="EAF9E8"/>
          </w:tcPr>
          <w:p>
            <w:pPr>
              <w:spacing w:after="0"/>
              <w:rPr>
                <w:sz w:val="19"/>
                <w:szCs w:val="19"/>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cash paid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(1,167,122)</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5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Ocwen Financial Corporation (NYSE: OCN) (Ocwen or OCN), through its subsidiaries, is a leading provider of residential and commercial mortgage loan servicing, special servicing and asset management services. Ocwen is headquartered in West Palm Beach, Florida with offices in California, the District of Columbia, Florida, Georgia and global operations in India and Uruguay. Ocwen is a Florida corporation organized in February 1988. Ocwen Loan Servicing, LLC (OLS), a wholly-owned subsidiary of Ocwen, is a licensed mortgage servicer in all 50 states, the District of Columbia and two U.S. territories.</w:t>
      </w:r>
    </w:p>
    <w:p>
      <w:pPr>
        <w:spacing w:after="0" w:line="21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At September 30, 2010, Ocwen owned all of the outstanding stock of its primary subsidiaries: OLS; Ocwen Financial Solutions, Private Limited (OFSPL); and Investors Mortgage Insurance Holding Company. OCN also holds a 25% interest in Ocwen Structured Investments, LLC (OSI) and an approximate 25% interest in Ocwen Nonperforming Loans, LLC (ONL) and Ocwen REO, LLC (OREO). While OCN continues to own 70% of Global Servicing Solutions, LLC (GSS) with the remaining 30% interest held by ML IBK Positions, Inc., GSS had no material operations during the first nine months of 2010 and 2009 and no material assets as of September 30, 2010. Ocwen holds a 45% interest in BMS Holdings, Inc. (BMS Holdings) which had as its principal asset the equity ownership of Bankruptcy Management Solutions, Inc. (BMS). Effective October 1, 2010, BMS Holdings no longer owns any interest in BMS (See Note 26).</w:t>
      </w:r>
    </w:p>
    <w:p>
      <w:pPr>
        <w:spacing w:after="0" w:line="21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August 10, 2009, we completed the distribution of our Ocwen Solutions line of business, except for BMS Holdings and GSS, via the spin-off of a separate publicly-traded company, Altisource Portfolio Solutions S.A. (Altisource). Altisource common stock is listed on the NASDAQ market under the ticker symbol “ASPS.” We distributed all of the shares of Altisource common stock to OCN’s shareholders of record as of August 4, 2009 (the Separation). We eliminated the assets and liabilities of Altisource from our Consolidated Balance Sheet effective at the close of business on August 9, 2009. Beginning August 10, 2009, the operating results of Altisource are no longer included in our operating results. We do not report the historical operating results of Altisource as a discontinued operation because of the significance of the continuing involvement between Altisource and Ocwen under the long-term services agreements described in Note 24. Accordingly, for periods prior to August 10, 2009, the historical operating results of Altisource are presented in continuing operations.</w:t>
      </w:r>
    </w:p>
    <w:p>
      <w:pPr>
        <w:spacing w:after="0" w:line="219"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On September 1, 2010, Ocwen, through OLS, completed its acquisition (the “HomEq Acquisition”) of the U.S. non-prime mortgage servicing business known as “HomEq Servicing” including, but not limited to, the mortgage servicing rights and associated servicer advances of the business as well as the servicing platforms based in Sacramento, California and Raleigh, North Carolina. See Note 3 for additional information regarding the HomEq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ind w:right="820" w:firstLine="324"/>
        <w:spacing w:after="0" w:line="264" w:lineRule="auto"/>
        <w:rPr>
          <w:sz w:val="20"/>
          <w:szCs w:val="20"/>
          <w:color w:val="auto"/>
        </w:rPr>
      </w:pPr>
      <w:r>
        <w:rPr>
          <w:rFonts w:ascii="Arial" w:cs="Arial" w:eastAsia="Arial" w:hAnsi="Arial"/>
          <w:sz w:val="18"/>
          <w:szCs w:val="18"/>
          <w:color w:val="auto"/>
        </w:rPr>
        <w:t>Certain amounts included in our 2009 consolidated financial statements have been reclassified to conform to the 2010 presentation, including retrospective application of new accounting pronouncements adopted January 1, 2010. See Note 2 for information regarding our adoption of recent accounting pronouncements.</w:t>
      </w:r>
    </w:p>
    <w:p>
      <w:pPr>
        <w:spacing w:after="0" w:line="208"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financial statements contain all adjustments, consisting only of normal recurring accruals, necessary for a fair presentation. The results of operations and other data for the three and nine months ended September 30, 2010 are not necessarily indicative of the results that may be expected for any other interim period or for the entire year e nding December 31, 2010. The unaudited interim consolidated financial statements presented herein should be read in conjunction with the audited consolidated financial statements and related notes thereto included in our Annual Report on Form 10-K for the year ended December 31, 2009.</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that we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valuation of securities, loans held for resale, mortgage servicing rights (MSRs), deferred tax assets and goodwill and other components of the HomEq purchase price allocation.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financial statements include the accounts of Ocwen and its majority-owned subsidiaries. We apply the equity method of accounting to investments when the entity is not a variable interest entity (VIE) and we are able to exercise significant influence, but not control, over the policies and procedures of the entity but own less than 50% of the voting securities. We have eliminated intercompany accounts and transactions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9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the match funded financing facilities discussed below are VIEs of which we are the primary beneficiary. We have also determined that we are the primary beneficiary for certain residential mortgage loan securitization trusts. The accounts of these SPEs are included in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52"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Ocwen or its subsidiaries have been a transferor in connection with a number of securitizations or asset-backed financing arrangements. As of January 1, 2010, we had continuing involvement with the financial assets of eight of these securitizations or asset-backed financing arrangements. We also hold residual interests in and are the servicer for three securitizations where we were not a transferor.</w:t>
      </w:r>
    </w:p>
    <w:p>
      <w:pPr>
        <w:spacing w:after="0" w:line="20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aggregated these securitizations and asset-backed financing arrangements into two groups: (1) securitizations of residential mortgage loans and (2) financings of advances on loans serviced for others.</w:t>
      </w:r>
    </w:p>
    <w:p>
      <w:pPr>
        <w:spacing w:after="0" w:line="197"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In prior years, we securitized residential mortgage loans using certain trusts. These transactions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sales even though we continued to be involved with the trusts, typically by acting as the servicer or sub-servicer for the loans held by the trust and by retaining a beneficial ownership interest in the trust. The beneficial interests we held consisted of both subordinate and residual securities that were either retained at the time of the securitization or acquired subsequently.</w:t>
      </w:r>
    </w:p>
    <w:p>
      <w:pPr>
        <w:spacing w:after="0" w:line="214"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As a result of our adoption of Accounting Standards Update (ASU) No. 2009-16 (ASC 860, Transfers and Servicing) and ASU 2009-17 (ASC 810, Consolidation), we have included four of these trusts in our consolidated financial statements. The remaining trusts are currently excluded from our consolidated financial statements because we have determined that Ocwen is not the primary beneficiary.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determined that Ocwen is the primary beneficiary of the consolidated securitization trusts because:</w:t>
      </w:r>
    </w:p>
    <w:p>
      <w:pPr>
        <w:spacing w:after="0" w:line="252" w:lineRule="exact"/>
        <w:rPr>
          <w:sz w:val="20"/>
          <w:szCs w:val="20"/>
          <w:color w:val="auto"/>
        </w:rPr>
      </w:pPr>
    </w:p>
    <w:p>
      <w:pPr>
        <w:ind w:left="1160" w:right="380" w:hanging="693"/>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the servicer we have the right to direct the activities that most significantly impact the economic performance of the trusts through our ability to manage the delinquent assets of the trusts and</w:t>
      </w:r>
    </w:p>
    <w:p>
      <w:pPr>
        <w:spacing w:after="0" w:line="170" w:lineRule="exact"/>
        <w:rPr>
          <w:rFonts w:ascii="Arial" w:cs="Arial" w:eastAsia="Arial" w:hAnsi="Arial"/>
          <w:sz w:val="18"/>
          <w:szCs w:val="18"/>
          <w:color w:val="auto"/>
        </w:rPr>
      </w:pPr>
    </w:p>
    <w:p>
      <w:pPr>
        <w:ind w:left="1160" w:hanging="693"/>
        <w:spacing w:after="0" w:line="264"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holder of all or a portion of the residual tranches of the securities issued by the trust, we have the obligation to absorb losses of the trusts, to the extent of the value of our investment, and the right to receive benefits from the trust both of which could potentially be significant to the trusts.</w:t>
      </w:r>
    </w:p>
    <w:p>
      <w:pPr>
        <w:spacing w:after="0" w:line="208"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Upon adoption of ASU 2009-17 (ASC 810, Consolidation) on January 1, 2010 we began consolidating the four trusts and recorded a $75,506 increase in total assets, a $73,232 increase in liabilities and a $2,274 increase in the opening balance of retained earnings. Included in these amounts were the following transition adjustments:</w:t>
      </w:r>
    </w:p>
    <w:p>
      <w:pPr>
        <w:spacing w:after="0" w:line="208" w:lineRule="exact"/>
        <w:rPr>
          <w:sz w:val="20"/>
          <w:szCs w:val="20"/>
          <w:color w:val="auto"/>
        </w:rPr>
      </w:pPr>
    </w:p>
    <w:p>
      <w:pPr>
        <w:ind w:left="1160" w:hanging="69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$1,755 of cash held by the trusts (Restricted cash – for securitization investors);</w:t>
      </w:r>
    </w:p>
    <w:p>
      <w:pPr>
        <w:spacing w:after="0" w:line="225" w:lineRule="exact"/>
        <w:rPr>
          <w:rFonts w:ascii="Arial" w:cs="Arial" w:eastAsia="Arial" w:hAnsi="Arial"/>
          <w:sz w:val="18"/>
          <w:szCs w:val="18"/>
          <w:color w:val="auto"/>
        </w:rPr>
      </w:pPr>
    </w:p>
    <w:p>
      <w:pPr>
        <w:ind w:left="1160" w:right="700" w:hanging="693"/>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loans held by the trust with an unpaid principal balance (UPB) of $77,939 (Loans, net – restricted for securitization investors), including $14,780 of non-performing collateral;</w:t>
      </w:r>
    </w:p>
    <w:p>
      <w:pPr>
        <w:spacing w:after="0" w:line="170" w:lineRule="exact"/>
        <w:rPr>
          <w:rFonts w:ascii="Arial" w:cs="Arial" w:eastAsia="Arial" w:hAnsi="Arial"/>
          <w:sz w:val="18"/>
          <w:szCs w:val="18"/>
          <w:color w:val="auto"/>
        </w:rPr>
      </w:pPr>
    </w:p>
    <w:p>
      <w:pPr>
        <w:ind w:left="1160" w:hanging="69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Recording of an allowance for loan losses of $4,461, not previously required, for the newly consolidated loans;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$2,346 of real estate owned from the trusts (included in Other assets);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$72,918 of certificates issued by the trusts (Secured borrowings – owed to securitization investors);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1" w:name="page12"/>
    <w:bookmarkEnd w:id="11"/>
    <w:p>
      <w:pPr>
        <w:ind w:left="1160" w:right="180" w:hanging="693"/>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Elimination of our $3,634 investment in trading securities that were issued by the newly consolidated trusts against $867 of the face amount of the related certificates and retained earnings;</w:t>
      </w:r>
    </w:p>
    <w:p>
      <w:pPr>
        <w:spacing w:after="0" w:line="170" w:lineRule="exact"/>
        <w:rPr>
          <w:rFonts w:ascii="Arial" w:cs="Arial" w:eastAsia="Arial" w:hAnsi="Arial"/>
          <w:sz w:val="18"/>
          <w:szCs w:val="18"/>
          <w:color w:val="auto"/>
        </w:rPr>
      </w:pPr>
    </w:p>
    <w:p>
      <w:pPr>
        <w:ind w:left="1160" w:right="420" w:hanging="693"/>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Recording of net deferred tax assets of $1,561, principally related to establishing an allowance for loan losses for the newly consolidated loans; and</w:t>
      </w:r>
    </w:p>
    <w:p>
      <w:pPr>
        <w:spacing w:after="0" w:line="170" w:lineRule="exact"/>
        <w:rPr>
          <w:rFonts w:ascii="Arial" w:cs="Arial" w:eastAsia="Arial" w:hAnsi="Arial"/>
          <w:sz w:val="18"/>
          <w:szCs w:val="18"/>
          <w:color w:val="auto"/>
        </w:rPr>
      </w:pPr>
    </w:p>
    <w:p>
      <w:pPr>
        <w:ind w:left="1160" w:right="160" w:hanging="693"/>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Recording of $1,181 of other liabilities representing accrued interest payable and the fair value of interest rate swap instruments entered into by one of the consolidated trusts.</w:t>
      </w:r>
    </w:p>
    <w:p>
      <w:pPr>
        <w:spacing w:after="0" w:line="19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consolidation of the four trusts on January 1, 2010 did not affect Cash and, therefore, the transition adjustments are not reported in the Consolidated Statement of Cash Flows.</w:t>
      </w:r>
    </w:p>
    <w:p>
      <w:pPr>
        <w:spacing w:after="0" w:line="19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Consolidated Statement of Operations for the three and nine months ended September 30, 2009 and our Consolidated Balance Sheet at December 31, 2009 have not been retroactively adjusted to reflect the effect of our adoption of ASU 2009-16 and ASU 2009-17. Therefore, current period results and balances will not be comparable to prior period amounts particularly with regard to the following:</w:t>
      </w:r>
    </w:p>
    <w:p>
      <w:pPr>
        <w:spacing w:after="0" w:line="208" w:lineRule="exact"/>
        <w:rPr>
          <w:sz w:val="20"/>
          <w:szCs w:val="20"/>
          <w:color w:val="auto"/>
        </w:rPr>
      </w:pPr>
    </w:p>
    <w:p>
      <w:pPr>
        <w:ind w:left="1160" w:hanging="693"/>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Trading securities (Subordinates and residuals)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Loans, net – restricted for securitization investors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tax assets, net</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Secured borrowings – owed to securitization investors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Gain (loss) on trading securities</w:t>
      </w:r>
    </w:p>
    <w:p>
      <w:pPr>
        <w:spacing w:after="0" w:line="25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Beginning January 1, 2010, interest income on the securities that we hold that were issued by the securitization trusts is eliminated in consolidation against the interest expense of the trusts.</w:t>
      </w:r>
    </w:p>
    <w:p>
      <w:pPr>
        <w:spacing w:after="0" w:line="19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Ocwen has no obligation to provide financial support to the trusts and has provided no such support. The creditors of the trusts can look only to the assets of the trusts themselves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and subordinate securities of the trusts, our mortgage servicing rights that are related to the trusts and our advances to the trusts.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table presents a summary of the involvement of Ocwen with seven unconsolidated securitization trusts and summary financial information for the trusts. Although we are the servicer for these trusts, the residual interests that we hold in these entities have little to no value. As a result, we are exposed to no loss from these holdings. Further, since our valuation of the residual interest is based on anticipated cash flows, we are unlikely to receive any future benefits from our residual interests in these trusts.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w w:val="92"/>
              </w:rPr>
              <w:t>Three months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Total cash received on beneficial interests held</w:t>
            </w:r>
          </w:p>
        </w:tc>
        <w:tc>
          <w:tcPr>
            <w:tcW w:w="1140" w:type="dxa"/>
            <w:vAlign w:val="bottom"/>
            <w:gridSpan w:val="2"/>
            <w:shd w:val="clear" w:color="auto" w:fill="EAF9E8"/>
          </w:tcPr>
          <w:p>
            <w:pPr>
              <w:jc w:val="right"/>
              <w:ind w:right="6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spacing w:after="0"/>
              <w:rPr>
                <w:sz w:val="18"/>
                <w:szCs w:val="18"/>
                <w:color w:val="auto"/>
              </w:rPr>
            </w:pPr>
          </w:p>
        </w:tc>
        <w:tc>
          <w:tcPr>
            <w:tcW w:w="5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w:t>
            </w:r>
          </w:p>
        </w:tc>
        <w:tc>
          <w:tcPr>
            <w:tcW w:w="70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18"/>
                <w:szCs w:val="18"/>
                <w:color w:val="auto"/>
              </w:rPr>
            </w:pP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w:t>
            </w: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servicing and subservicing fee revenues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2,820</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3,102</w:t>
            </w:r>
          </w:p>
        </w:tc>
      </w:tr>
      <w:tr>
        <w:trPr>
          <w:trHeight w:val="45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84"/>
              </w:rPr>
              <w:t>As of</w:t>
            </w: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8"/>
              </w:rPr>
              <w:t>September 30, 2010</w:t>
            </w:r>
          </w:p>
        </w:tc>
        <w:tc>
          <w:tcPr>
            <w:tcW w:w="440" w:type="dxa"/>
            <w:vAlign w:val="bottom"/>
          </w:tcPr>
          <w:p>
            <w:pPr>
              <w:spacing w:after="0"/>
              <w:rPr>
                <w:sz w:val="19"/>
                <w:szCs w:val="19"/>
                <w:color w:val="auto"/>
              </w:rPr>
            </w:pPr>
          </w:p>
        </w:tc>
        <w:tc>
          <w:tcPr>
            <w:tcW w:w="18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9"/>
              </w:rPr>
              <w:t>December 31, 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Total servicing advances</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gridSpan w:val="3"/>
            <w:shd w:val="clear" w:color="auto" w:fill="EAF9E8"/>
          </w:tcPr>
          <w:p>
            <w:pPr>
              <w:jc w:val="right"/>
              <w:ind w:right="43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17,110</w:t>
            </w:r>
          </w:p>
        </w:tc>
        <w:tc>
          <w:tcPr>
            <w:tcW w:w="68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19,027</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beneficial interests held at fair value (1)</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Total mortgage servicing rights at amortized cost</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1,395</w:t>
            </w:r>
          </w:p>
        </w:tc>
        <w:tc>
          <w:tcPr>
            <w:tcW w:w="4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1,659</w:t>
            </w:r>
          </w:p>
        </w:tc>
      </w:tr>
    </w:tbl>
    <w:p>
      <w:pPr>
        <w:spacing w:after="0" w:line="229" w:lineRule="exact"/>
        <w:rPr>
          <w:sz w:val="20"/>
          <w:szCs w:val="20"/>
          <w:color w:val="auto"/>
        </w:rPr>
      </w:pPr>
    </w:p>
    <w:p>
      <w:pPr>
        <w:ind w:left="460" w:right="24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investments in subordinate and residual securities that we retained in connection with the loan securitization transactions completed in prior years.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right="300" w:firstLine="324"/>
        <w:spacing w:after="0" w:line="276" w:lineRule="auto"/>
        <w:rPr>
          <w:sz w:val="20"/>
          <w:szCs w:val="20"/>
          <w:color w:val="auto"/>
        </w:rPr>
      </w:pPr>
      <w:r>
        <w:rPr>
          <w:rFonts w:ascii="Arial" w:cs="Arial" w:eastAsia="Arial" w:hAnsi="Arial"/>
          <w:sz w:val="17"/>
          <w:szCs w:val="17"/>
          <w:color w:val="auto"/>
        </w:rPr>
        <w:t>With regard to these unconsolidated securitization trusts, we have no obligation to provide financial support to the trusts and have provided no such support. Our exposure to loss as a result of our continuing involvement is limited to the carrying values of our investments in the residual and subordinate securities of the trusts, our mortgage servicing rights that are related to the trusts and our advances to the trusts. We consider the probability of loss arising from our advances to be remote because of their position ahead of most of the other liabilities of the trusts. See Note 5, Note 6, Note 7 and Note 9 for additional information regarding Trading securities, Advances, Match funded advances and Mortgage servicing rights.</w:t>
      </w:r>
    </w:p>
    <w:p>
      <w:pPr>
        <w:spacing w:after="0" w:line="200"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i w:val="1"/>
          <w:iCs w:val="1"/>
          <w:color w:val="auto"/>
        </w:rPr>
        <w:t xml:space="preserve">Match Funded Advances on Loans Serviced for Others. </w:t>
      </w:r>
      <w:r>
        <w:rPr>
          <w:rFonts w:ascii="Arial" w:cs="Arial" w:eastAsia="Arial" w:hAnsi="Arial"/>
          <w:sz w:val="16"/>
          <w:szCs w:val="16"/>
          <w:color w:val="auto"/>
        </w:rPr>
        <w:t>Match funded advances on loans serviced for others result from our transfers of residential loan</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advances to SPEs in exchange for cash. These SPEs issue debt supported by collections on the transferred advances. We made these transfers under the terms of five advance facility agreements. These transfers do not qualify for sales accounting because we retain control over the transferred assets. As a result, we account for these transfers as financings and classify the transferred advances on our Consolidated Balance Sheet as Match funded advances and the related liabilities as Match funded liabilities. Collections on the advances pledged to the SPEs are used to repay principal and interest and to pay the expenses of the en tity. Holders of the debt issued by these entities can look only to the assets of the entities themselves for satisfaction of the debt and have no recourse against OCN. However, OLS has guaranteed the payment of the obligations under the securitization documents of one of the entities, Ocwen Servicer Advance Funding (Wachovia), LLC (OSAFW). The maximum amount payable under the guarantee is limited to 10% of the notes outstanding at the end of the facility’s revolving period on May 5, 2011. As of September 30, 2010, OSAFW had $258,386 of notes outstanding.</w:t>
      </w:r>
    </w:p>
    <w:p>
      <w:pPr>
        <w:spacing w:after="0" w:line="194"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summarizes the assets and liabilities of the SPEs formed in connection with our match funded advance facilities, at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September 30, 2010</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color w:val="auto"/>
              </w:rPr>
              <w:t>Match funded advances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2,126,991</w:t>
            </w:r>
          </w:p>
        </w:tc>
        <w:tc>
          <w:tcPr>
            <w:tcW w:w="5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822,615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82,211</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2,209,202</w:t>
            </w:r>
          </w:p>
        </w:tc>
        <w:tc>
          <w:tcPr>
            <w:tcW w:w="5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841,958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1,606,346</w:t>
            </w:r>
          </w:p>
        </w:tc>
        <w:tc>
          <w:tcPr>
            <w:tcW w:w="5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Due to affiliates (1)</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106,727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136,860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EAF9E8"/>
          </w:tcPr>
          <w:p>
            <w:pPr>
              <w:spacing w:after="0"/>
              <w:rPr>
                <w:sz w:val="19"/>
                <w:szCs w:val="19"/>
                <w:color w:val="auto"/>
              </w:rPr>
            </w:pPr>
          </w:p>
        </w:tc>
        <w:tc>
          <w:tcPr>
            <w:tcW w:w="1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3,172</w:t>
            </w:r>
          </w:p>
        </w:tc>
        <w:tc>
          <w:tcPr>
            <w:tcW w:w="44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1,716,245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603,901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are payable to Ocwen and its consolidated affiliates and eliminated in consolidation.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ind w:right="360" w:firstLine="324"/>
        <w:spacing w:after="0" w:line="297" w:lineRule="auto"/>
        <w:rPr>
          <w:sz w:val="20"/>
          <w:szCs w:val="20"/>
          <w:color w:val="auto"/>
        </w:rPr>
      </w:pPr>
      <w:r>
        <w:rPr>
          <w:rFonts w:ascii="Arial" w:cs="Arial" w:eastAsia="Arial" w:hAnsi="Arial"/>
          <w:sz w:val="16"/>
          <w:szCs w:val="16"/>
          <w:color w:val="auto"/>
        </w:rPr>
        <w:t>Certain immaterial amounts in our 2009 consolidated financial statements have been reclassified to conform to the 2010 presentation. In the fourth quarter of 2009, we reclassified gains and losses on debt redemptions to Other, net on the Consolidated Statements of Operations. On the Consolidated Statements of Changes in Equity, we condensed share-based compensation amounts and associated excess tax benefits into one line item, Equity-based compensation. Within the operating activities section of the Consolidated Statements of Cash Flows we condensed several immaterial items to Other, net. Similarly, in the financing section of the Consolidated Statements of Cash Flows we condensed several immaterial items to Other.</w:t>
      </w:r>
    </w:p>
    <w:p>
      <w:pPr>
        <w:spacing w:after="0" w:line="18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In June 2009, the Financial Accounting Standards Board (FASB) issued SFAS No. 168, </w:t>
      </w:r>
      <w:r>
        <w:rPr>
          <w:rFonts w:ascii="Arial" w:cs="Arial" w:eastAsia="Arial" w:hAnsi="Arial"/>
          <w:sz w:val="18"/>
          <w:szCs w:val="18"/>
          <w:i w:val="1"/>
          <w:iCs w:val="1"/>
          <w:color w:val="auto"/>
        </w:rPr>
        <w:t>The FASB Accounting Standards Codification and the Hierarchy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Generally Accepted Accounting Principles. </w:t>
      </w:r>
      <w:r>
        <w:rPr>
          <w:rFonts w:ascii="Arial" w:cs="Arial" w:eastAsia="Arial" w:hAnsi="Arial"/>
          <w:sz w:val="18"/>
          <w:szCs w:val="18"/>
          <w:color w:val="auto"/>
        </w:rPr>
        <w:t>This establishes the FASB Accounting Standards Codification (ASC) as the only source of authoritative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recognized by the FASB to be applied by nongovernmental entities in the preparation of financial statements in conformity with GAAP, with the exception of Statements of Financial Accounting Standards not yet included in the Codification.</w:t>
      </w:r>
    </w:p>
    <w:p>
      <w:pPr>
        <w:spacing w:after="0" w:line="21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 xml:space="preserve">ASU 2009-16 (ASC 860, Transfers and Servicing). </w:t>
      </w:r>
      <w:r>
        <w:rPr>
          <w:rFonts w:ascii="Arial" w:cs="Arial" w:eastAsia="Arial" w:hAnsi="Arial"/>
          <w:sz w:val="17"/>
          <w:szCs w:val="17"/>
          <w:color w:val="auto"/>
        </w:rPr>
        <w:t>This statement eliminates the exceptions for qualifying special purpose entities (QSPE)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guidance (ASC 810) and clarifies that the objective of the standard is to 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currently used and limits t 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ind w:firstLine="324"/>
        <w:spacing w:after="0" w:line="255" w:lineRule="auto"/>
        <w:rPr>
          <w:sz w:val="20"/>
          <w:szCs w:val="20"/>
          <w:color w:val="auto"/>
        </w:rPr>
      </w:pPr>
      <w:r>
        <w:rPr>
          <w:rFonts w:ascii="Arial" w:cs="Arial" w:eastAsia="Arial" w:hAnsi="Arial"/>
          <w:sz w:val="18"/>
          <w:szCs w:val="18"/>
          <w:color w:val="auto"/>
        </w:rPr>
        <w:t>This statement defines the term participating interest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22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provisions for guaranteed mortgage securitizations are removed to require those securitizations to be treated the same as any other transfer of financial assets within the scope of the standard. If such a transfer does not meet the requirements for sale accounting, the securitized mortgage loans should continue to be classified as loans in the transferor’s statement of financial position.</w:t>
      </w:r>
    </w:p>
    <w:p>
      <w:pPr>
        <w:spacing w:after="0" w:line="208"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We adopted this standard effective January 1, 2010 as a result of which, we reevaluated certain QSPEs with which we had ongoing relationships as further described under ASU 2009-17, below, and reassessed the adequacy of our disclosures with regard to our servicing assets and servicing liabilities.</w:t>
      </w:r>
    </w:p>
    <w:p>
      <w:pPr>
        <w:spacing w:after="0" w:line="151"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i w:val="1"/>
          <w:iCs w:val="1"/>
          <w:color w:val="auto"/>
        </w:rPr>
        <w:t xml:space="preserve">ASU 2009-17 (ASC 810, Consolidation). </w:t>
      </w:r>
      <w:r>
        <w:rPr>
          <w:rFonts w:ascii="Arial" w:cs="Arial" w:eastAsia="Arial" w:hAnsi="Arial"/>
          <w:sz w:val="18"/>
          <w:szCs w:val="18"/>
          <w:color w:val="auto"/>
        </w:rPr>
        <w:t>This standard requires an enterprise to perform ongoing periodic assessments to determine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variable interest or interests give it a controlling financial interest in a VIE. We adopted this standard effective January 1, 2010. This analysis identifies the primary beneficiary of a VIE as the enterprise that has both of the following characteristics:</w:t>
      </w:r>
    </w:p>
    <w:p>
      <w:pPr>
        <w:spacing w:after="0" w:line="208" w:lineRule="exact"/>
        <w:rPr>
          <w:sz w:val="20"/>
          <w:szCs w:val="20"/>
          <w:color w:val="auto"/>
        </w:rPr>
      </w:pPr>
    </w:p>
    <w:p>
      <w:pPr>
        <w:ind w:left="1160" w:hanging="693"/>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power to direct the activities of a variable interest entity that most significantly impact the entity’s economic performance</w:t>
      </w:r>
    </w:p>
    <w:p>
      <w:pPr>
        <w:spacing w:after="0" w:line="225" w:lineRule="exact"/>
        <w:rPr>
          <w:rFonts w:ascii="Arial" w:cs="Arial" w:eastAsia="Arial" w:hAnsi="Arial"/>
          <w:sz w:val="18"/>
          <w:szCs w:val="18"/>
          <w:color w:val="auto"/>
        </w:rPr>
      </w:pPr>
    </w:p>
    <w:p>
      <w:pPr>
        <w:ind w:left="1160" w:right="60" w:hanging="693"/>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obligation to absorb losses of the entity that could potentially be significant to the VIE or the right to receive benefits from the entity that could potentially be significant to the VIE.</w:t>
      </w:r>
    </w:p>
    <w:p>
      <w:pPr>
        <w:spacing w:after="0" w:line="197"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In addition to reintroducing the concept of control into the determination of the primary beneficiary of a VIE, this statement makes numerous other amendments to the current standards primarily to reflect the elimination of the concept of a QSPE under ASC 860 (above). This statement also amends the current standards to require enhanced disclosures that will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1—Summary of Significant Accounting Policies.</w:t>
      </w:r>
    </w:p>
    <w:p>
      <w:pPr>
        <w:spacing w:after="0" w:line="20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also disclosed in Note 1—Securitizations of Residential Mortgage Loans, we previously excluded certain loan securitization trusts from our consolidated financial statements because each was a QSPE. Effective January 1, 2010, we reevaluated these QSPEs as well as all other potentially significant interests in other unconsolidated entities to determine if we should include them in our consolidated financial statements.</w:t>
      </w:r>
    </w:p>
    <w:p>
      <w:pPr>
        <w:spacing w:after="0" w:line="20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ASU No. 2010-06 (ASC 820, Fair Value Measurements and Disclosures)</w:t>
      </w:r>
      <w:r>
        <w:rPr>
          <w:rFonts w:ascii="Arial" w:cs="Arial" w:eastAsia="Arial" w:hAnsi="Arial"/>
          <w:sz w:val="16"/>
          <w:szCs w:val="16"/>
          <w:color w:val="auto"/>
        </w:rPr>
        <w:t>. ASU 2010-06 revises two disclosure requirements concerning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and clarifies two others. It requires separate presentation of significant transfers into and out of Levels 1 and 2 of the fair value hierarchy and disclosure of the reasons for such transfers. It will also require the presentation of purchases, sales, issuances and settlements within Level 3 on a gross basis rather than a net basis. The amendments also clarify that disclosures should be disaggregated by class of asset or liability and that disclosures about inputs and valuation techniques should be provided for both recurring and non-recurring fair value measurements. These new disclosure requirements became effective for our financ ial statements for the period ended June 30, 2010, except for the requirement concerning gross presentation of Level 3 activity, which will become effective for fiscal years beginning after December 15, 2010. See Note 4 for our fair value disclosures related to financial instruments.</w:t>
      </w:r>
    </w:p>
    <w:p>
      <w:pPr>
        <w:spacing w:after="0" w:line="19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ASU No. 2010-20 (ASC 310, Receivables). </w:t>
      </w:r>
      <w:r>
        <w:rPr>
          <w:rFonts w:ascii="Arial" w:cs="Arial" w:eastAsia="Arial" w:hAnsi="Arial"/>
          <w:sz w:val="18"/>
          <w:szCs w:val="18"/>
          <w:color w:val="auto"/>
        </w:rPr>
        <w:t>On July 21, 2010, the FASB issued ASU 2010-20,</w:t>
      </w:r>
      <w:r>
        <w:rPr>
          <w:rFonts w:ascii="Arial" w:cs="Arial" w:eastAsia="Arial" w:hAnsi="Arial"/>
          <w:sz w:val="18"/>
          <w:szCs w:val="18"/>
          <w:i w:val="1"/>
          <w:iCs w:val="1"/>
          <w:color w:val="auto"/>
        </w:rPr>
        <w:t xml:space="preserve"> Disclosures about the Credit Quality of Financing Receivables and the Allowance for Credit Losses</w:t>
      </w:r>
      <w:r>
        <w:rPr>
          <w:rFonts w:ascii="Arial" w:cs="Arial" w:eastAsia="Arial" w:hAnsi="Arial"/>
          <w:sz w:val="18"/>
          <w:szCs w:val="18"/>
          <w:color w:val="auto"/>
        </w:rPr>
        <w:t>. This standard outlines specific disclosures required for the allowance for credit losses and all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as defined. A finance receivable is defined as a contractual right to receive money on demand or on fixed or determinable dates that is recognized as an asset in the entity’s statement of financial position. This definition includes instruments such as certain trade receivables, notes receivable and lease receivables as well as the instruments more traditionally associated with an allowance for credit loss, such as mortga ge loans, auto loans, credit card loans and other consumer or commercial lending agreements.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4" w:name="page15"/>
    <w:bookmarkEnd w:id="14"/>
    <w:p>
      <w:pPr>
        <w:ind w:right="220" w:firstLine="324"/>
        <w:spacing w:after="0" w:line="255" w:lineRule="auto"/>
        <w:rPr>
          <w:sz w:val="20"/>
          <w:szCs w:val="20"/>
          <w:color w:val="auto"/>
        </w:rPr>
      </w:pPr>
      <w:r>
        <w:rPr>
          <w:rFonts w:ascii="Arial" w:cs="Arial" w:eastAsia="Arial" w:hAnsi="Arial"/>
          <w:sz w:val="18"/>
          <w:szCs w:val="18"/>
          <w:color w:val="auto"/>
        </w:rPr>
        <w:t>A significant change from the current disclosure requirements will be to provide information for both the finance receivables and the related allowance for credit losses at disaggregated levels. The standard introduces two new defined terms that will govern the level of disaggregation. These include a “portfolio segment” and a “class” of financing receivable. A portfolio segment is defined as the level at which an entity determines its allowance for credit losses. For example, this may be by type of receivable, industry or risk. A class of financing receivable is defined as a group of finance receivables determined on the basis of their initial measurement attribute (i.e., amortized cost or purchased credit impaired), risk characteristics, and an entity’s method for monitoring and assessing credit risk.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new guidance requires an entity to provide the extensive disclosures or information for the reporting periods presented including, but not limited to:</w:t>
      </w:r>
    </w:p>
    <w:p>
      <w:pPr>
        <w:spacing w:after="0" w:line="248" w:lineRule="exact"/>
        <w:rPr>
          <w:sz w:val="20"/>
          <w:szCs w:val="20"/>
          <w:color w:val="auto"/>
        </w:rPr>
      </w:pPr>
    </w:p>
    <w:p>
      <w:pPr>
        <w:jc w:val="both"/>
        <w:ind w:left="960" w:right="280" w:hanging="485"/>
        <w:spacing w:after="0" w:line="264" w:lineRule="auto"/>
        <w:rPr>
          <w:sz w:val="20"/>
          <w:szCs w:val="20"/>
          <w:color w:val="auto"/>
        </w:rPr>
      </w:pPr>
      <w:r>
        <w:rPr>
          <w:rFonts w:ascii="Arial" w:cs="Arial" w:eastAsia="Arial" w:hAnsi="Arial"/>
          <w:sz w:val="18"/>
          <w:szCs w:val="18"/>
          <w:color w:val="auto"/>
        </w:rPr>
        <w:t>Presented by portfolio segment: A rollforward schedule of the allowance for credit losses (with the ending allowance balance further disaggregated based on impairment methodology) together with the related ending balance of the finance receivables; and significant purchases and sales of financing receivables.</w:t>
      </w:r>
    </w:p>
    <w:p>
      <w:pPr>
        <w:spacing w:after="0" w:line="181" w:lineRule="exact"/>
        <w:rPr>
          <w:sz w:val="20"/>
          <w:szCs w:val="20"/>
          <w:color w:val="auto"/>
        </w:rPr>
      </w:pPr>
    </w:p>
    <w:p>
      <w:pPr>
        <w:ind w:left="960" w:right="140" w:hanging="485"/>
        <w:spacing w:after="0" w:line="257" w:lineRule="auto"/>
        <w:rPr>
          <w:sz w:val="20"/>
          <w:szCs w:val="20"/>
          <w:color w:val="auto"/>
        </w:rPr>
      </w:pPr>
      <w:r>
        <w:rPr>
          <w:rFonts w:ascii="Arial" w:cs="Arial" w:eastAsia="Arial" w:hAnsi="Arial"/>
          <w:sz w:val="18"/>
          <w:szCs w:val="18"/>
          <w:color w:val="auto"/>
        </w:rPr>
        <w:t>Presented by class: The credit quality of the financing receivables portfolio at the end of the reporting period; the aging of past due financing receivables at the end of the period; the nature and extent of troubled debt restructurings that occurred during the period and their impact on the allowance for credit losses; the nature and extent of troubled debt restructurings, that occurred within the last year, that have defaulted in the current reporting period, and their impact on allowance for credit losses; the nonaccrual status of financing receivables; and impaired financing receivables.</w:t>
      </w:r>
    </w:p>
    <w:p>
      <w:pPr>
        <w:spacing w:after="0" w:line="188"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Disclosures of information as of the end of a reporting period will become effective for both interim and annual reporting periods ending after December 15, 2010. Specific items regarding activity that occurred prior to the issuance of the ASU, such as the allowance rollforward and modification disclosures will be required for periods beginning after December 15, 2010.</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ACQUISITION</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September 1, 2010, Ocwen completed the HomEq Acquisition. The sellers were Barclays Bank PLC, a corporation organized under the laws of England and Wales (Barclays), and Barclays Capital Real Estate Inc., a corporation organized under the laws of the State of Delaware (BCRE). The HomeEq Acquisition was completed in accordance with the provisions of the Asset Purchase Agreement dated May 28, 2010 among Barclays, BCRE, OLS and Ocwen. This transaction did not result in the transfer of ownership of any legal entities.</w:t>
      </w:r>
    </w:p>
    <w:p>
      <w:pPr>
        <w:spacing w:after="0" w:line="187"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Ocwen acquired HomEq Servicing in order to grow its Servicing segment. With the close of the HomEq Acquisition, Ocwen boarded 134,000 residential mortgage loans with an aggregate unpaid principal balance of $22,400,000 onto its servicing platform.</w:t>
      </w:r>
    </w:p>
    <w:p>
      <w:pPr>
        <w:spacing w:after="0" w:line="170" w:lineRule="exact"/>
        <w:rPr>
          <w:sz w:val="20"/>
          <w:szCs w:val="20"/>
          <w:color w:val="auto"/>
        </w:rPr>
      </w:pPr>
    </w:p>
    <w:p>
      <w:pPr>
        <w:jc w:val="both"/>
        <w:ind w:right="40" w:firstLine="324"/>
        <w:spacing w:after="0" w:line="288" w:lineRule="auto"/>
        <w:rPr>
          <w:sz w:val="20"/>
          <w:szCs w:val="20"/>
          <w:color w:val="auto"/>
        </w:rPr>
      </w:pPr>
      <w:r>
        <w:rPr>
          <w:rFonts w:ascii="Arial" w:cs="Arial" w:eastAsia="Arial" w:hAnsi="Arial"/>
          <w:sz w:val="16"/>
          <w:szCs w:val="16"/>
          <w:color w:val="auto"/>
        </w:rPr>
        <w:t>OLS paid an initial aggregate purchase price of $1,196,747 in cash upon completion of the HomEq Acquisition. Of this amount, $852,617 was funded by notes issued by a new $1,011,000 structured servicing advance financing facility, $150,000 was paid from funds held in escrow in accordance with the terms of the new $350,000 senior secured term loan facility and $194,130 consisted of cash and funds borrowed pursuant to the senior secured term loan facility.</w:t>
      </w:r>
    </w:p>
    <w:p>
      <w:pPr>
        <w:ind w:right="140"/>
        <w:spacing w:after="0" w:line="255" w:lineRule="auto"/>
        <w:rPr>
          <w:sz w:val="20"/>
          <w:szCs w:val="20"/>
          <w:color w:val="auto"/>
        </w:rPr>
      </w:pPr>
      <w:r>
        <w:rPr>
          <w:rFonts w:ascii="Arial" w:cs="Arial" w:eastAsia="Arial" w:hAnsi="Arial"/>
          <w:sz w:val="18"/>
          <w:szCs w:val="18"/>
          <w:color w:val="auto"/>
        </w:rPr>
        <w:t>See Note 12 and 14 for additional details regarding the terms of the notes supporting these facilities. The initial purchase price was reduced by $29,625 pursuant to an initial true-up of advances as reflected in the table below and is subject to further true-up under adjustment mechanisms and repurchase rights in limited circumstances.</w:t>
      </w:r>
    </w:p>
    <w:p>
      <w:pPr>
        <w:spacing w:after="0" w:line="19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the assets acquired and liabilities assumed be recognized at their fair values as of the acquisition date. The following table summarizes the preliminary estimate of the fair values of assets acquired and liabilities assumed as part of the HomEq Acquisition: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w:t>
            </w:r>
          </w:p>
        </w:tc>
        <w:tc>
          <w:tcPr>
            <w:tcW w:w="42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84,683</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Advances</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1,062,873</w:t>
            </w:r>
          </w:p>
        </w:tc>
      </w:tr>
      <w:tr>
        <w:trPr>
          <w:trHeight w:val="216"/>
        </w:trPr>
        <w:tc>
          <w:tcPr>
            <w:tcW w:w="20" w:type="dxa"/>
            <w:vAlign w:val="bottom"/>
          </w:tcPr>
          <w:p>
            <w:pPr>
              <w:spacing w:after="0"/>
              <w:rPr>
                <w:sz w:val="18"/>
                <w:szCs w:val="18"/>
                <w:color w:val="auto"/>
              </w:rPr>
            </w:pPr>
          </w:p>
        </w:tc>
        <w:tc>
          <w:tcPr>
            <w:tcW w:w="6140" w:type="dxa"/>
            <w:vAlign w:val="bottom"/>
            <w:shd w:val="clear" w:color="auto" w:fill="EAF9E8"/>
          </w:tcPr>
          <w:p>
            <w:pPr>
              <w:spacing w:after="0"/>
              <w:rPr>
                <w:sz w:val="20"/>
                <w:szCs w:val="20"/>
                <w:color w:val="auto"/>
              </w:rPr>
            </w:pPr>
            <w:r>
              <w:rPr>
                <w:rFonts w:ascii="Arial" w:cs="Arial" w:eastAsia="Arial" w:hAnsi="Arial"/>
                <w:sz w:val="18"/>
                <w:szCs w:val="18"/>
                <w:color w:val="auto"/>
              </w:rPr>
              <w:t>Receivables</w:t>
            </w:r>
          </w:p>
        </w:tc>
        <w:tc>
          <w:tcPr>
            <w:tcW w:w="4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1,423</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8,008</w:t>
            </w:r>
          </w:p>
        </w:tc>
      </w:tr>
      <w:tr>
        <w:trPr>
          <w:trHeight w:val="216"/>
        </w:trPr>
        <w:tc>
          <w:tcPr>
            <w:tcW w:w="20" w:type="dxa"/>
            <w:vAlign w:val="bottom"/>
          </w:tcPr>
          <w:p>
            <w:pPr>
              <w:spacing w:after="0"/>
              <w:rPr>
                <w:sz w:val="18"/>
                <w:szCs w:val="18"/>
                <w:color w:val="auto"/>
              </w:rPr>
            </w:pPr>
          </w:p>
        </w:tc>
        <w:tc>
          <w:tcPr>
            <w:tcW w:w="614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 (1)</w:t>
            </w:r>
          </w:p>
        </w:tc>
        <w:tc>
          <w:tcPr>
            <w:tcW w:w="4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(4,616)</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Accrued bonus (1)</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(3,042)</w:t>
            </w:r>
          </w:p>
        </w:tc>
      </w:tr>
      <w:tr>
        <w:trPr>
          <w:trHeight w:val="216"/>
        </w:trPr>
        <w:tc>
          <w:tcPr>
            <w:tcW w:w="20" w:type="dxa"/>
            <w:vAlign w:val="bottom"/>
          </w:tcPr>
          <w:p>
            <w:pPr>
              <w:spacing w:after="0"/>
              <w:rPr>
                <w:sz w:val="18"/>
                <w:szCs w:val="18"/>
                <w:color w:val="auto"/>
              </w:rPr>
            </w:pPr>
          </w:p>
        </w:tc>
        <w:tc>
          <w:tcPr>
            <w:tcW w:w="614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liabilities (1)</w:t>
            </w:r>
          </w:p>
        </w:tc>
        <w:tc>
          <w:tcPr>
            <w:tcW w:w="4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(700)</w:t>
            </w: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liabilities (1)</w:t>
            </w:r>
          </w:p>
        </w:tc>
        <w:tc>
          <w:tcPr>
            <w:tcW w:w="4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6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identifiable net assets</w:t>
            </w:r>
          </w:p>
        </w:tc>
        <w:tc>
          <w:tcPr>
            <w:tcW w:w="40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1,147,665</w:t>
            </w:r>
          </w:p>
        </w:tc>
        <w:tc>
          <w:tcPr>
            <w:tcW w:w="100" w:type="dxa"/>
            <w:vAlign w:val="bottom"/>
            <w:shd w:val="clear" w:color="auto" w:fill="EAF9E8"/>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4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19,457</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140" w:type="dxa"/>
            <w:vAlign w:val="bottom"/>
            <w:shd w:val="clear" w:color="auto" w:fill="EAF9E8"/>
          </w:tcPr>
          <w:p>
            <w:pPr>
              <w:spacing w:after="0"/>
              <w:rPr>
                <w:sz w:val="20"/>
                <w:szCs w:val="20"/>
                <w:color w:val="auto"/>
              </w:rPr>
            </w:pPr>
            <w:r>
              <w:rPr>
                <w:rFonts w:ascii="Arial" w:cs="Arial" w:eastAsia="Arial" w:hAnsi="Arial"/>
                <w:sz w:val="18"/>
                <w:szCs w:val="18"/>
                <w:color w:val="auto"/>
              </w:rPr>
              <w:t>Total consideration</w:t>
            </w:r>
          </w:p>
        </w:tc>
        <w:tc>
          <w:tcPr>
            <w:tcW w:w="42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1,167,122</w:t>
            </w: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EAF9E8"/>
            </w:tcBorders>
            <w:shd w:val="clear" w:color="auto" w:fill="EAF9E8"/>
          </w:tcPr>
          <w:p>
            <w:pPr>
              <w:spacing w:after="0" w:line="20" w:lineRule="exact"/>
              <w:rPr>
                <w:sz w:val="1"/>
                <w:szCs w:val="1"/>
                <w:color w:val="auto"/>
              </w:rPr>
            </w:pPr>
          </w:p>
        </w:tc>
        <w:tc>
          <w:tcPr>
            <w:tcW w:w="40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5620" w:right="5380" w:hanging="5612"/>
        <w:spacing w:after="0" w:line="818" w:lineRule="auto"/>
        <w:tabs>
          <w:tab w:leader="none" w:pos="4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are included in Other liabilities on our Consolidated Balance Sheet.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ind w:right="20" w:firstLine="324"/>
        <w:spacing w:after="0" w:line="286" w:lineRule="auto"/>
        <w:rPr>
          <w:sz w:val="20"/>
          <w:szCs w:val="20"/>
          <w:color w:val="auto"/>
        </w:rPr>
      </w:pPr>
      <w:r>
        <w:rPr>
          <w:rFonts w:ascii="Arial" w:cs="Arial" w:eastAsia="Arial" w:hAnsi="Arial"/>
          <w:sz w:val="16"/>
          <w:szCs w:val="16"/>
          <w:color w:val="auto"/>
        </w:rPr>
        <w:t>Consistent with our fair value policy for mortgage servicing rights disclosed in Note 4, we estimated the fair value of the mortgage servicing rights by calculating the present value of expected future cash flows utilizing assumptions that we believe are used by market participants. The valuation of premises and equipment was based on the in-use valuation premise, where the highest and best use of the assets would provide maximum value to market participants principally through its use with other assets as a group. This valuation presumes the continued operation of the HomEq platform as installed or otherwise configured for use. Advances are non-interest bearing receivables that are expected to have a short average collections period and were, therefore, valued at their face amount, consistent with Ocwen’s fair value policy for ser vicing advances. Other assets and liabilities that are expected to have a short life that were valued at the face value of the specific assets and liabilities purchased, including checks held for escheat, accrued bonuses and other liabilities. Goodwill is calculated as the excess of the consideration transferred over the net assets recognized and represents the expected revenue and cost synergies of the combined business. The goodwill portion of the purchase price allocation shown in the table above pertains to the Servicing segment and is subject to adjustment as the fair value of certain other components of the purchase price are adjusted. All components of the purchase price allocation are considered preliminary. We anticipate finalizing the purchase price allocations by December 31, 2010. Potential changes in advances, premises and equipment and goodwill could be significant. If certain premises and equipment acquired from HomEq are not used in the future, they may be written down to the estimated liquid ation value. Ocwen is considering subleasing office space acquired as part of the HomEq Acquisition. Further changes to the opening balance of advances will result in a cash exchange between Ocwen and Barclays and, as such, should not result in any change to goodwill.</w:t>
      </w:r>
    </w:p>
    <w:p>
      <w:pPr>
        <w:spacing w:after="0" w:line="17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acquisition of HomEq is treated as an asset acquisition for U.S. tax purposes. We expect the opening tax basis for the acquired assets and liabilities to be the fair value, which is shown in the table above. We expect the mortgage servicing rights and goodwill to be treated as intangible assets acquired in connection with the purchase of a trade or business and as such, amortized over 15 years for tax purposes.</w:t>
      </w:r>
    </w:p>
    <w:p>
      <w:pPr>
        <w:spacing w:after="0" w:line="181"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The asset purchase agreement provides for a 90-day true-up process for Advances and Mortgage servicing rights under limited circumstances. Payment for advances in the amount of $3,500 was held back in an escrow account under a four-year agreement during which Ocwen can seek reimbursement for existing and future uncollectible advances on certain pooling and servicing agreements under limited circumstances. Notwithstanding this holdback amount, the agreement provides for the reimbursement of uncollectible advances under all pooling and servicing agreements under limited circumstances.</w:t>
      </w:r>
    </w:p>
    <w:p>
      <w:pPr>
        <w:spacing w:after="0" w:line="15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Additionally, the agreement provides that any severance paid by Ocwen to HomEq employees accepting employment with Ocwen in accordance with the Barclays severance plan with payments in excess of $20,440 being reimbursed by Barclays, and conversely, that Ocwen shall pay Barclays the difference if severance paid is less than $20,440. Severance payments for all HomEq Servicing employees who entered an employment agreement with Ocwen were recorded in the third quarter as steps were taken that obligated Ocwen to pay severance for all such employees. Severance expense of $20,889 is included in Compensation and benefits in our Consolidated Statements of Operations. The projected excess of $449 is included in Receivables in our Consolidated Balance Sheet and is considered part of the HomEq Acquisition purchase price.</w:t>
      </w:r>
    </w:p>
    <w:p>
      <w:pPr>
        <w:spacing w:after="0" w:line="17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connection with the establishment of the match funded advance facility Ocwen paid Barclays a $10,110 securitization fee and funded a reserve in the initial amount of $14,342 held by the facility Indenture Trustee for the benefit of the note holders. The securitization fee along with and certain other professional fees paid in connection with the establishment of the facility will be amortized over the expected three-year life of the notes.</w:t>
      </w:r>
    </w:p>
    <w:p>
      <w:pPr>
        <w:spacing w:after="0" w:line="166"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Ocwen has agreed to assist Barclays in defending against certain litigation regarding the HomEq Servicing business that Ocwen did not assume under the terms of the Asset Purchase Agreement. Ocwen has no material financial obligation for litigation related to the operations of HomEq prior to the closing.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and Pro forma impact of the HomEq Acquisition</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following table presents the revenue and earnings of HomEq Servicing that is included in our Consolidated Statement of Operations from the acquisition date of September 1, 2010 through September 30, 2010: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500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10,402</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loss (1)</w:t>
            </w:r>
          </w:p>
        </w:tc>
        <w:tc>
          <w:tcPr>
            <w:tcW w:w="5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(20,443)</w:t>
            </w:r>
          </w:p>
        </w:tc>
      </w:tr>
    </w:tbl>
    <w:p>
      <w:pPr>
        <w:spacing w:after="0" w:line="187" w:lineRule="exact"/>
        <w:rPr>
          <w:sz w:val="20"/>
          <w:szCs w:val="20"/>
          <w:color w:val="auto"/>
        </w:rPr>
      </w:pPr>
    </w:p>
    <w:p>
      <w:pPr>
        <w:ind w:left="460" w:right="1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loss includes one-time transaction related expenses of $33,684, including severance and other compensation of $30,345 related to HomEq employees who accepted employment with Ocwen and $2,323 of fees for professional services related to the acquisition. Income taxes were computed using a statutory rate of 37% for federal and state income taxes.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 w:name="page17"/>
    <w:bookmarkEnd w:id="16"/>
    <w:p>
      <w:pPr>
        <w:ind w:firstLine="324"/>
        <w:spacing w:after="0" w:line="291" w:lineRule="auto"/>
        <w:rPr>
          <w:sz w:val="20"/>
          <w:szCs w:val="20"/>
          <w:color w:val="auto"/>
        </w:rPr>
      </w:pPr>
      <w:r>
        <w:rPr>
          <w:rFonts w:ascii="Arial" w:cs="Arial" w:eastAsia="Arial" w:hAnsi="Arial"/>
          <w:sz w:val="16"/>
          <w:szCs w:val="16"/>
          <w:color w:val="auto"/>
        </w:rPr>
        <w:t>The following table presents supplemental pro forma information as if the HomEq Acquisition had occurred on January 1, 2010 for the three and nine months ended September 30, 2010. The comparative 2009 columns were prepared as if the HomEq Acquisition had occurred on January 1, 2009 for the three and nine months ended September 30, 2009. As a result, the nine month periods for both years include acquisition related charges, including severance paid to HomEq employees and fees for professional services related to the acquisition. The pro forma consolidated results are not indicative of what Ocwen’s consolidated net earnings would have been had Ocwen completed the HomEq Acquisition on January 1, 2010 or 2009 because of differences in servicing practices and cost structure between Ocwen and HomEq. In addition, the pro forma consolidate d results do not purport to project the future results of Ocwen combined nor do they reflect the expected realization of any cost savings associated with the HomEq Acquisition.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Periods ended September 30, 2010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125,324</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141,558</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366,893</w:t>
            </w:r>
          </w:p>
        </w:tc>
        <w:tc>
          <w:tcPr>
            <w:tcW w:w="220" w:type="dxa"/>
            <w:vAlign w:val="bottom"/>
            <w:shd w:val="clear" w:color="auto" w:fill="EAF9E8"/>
          </w:tcPr>
          <w:p>
            <w:pPr>
              <w:spacing w:after="0"/>
              <w:rPr>
                <w:sz w:val="18"/>
                <w:szCs w:val="18"/>
                <w:color w:val="auto"/>
              </w:rPr>
            </w:pPr>
          </w:p>
        </w:tc>
        <w:tc>
          <w:tcPr>
            <w:tcW w:w="5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489,430</w:t>
            </w: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5,781</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(39,633)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17,730</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(15,783)</w:t>
            </w:r>
          </w:p>
        </w:tc>
      </w:tr>
    </w:tbl>
    <w:p>
      <w:pPr>
        <w:spacing w:after="0" w:line="1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Through September 30, 2010, we have incurred approximately $3,744 of fees for professional services related to the HomEq Acquisition which are included in Operating expenses.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the estimated fair values of our financial instruments are as follows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September 30, 2010</w:t>
            </w:r>
          </w:p>
        </w:tc>
        <w:tc>
          <w:tcPr>
            <w:tcW w:w="140" w:type="dxa"/>
            <w:vAlign w:val="bottom"/>
          </w:tcPr>
          <w:p>
            <w:pPr>
              <w:spacing w:after="0"/>
              <w:rPr>
                <w:sz w:val="20"/>
                <w:szCs w:val="20"/>
                <w:color w:val="auto"/>
              </w:rPr>
            </w:pPr>
          </w:p>
        </w:tc>
        <w:tc>
          <w:tcPr>
            <w:tcW w:w="268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 2009</w:t>
            </w:r>
          </w:p>
        </w:tc>
      </w:tr>
      <w:tr>
        <w:trPr>
          <w:trHeight w:val="198"/>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Carrying</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0"/>
              <w:spacing w:after="0" w:line="198" w:lineRule="exact"/>
              <w:rPr>
                <w:sz w:val="20"/>
                <w:szCs w:val="20"/>
                <w:color w:val="auto"/>
              </w:rPr>
            </w:pPr>
            <w:r>
              <w:rPr>
                <w:rFonts w:ascii="Arial" w:cs="Arial" w:eastAsia="Arial" w:hAnsi="Arial"/>
                <w:sz w:val="18"/>
                <w:szCs w:val="18"/>
                <w:b w:val="1"/>
                <w:bCs w:val="1"/>
                <w:color w:val="auto"/>
              </w:rPr>
              <w:t>Fair</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7"/>
              </w:rPr>
              <w:t>Carrying</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1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Auction rate</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74,712</w:t>
            </w:r>
          </w:p>
        </w:tc>
        <w:tc>
          <w:tcPr>
            <w:tcW w:w="4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74,712</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220" w:type="dxa"/>
            <w:vAlign w:val="bottom"/>
            <w:shd w:val="clear" w:color="auto" w:fill="EAF9E8"/>
          </w:tcPr>
          <w:p>
            <w:pPr>
              <w:spacing w:after="0"/>
              <w:rPr>
                <w:sz w:val="18"/>
                <w:szCs w:val="18"/>
                <w:color w:val="auto"/>
              </w:rPr>
            </w:pPr>
          </w:p>
        </w:tc>
        <w:tc>
          <w:tcPr>
            <w:tcW w:w="4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247,464</w:t>
            </w: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Subordinates and residuals</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29,352</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29,352</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33,197</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33,197</w:t>
            </w: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69,736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66,926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2,345,927</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2,345,927</w:t>
            </w: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968,529</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968,529</w:t>
            </w: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42,747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42,747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67,095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67,095</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1,606,346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1,611,397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465,691</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463,716</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444,499</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452,550</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55,810</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56,220</w:t>
            </w: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Secured borrowings – owed to securitization investors</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64,564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63,963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line</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156,968</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156,968</w:t>
            </w: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Servicer liabilities</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2,368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38,672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38,672</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securities</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82,554</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76,334</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95,564</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84,551</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(21,419)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(21,419)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r>
    </w:tbl>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 The three broad categories are:</w:t>
      </w:r>
    </w:p>
    <w:p>
      <w:pPr>
        <w:spacing w:after="0" w:line="19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ind w:left="1620" w:right="100" w:hanging="1147"/>
        <w:spacing w:after="0" w:line="277"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for substantially the full term of the financial instrument.</w:t>
      </w:r>
    </w:p>
    <w:p>
      <w:pPr>
        <w:spacing w:after="0" w:line="17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p>
      <w:pPr>
        <w:ind w:right="120" w:firstLine="324"/>
        <w:spacing w:after="0" w:line="277"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assets and liabilities measured at fair value categorized by input level within the fair value hierarchy: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At September 30, 2010:</w:t>
            </w:r>
          </w:p>
        </w:tc>
        <w:tc>
          <w:tcPr>
            <w:tcW w:w="1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Trading securities (1):</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Auction rate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74,712</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Subordinates and residuals (2)</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Derivative financial instruments, net (3)</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(21,419)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Loans held for resale (4)</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29,352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 (5)</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At December 31, 2009:</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Trading securities (1):</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Auction rate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247,464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Subordinates and residuals (2)</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3,692</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Derivative financial instruments, net (3)</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Loans held for resale (4)</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33,197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 (5)</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40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our internal valuation model requires significant use of unobservable inputs, these securities are classified within Level 3 of the fair value hierarchy.</w:t>
      </w:r>
    </w:p>
    <w:p>
      <w:pPr>
        <w:spacing w:after="0" w:line="17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January 1, 2010, we eliminated our investment in trading securities that were issued by newly consolidated securitization trusts as more fully described in Note 1—Securitizations of Residential Mortgage Loans.</w:t>
      </w:r>
    </w:p>
    <w:p>
      <w:pPr>
        <w:spacing w:after="0" w:line="170" w:lineRule="exact"/>
        <w:rPr>
          <w:rFonts w:ascii="Arial" w:cs="Arial" w:eastAsia="Arial" w:hAnsi="Arial"/>
          <w:sz w:val="18"/>
          <w:szCs w:val="18"/>
          <w:color w:val="auto"/>
        </w:rPr>
      </w:pPr>
    </w:p>
    <w:p>
      <w:pPr>
        <w:ind w:left="460" w:right="100" w:hanging="452"/>
        <w:spacing w:after="0" w:line="293"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fair values of derivative financial instruments as of January 1, 2010 were adjusted to include $(826) related to an interest rate swap that is held by one of the newly consolidated securitization trusts. Derivative financial instruments consist of: interest rate caps that we use to protect against our exposure to rising interest rates on two of our match funded variable funding notes; interest rate swaps to protect against our exposure to rising interest rates on a third match funded facility and a match funded facility entered into in connection with the HomEq Acquisition; the interest rate swap that is held by one of the newly consolidated loan securitization trusts; and foreign exchange forward contracts to protect against changes in the value of the Indian Rupee. See Note 18 for additional information on our derivative financial i nstruments.</w:t>
      </w:r>
    </w:p>
    <w:p>
      <w:pPr>
        <w:spacing w:after="0" w:line="164" w:lineRule="exact"/>
        <w:rPr>
          <w:rFonts w:ascii="Arial" w:cs="Arial" w:eastAsia="Arial" w:hAnsi="Arial"/>
          <w:sz w:val="16"/>
          <w:szCs w:val="16"/>
          <w:color w:val="auto"/>
        </w:rPr>
      </w:pPr>
    </w:p>
    <w:p>
      <w:pPr>
        <w:ind w:left="460" w:right="22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Loans held for resale are measured at fair value on a non-recurring basis. At September 30, 2010 and December 31, 2009, the carrying value of loans held for resale is net of a valuation allowance of $12,551 and $15,963, respectively. Current market illiquidity has reduced the availability of observable pricing data. Consequently, we classify loans within Level 3 of the fair value hierarchy.</w:t>
      </w:r>
    </w:p>
    <w:p>
      <w:pPr>
        <w:spacing w:after="0" w:line="181" w:lineRule="exact"/>
        <w:rPr>
          <w:rFonts w:ascii="Arial" w:cs="Arial" w:eastAsia="Arial" w:hAnsi="Arial"/>
          <w:sz w:val="18"/>
          <w:szCs w:val="18"/>
          <w:color w:val="auto"/>
        </w:rPr>
      </w:pPr>
    </w:p>
    <w:p>
      <w:pPr>
        <w:ind w:left="460" w:right="140" w:hanging="452"/>
        <w:spacing w:after="0" w:line="31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carrying value of MSRs at September 30, 2010 and December 31, 2009 is net of a valuation allowance for impairment of $2,769 and $2,954, respectively. The carrying value of the impaired stratum, net of the valuation allowance, was $523 and $613 at September 30, 2010 and December 31, 2009, respectively. The estimated fair value exceeded amortized cost for all other strata. See Note 9 for additional information on MSRs.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7"/>
          <w:szCs w:val="17"/>
          <w:color w:val="auto"/>
        </w:rPr>
        <w:t>The following table sets forth a reconciliation of the changes in fair value of our Level 3 assets that we measure at fair value on a recurring basis: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Total realized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Purchases,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and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Fair value at</w:t>
            </w:r>
          </w:p>
        </w:tc>
        <w:tc>
          <w:tcPr>
            <w:tcW w:w="2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collections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unrealized</w:t>
            </w: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Transfers in</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beginning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settlements,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gains and</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and/or out of</w:t>
            </w:r>
          </w:p>
        </w:tc>
        <w:tc>
          <w:tcPr>
            <w:tcW w:w="44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Fair value at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period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net (1)</w:t>
            </w:r>
          </w:p>
        </w:tc>
        <w:tc>
          <w:tcPr>
            <w:tcW w:w="200" w:type="dxa"/>
            <w:vAlign w:val="bottom"/>
          </w:tcPr>
          <w:p>
            <w:pPr>
              <w:spacing w:after="0"/>
              <w:rPr>
                <w:sz w:val="20"/>
                <w:szCs w:val="20"/>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(losses) (2)(3)</w:t>
            </w: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Level 3</w:t>
            </w:r>
          </w:p>
        </w:tc>
        <w:tc>
          <w:tcPr>
            <w:tcW w:w="44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September 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0" w:type="dxa"/>
            <w:vAlign w:val="bottom"/>
            <w:tcBorders>
              <w:bottom w:val="single" w:sz="8" w:color="auto"/>
            </w:tcBorders>
            <w:gridSpan w:val="2"/>
            <w:shd w:val="clear" w:color="auto" w:fill="EAF9E8"/>
          </w:tcPr>
          <w:p>
            <w:pPr>
              <w:spacing w:after="0" w:line="176" w:lineRule="exact"/>
              <w:rPr>
                <w:sz w:val="20"/>
                <w:szCs w:val="20"/>
                <w:color w:val="auto"/>
              </w:rPr>
            </w:pPr>
            <w:r>
              <w:rPr>
                <w:rFonts w:ascii="Arial" w:cs="Arial" w:eastAsia="Arial" w:hAnsi="Arial"/>
                <w:sz w:val="18"/>
                <w:szCs w:val="18"/>
                <w:color w:val="auto"/>
                <w:w w:val="87"/>
              </w:rPr>
              <w:t>Three months ended September 30, 2010:</w:t>
            </w:r>
          </w:p>
        </w:tc>
        <w:tc>
          <w:tcPr>
            <w:tcW w:w="76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080" w:type="dxa"/>
            <w:vAlign w:val="bottom"/>
            <w:tcBorders>
              <w:bottom w:val="single" w:sz="8" w:color="EAF9E8"/>
            </w:tcBorders>
            <w:shd w:val="clear" w:color="auto" w:fill="EAF9E8"/>
          </w:tcPr>
          <w:p>
            <w:pPr>
              <w:spacing w:after="0"/>
              <w:rPr>
                <w:sz w:val="17"/>
                <w:szCs w:val="17"/>
                <w:color w:val="auto"/>
              </w:rPr>
            </w:pPr>
          </w:p>
        </w:tc>
        <w:tc>
          <w:tcPr>
            <w:tcW w:w="260" w:type="dxa"/>
            <w:vAlign w:val="bottom"/>
            <w:tcBorders>
              <w:bottom w:val="single" w:sz="8" w:color="EAF9E8"/>
            </w:tcBorders>
            <w:shd w:val="clear" w:color="auto" w:fill="EAF9E8"/>
          </w:tcPr>
          <w:p>
            <w:pPr>
              <w:spacing w:after="0"/>
              <w:rPr>
                <w:sz w:val="17"/>
                <w:szCs w:val="17"/>
                <w:color w:val="auto"/>
              </w:rPr>
            </w:pPr>
          </w:p>
        </w:tc>
        <w:tc>
          <w:tcPr>
            <w:tcW w:w="20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06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20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4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040" w:type="dxa"/>
            <w:vAlign w:val="bottom"/>
            <w:tcBorders>
              <w:bottom w:val="single" w:sz="8" w:color="EAF9E8"/>
            </w:tcBorders>
            <w:shd w:val="clear" w:color="auto" w:fill="EAF9E8"/>
          </w:tcPr>
          <w:p>
            <w:pPr>
              <w:spacing w:after="0"/>
              <w:rPr>
                <w:sz w:val="17"/>
                <w:szCs w:val="17"/>
                <w:color w:val="auto"/>
              </w:rPr>
            </w:pPr>
          </w:p>
        </w:tc>
        <w:tc>
          <w:tcPr>
            <w:tcW w:w="440" w:type="dxa"/>
            <w:vAlign w:val="bottom"/>
            <w:tcBorders>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Auction rate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78,073</w:t>
            </w:r>
          </w:p>
        </w:tc>
        <w:tc>
          <w:tcPr>
            <w:tcW w:w="3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(400)</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ind w:left="86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160"/>
              <w:spacing w:after="0"/>
              <w:rPr>
                <w:sz w:val="20"/>
                <w:szCs w:val="20"/>
                <w:color w:val="auto"/>
              </w:rPr>
            </w:pPr>
            <w:r>
              <w:rPr>
                <w:rFonts w:ascii="Arial" w:cs="Arial" w:eastAsia="Arial" w:hAnsi="Arial"/>
                <w:sz w:val="18"/>
                <w:szCs w:val="18"/>
                <w:color w:val="auto"/>
              </w:rPr>
              <w:t>Subordinates and residuals</w:t>
            </w: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(12,278)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(9,199)</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Three months ended September 30, 2009:</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Trading securities:</w:t>
            </w:r>
          </w:p>
        </w:tc>
        <w:tc>
          <w:tcPr>
            <w:tcW w:w="1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160"/>
              <w:spacing w:after="0"/>
              <w:rPr>
                <w:sz w:val="20"/>
                <w:szCs w:val="20"/>
                <w:color w:val="auto"/>
              </w:rPr>
            </w:pPr>
            <w:r>
              <w:rPr>
                <w:rFonts w:ascii="Arial" w:cs="Arial" w:eastAsia="Arial" w:hAnsi="Arial"/>
                <w:sz w:val="18"/>
                <w:szCs w:val="18"/>
                <w:color w:val="auto"/>
              </w:rPr>
              <w:t>Auction rate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243,285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7,314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Subordinates and residuals</w:t>
            </w: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3,440</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6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Nine months ended September 30, 2010:</w:t>
            </w:r>
          </w:p>
        </w:tc>
        <w:tc>
          <w:tcPr>
            <w:tcW w:w="10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Trading securities:</w:t>
            </w:r>
          </w:p>
        </w:tc>
        <w:tc>
          <w:tcPr>
            <w:tcW w:w="840" w:type="dxa"/>
            <w:vAlign w:val="bottom"/>
            <w:tcBorders>
              <w:top w:val="single" w:sz="8" w:color="EAF9E8"/>
            </w:tcBorders>
            <w:gridSpan w:val="2"/>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06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020" w:type="dxa"/>
            <w:vAlign w:val="bottom"/>
            <w:tcBorders>
              <w:top w:val="single" w:sz="8" w:color="EAF9E8"/>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040" w:type="dxa"/>
            <w:vAlign w:val="bottom"/>
            <w:tcBorders>
              <w:top w:val="single" w:sz="8" w:color="EAF9E8"/>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82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Auction rate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247,464</w:t>
            </w:r>
          </w:p>
        </w:tc>
        <w:tc>
          <w:tcPr>
            <w:tcW w:w="3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(168,853)</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ind w:left="86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160"/>
              <w:spacing w:after="0"/>
              <w:rPr>
                <w:sz w:val="20"/>
                <w:szCs w:val="20"/>
                <w:color w:val="auto"/>
              </w:rPr>
            </w:pPr>
            <w:r>
              <w:rPr>
                <w:rFonts w:ascii="Arial" w:cs="Arial" w:eastAsia="Arial" w:hAnsi="Arial"/>
                <w:sz w:val="18"/>
                <w:szCs w:val="18"/>
                <w:color w:val="auto"/>
              </w:rPr>
              <w:t>Subordinates and residuals</w:t>
            </w: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(21,508)</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Nine months ended September 30, 2009:</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Trading securities:</w:t>
            </w:r>
          </w:p>
        </w:tc>
        <w:tc>
          <w:tcPr>
            <w:tcW w:w="1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160"/>
              <w:spacing w:after="0"/>
              <w:rPr>
                <w:sz w:val="20"/>
                <w:szCs w:val="20"/>
                <w:color w:val="auto"/>
              </w:rPr>
            </w:pPr>
            <w:r>
              <w:rPr>
                <w:rFonts w:ascii="Arial" w:cs="Arial" w:eastAsia="Arial" w:hAnsi="Arial"/>
                <w:sz w:val="18"/>
                <w:szCs w:val="18"/>
                <w:color w:val="auto"/>
              </w:rPr>
              <w:t>Auction rate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239,301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13,298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Subordinates and residuals</w:t>
            </w: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4,369</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Purchases, collections and settlements, net, related to trading securities exclude interest received.</w:t>
      </w:r>
    </w:p>
    <w:p>
      <w:pPr>
        <w:spacing w:after="0" w:line="225"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gains and (losses) on auction rate securities for the third quarter include unrealized gains (losses) of $(2,976) and $7,314 on auction rate securities still held at September 30, 2010 and 2009, respectively. For the year to date periods, unrealized gains (losses) on auction rate securities still held at September 30, 2010 and 2009 were $(2,417) and $13,298, respectively. The total gains and (losses) attributable to subordinates and residuals and derivative financial instruments were comprised principally of unrealized gains (losses) on assets held at September 30, 2010 and 2009.</w:t>
      </w:r>
    </w:p>
    <w:p>
      <w:pPr>
        <w:spacing w:after="0" w:line="154" w:lineRule="exact"/>
        <w:rPr>
          <w:rFonts w:ascii="Arial" w:cs="Arial" w:eastAsia="Arial" w:hAnsi="Arial"/>
          <w:sz w:val="16"/>
          <w:szCs w:val="16"/>
          <w:color w:val="auto"/>
        </w:rPr>
      </w:pPr>
    </w:p>
    <w:p>
      <w:pPr>
        <w:ind w:left="460" w:right="42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gains (losses) on derivatives for the three and nine months ended September 30, 2010 include unrealized losses of $8,824 and $20,556, respectively, reported in changes in Other comprehensive loss. All other unrealized gains (losses) on derivatives for the 2010 and 2009 periods are reported in Other, net. The total gains and (losses) attributable to derivative financial instruments were comprised principally of unrealized gains (losses) on assets still held at September 30, 2010 and 2009.</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ind w:right="30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are described in more detail by instrument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Auction Rate Securities. </w:t>
      </w:r>
      <w:r>
        <w:rPr>
          <w:rFonts w:ascii="Arial" w:cs="Arial" w:eastAsia="Arial" w:hAnsi="Arial"/>
          <w:sz w:val="18"/>
          <w:szCs w:val="18"/>
          <w:color w:val="auto"/>
        </w:rPr>
        <w:t>We estimated the fair value of the auction rate securities based on a combination of observable market inputs provided by actual</w:t>
      </w:r>
      <w:r>
        <w:rPr>
          <w:rFonts w:ascii="Arial" w:cs="Arial" w:eastAsia="Arial" w:hAnsi="Arial"/>
          <w:sz w:val="18"/>
          <w:szCs w:val="18"/>
          <w:i w:val="1"/>
          <w:iCs w:val="1"/>
          <w:color w:val="auto"/>
        </w:rPr>
        <w:t xml:space="preserve"> </w:t>
      </w:r>
      <w:r>
        <w:rPr>
          <w:rFonts w:ascii="Arial" w:cs="Arial" w:eastAsia="Arial" w:hAnsi="Arial"/>
          <w:sz w:val="18"/>
          <w:szCs w:val="18"/>
          <w:color w:val="auto"/>
        </w:rPr>
        <w:t>orderly sales of similar auction rate securities and a discounted cash flow analysis. This discounted cash flow analysis incorporates expected future cash flows based on our best estimate of market participant assumptions. In periods of market illiquidity, the fair value of auction rate securities is determined after consideration of the credit quality of the securities held and the underlying collateral, market activity and general market conditions affecting auction rate securities.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discounted cash flow analysis included the following range of assumptions at September 30, 2010:</w:t>
      </w:r>
    </w:p>
    <w:p>
      <w:pPr>
        <w:spacing w:after="0" w:line="24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Expected term</w:t>
            </w:r>
          </w:p>
        </w:tc>
        <w:tc>
          <w:tcPr>
            <w:tcW w:w="3880" w:type="dxa"/>
            <w:vAlign w:val="bottom"/>
            <w:shd w:val="clear" w:color="auto" w:fill="EAF9E8"/>
          </w:tcPr>
          <w:p>
            <w:pPr>
              <w:ind w:left="1680"/>
              <w:spacing w:after="0"/>
              <w:rPr>
                <w:sz w:val="20"/>
                <w:szCs w:val="20"/>
                <w:color w:val="auto"/>
              </w:rPr>
            </w:pPr>
            <w:r>
              <w:rPr>
                <w:rFonts w:ascii="Arial" w:cs="Arial" w:eastAsia="Arial" w:hAnsi="Arial"/>
                <w:sz w:val="18"/>
                <w:szCs w:val="18"/>
                <w:color w:val="auto"/>
              </w:rPr>
              <w:t>12 - 48 months</w:t>
            </w:r>
          </w:p>
        </w:tc>
      </w:tr>
      <w:tr>
        <w:trPr>
          <w:trHeight w:val="216"/>
        </w:trPr>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00" w:type="dxa"/>
            <w:vAlign w:val="bottom"/>
          </w:tcPr>
          <w:p>
            <w:pPr>
              <w:ind w:left="180"/>
              <w:spacing w:after="0"/>
              <w:rPr>
                <w:sz w:val="20"/>
                <w:szCs w:val="20"/>
                <w:color w:val="auto"/>
              </w:rPr>
            </w:pPr>
            <w:r>
              <w:rPr>
                <w:rFonts w:ascii="Arial" w:cs="Arial" w:eastAsia="Arial" w:hAnsi="Arial"/>
                <w:sz w:val="18"/>
                <w:szCs w:val="18"/>
                <w:color w:val="auto"/>
              </w:rPr>
              <w:t>Discount to face value upon liquidation</w:t>
            </w:r>
          </w:p>
        </w:tc>
        <w:tc>
          <w:tcPr>
            <w:tcW w:w="3880" w:type="dxa"/>
            <w:vAlign w:val="bottom"/>
          </w:tcPr>
          <w:p>
            <w:pPr>
              <w:ind w:left="1660"/>
              <w:spacing w:after="0"/>
              <w:rPr>
                <w:sz w:val="20"/>
                <w:szCs w:val="20"/>
                <w:color w:val="auto"/>
              </w:rPr>
            </w:pPr>
            <w:r>
              <w:rPr>
                <w:rFonts w:ascii="Arial" w:cs="Arial" w:eastAsia="Arial" w:hAnsi="Arial"/>
                <w:sz w:val="18"/>
                <w:szCs w:val="18"/>
                <w:color w:val="auto"/>
              </w:rPr>
              <w:t>0.00% - 4.00%</w:t>
            </w:r>
          </w:p>
        </w:tc>
      </w:tr>
      <w:tr>
        <w:trPr>
          <w:trHeight w:val="216"/>
        </w:trPr>
        <w:tc>
          <w:tcPr>
            <w:tcW w:w="5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Illiquidity premium</w:t>
            </w:r>
          </w:p>
        </w:tc>
        <w:tc>
          <w:tcPr>
            <w:tcW w:w="3880" w:type="dxa"/>
            <w:vAlign w:val="bottom"/>
            <w:shd w:val="clear" w:color="auto" w:fill="EAF9E8"/>
          </w:tcPr>
          <w:p>
            <w:pPr>
              <w:ind w:left="1660"/>
              <w:spacing w:after="0"/>
              <w:rPr>
                <w:sz w:val="20"/>
                <w:szCs w:val="20"/>
                <w:color w:val="auto"/>
              </w:rPr>
            </w:pPr>
            <w:r>
              <w:rPr>
                <w:rFonts w:ascii="Arial" w:cs="Arial" w:eastAsia="Arial" w:hAnsi="Arial"/>
                <w:sz w:val="18"/>
                <w:szCs w:val="18"/>
                <w:color w:val="auto"/>
              </w:rPr>
              <w:t>0.27% - 0.96%</w:t>
            </w:r>
          </w:p>
        </w:tc>
      </w:tr>
      <w:tr>
        <w:trPr>
          <w:trHeight w:val="230"/>
        </w:trPr>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0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3880" w:type="dxa"/>
            <w:vAlign w:val="bottom"/>
          </w:tcPr>
          <w:p>
            <w:pPr>
              <w:ind w:left="1660"/>
              <w:spacing w:after="0"/>
              <w:rPr>
                <w:sz w:val="20"/>
                <w:szCs w:val="20"/>
                <w:color w:val="auto"/>
              </w:rPr>
            </w:pPr>
            <w:r>
              <w:rPr>
                <w:rFonts w:ascii="Arial" w:cs="Arial" w:eastAsia="Arial" w:hAnsi="Arial"/>
                <w:sz w:val="18"/>
                <w:szCs w:val="18"/>
                <w:color w:val="auto"/>
              </w:rPr>
              <w:t>1.06% - 2.51%</w:t>
            </w:r>
          </w:p>
        </w:tc>
      </w:tr>
    </w:tbl>
    <w:p>
      <w:pPr>
        <w:spacing w:after="0" w:line="187"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expected term was based upon our best estimate of market participants’ expectations of future successful auctions. The discount rate and illiquidity premium are consistent with prevailing rates for similar securities. The discount to face value upon liquidation is based on observed tender offers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We do not assume defaults in our valuation due to the high credit quality of both the securities we hold and the underlying collateral.</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Subordinates and Residuals. </w:t>
      </w:r>
      <w:r>
        <w:rPr>
          <w:rFonts w:ascii="Arial" w:cs="Arial" w:eastAsia="Arial" w:hAnsi="Arial"/>
          <w:sz w:val="18"/>
          <w:szCs w:val="18"/>
          <w:color w:val="auto"/>
        </w:rPr>
        <w:t>Our subordinate and residual securities are not actively traded, and, therefore, we estimate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invest typically trade infrequ ently and therefore have few or no observable inputs and little price transparency. Additionally, during periods of market dislocation, the observability of inputs is further reduced.</w:t>
      </w:r>
    </w:p>
    <w:p>
      <w:pPr>
        <w:spacing w:after="0" w:line="18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range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Exchange-traded derivative financial instruments are valued based on quoted market prices. If quoted market prices or other observable inputs are not available, fair value is based on estimates provided by third-party pricing 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29"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All loans held for resale were measured at fair value because the cost of $41,903 exceeded the estimated fair value of $29,352 at September 30, 2010.</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of the loan and the estimated period and cost of disposition.</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Loans – Restricted for Securitization Investors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Loans – restricted for securitization investors are reported at cost, less an allowance for loan losses and are comprised of loans that are secured by first or second liens on one- to four-family residential properties. We base the fair value of our loans on the expected future cash flows discounted at a rate commensurate with the risk of the estimated cash flows. Significant assumptions include expected prepayment rates and delinquency and cumulative loss curves.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ectPr>
          <w:pgSz w:w="11900" w:h="16838" w:orient="portrait"/>
          <w:cols w:equalWidth="0" w:num="1">
            <w:col w:w="11420"/>
          </w:cols>
          <w:pgMar w:left="240" w:top="486" w:right="239" w:bottom="1440" w:gutter="0" w:footer="0" w:header="0"/>
        </w:sectPr>
      </w:pP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Cost of servicing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1460"/>
        <w:spacing w:after="0" w:line="258" w:lineRule="auto"/>
        <w:rPr>
          <w:sz w:val="20"/>
          <w:szCs w:val="20"/>
          <w:color w:val="auto"/>
        </w:rPr>
      </w:pPr>
      <w:r>
        <w:rPr>
          <w:rFonts w:ascii="Arial" w:cs="Arial" w:eastAsia="Arial" w:hAnsi="Arial"/>
          <w:sz w:val="18"/>
          <w:szCs w:val="18"/>
          <w:color w:val="auto"/>
        </w:rPr>
        <w:t>Interest rate used for computing float earnings Compensating interest expense</w:t>
      </w:r>
    </w:p>
    <w:p>
      <w:pPr>
        <w:spacing w:after="0" w:line="1" w:lineRule="exact"/>
        <w:rPr>
          <w:sz w:val="20"/>
          <w:szCs w:val="20"/>
          <w:color w:val="auto"/>
        </w:rPr>
      </w:pPr>
    </w:p>
    <w:p>
      <w:pPr>
        <w:sectPr>
          <w:pgSz w:w="11900" w:h="16838" w:orient="portrait"/>
          <w:cols w:equalWidth="0" w:num="4">
            <w:col w:w="520" w:space="400"/>
            <w:col w:w="4540" w:space="720"/>
            <w:col w:w="40" w:space="420"/>
            <w:col w:w="4780"/>
          </w:cols>
          <w:pgMar w:left="240" w:top="486" w:right="239" w:bottom="1440" w:gutter="0" w:footer="0" w:header="0"/>
          <w:type w:val="continuous"/>
        </w:sect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21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significant components of the estimated future cash inflows for MSRs include servicing fees, late fees, prepayment penalties, float earnings and other ancillary revenues.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September 30, 2010 valuation include prepayment speeds ranging from</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14.25% to 18.09% (depending on loan type) and delinquency rates ranging from 14.4% to 33.2% (depending on loan type). Other assumptions include an interest rate of 1-month LIBOR plus 4% for computing the cost of financing advances, an interest rate of 1-month LIBOR for computing float earnings and a discount rate of 20%.</w:t>
      </w:r>
    </w:p>
    <w:p>
      <w:pPr>
        <w:spacing w:after="0" w:line="19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Subprime</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Pr>
          <w:p>
            <w:pPr>
              <w:ind w:left="200"/>
              <w:spacing w:after="0"/>
              <w:rPr>
                <w:sz w:val="20"/>
                <w:szCs w:val="20"/>
                <w:color w:val="auto"/>
              </w:rPr>
            </w:pPr>
            <w:r>
              <w:rPr>
                <w:rFonts w:ascii="Arial" w:cs="Arial" w:eastAsia="Arial" w:hAnsi="Arial"/>
                <w:sz w:val="18"/>
                <w:szCs w:val="18"/>
                <w:color w:val="auto"/>
              </w:rPr>
              <w:t>Re-performing</w:t>
            </w:r>
          </w:p>
        </w:tc>
      </w:tr>
      <w:tr>
        <w:trPr>
          <w:trHeight w:val="216"/>
        </w:trPr>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ALT A</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Pr>
          <w:p>
            <w:pPr>
              <w:ind w:left="200"/>
              <w:spacing w:after="0"/>
              <w:rPr>
                <w:sz w:val="20"/>
                <w:szCs w:val="20"/>
                <w:color w:val="auto"/>
              </w:rPr>
            </w:pPr>
            <w:r>
              <w:rPr>
                <w:rFonts w:ascii="Arial" w:cs="Arial" w:eastAsia="Arial" w:hAnsi="Arial"/>
                <w:sz w:val="18"/>
                <w:szCs w:val="18"/>
                <w:color w:val="auto"/>
                <w:w w:val="90"/>
              </w:rPr>
              <w:t>Special servicing</w:t>
            </w:r>
          </w:p>
        </w:tc>
      </w:tr>
      <w:tr>
        <w:trPr>
          <w:trHeight w:val="230"/>
        </w:trPr>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High-loan-to-value</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Pr>
          <w:p>
            <w:pPr>
              <w:ind w:left="200"/>
              <w:spacing w:after="0"/>
              <w:rPr>
                <w:sz w:val="20"/>
                <w:szCs w:val="20"/>
                <w:color w:val="auto"/>
              </w:rPr>
            </w:pPr>
            <w:r>
              <w:rPr>
                <w:rFonts w:ascii="Arial" w:cs="Arial" w:eastAsia="Arial" w:hAnsi="Arial"/>
                <w:sz w:val="18"/>
                <w:szCs w:val="18"/>
                <w:color w:val="auto"/>
              </w:rPr>
              <w:t>Other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Borrowings not subject to a hedging relationship are carried at amortized cost. We base the fair value of our debt securities on quoted market prices. 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contractual future principal and interest repayments at a market rate commensurate with the risk of the estimated cash flows. We carry certain zero-coupon long-term secured borrowings with an implicit fixed rate at a discounted value and determine fair value by discounting the contractual future principal repayments at a market rate that is commensurate with the risk of the estimated cash flows.&lt; /font&gt;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Liabilities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carrying value of servicer liabilities approximates fair value due to the short period of time the funds are held until they are deposited in collection accounts, paid directly to an investment trust or refunded to borrowers.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NOTE 5</w:t>
            </w:r>
          </w:p>
        </w:tc>
        <w:tc>
          <w:tcPr>
            <w:tcW w:w="6200" w:type="dxa"/>
            <w:vAlign w:val="bottom"/>
          </w:tcPr>
          <w:p>
            <w:pPr>
              <w:ind w:left="360"/>
              <w:spacing w:after="0"/>
              <w:rPr>
                <w:sz w:val="20"/>
                <w:szCs w:val="20"/>
                <w:color w:val="auto"/>
              </w:rPr>
            </w:pPr>
            <w:r>
              <w:rPr>
                <w:rFonts w:ascii="Arial" w:cs="Arial" w:eastAsia="Arial" w:hAnsi="Arial"/>
                <w:sz w:val="18"/>
                <w:szCs w:val="18"/>
                <w:b w:val="1"/>
                <w:bCs w:val="1"/>
                <w:color w:val="auto"/>
              </w:rPr>
              <w:t>TRADING SECURITIES</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0" w:type="dxa"/>
            <w:vAlign w:val="bottom"/>
            <w:gridSpan w:val="2"/>
          </w:tcPr>
          <w:p>
            <w:pPr>
              <w:ind w:left="320"/>
              <w:spacing w:after="0"/>
              <w:rPr>
                <w:sz w:val="20"/>
                <w:szCs w:val="20"/>
                <w:color w:val="auto"/>
              </w:rPr>
            </w:pPr>
            <w:r>
              <w:rPr>
                <w:rFonts w:ascii="Arial" w:cs="Arial" w:eastAsia="Arial" w:hAnsi="Arial"/>
                <w:sz w:val="18"/>
                <w:szCs w:val="18"/>
                <w:color w:val="auto"/>
              </w:rPr>
              <w:t>Trading securities consisted of the following at the dates indicated:</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Auction rate (Corporate Items and Other)</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74,712</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EAF9E8"/>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Subordinates and residuals:</w:t>
            </w:r>
          </w:p>
        </w:tc>
        <w:tc>
          <w:tcPr>
            <w:tcW w:w="12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Loans and Residuals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Corporate Items and Other</w:t>
            </w:r>
          </w:p>
        </w:tc>
        <w:tc>
          <w:tcPr>
            <w:tcW w:w="120" w:type="dxa"/>
            <w:vAlign w:val="bottom"/>
            <w:tcBorders>
              <w:bottom w:val="single" w:sz="8" w:color="auto"/>
            </w:tcBorders>
            <w:shd w:val="clear" w:color="auto" w:fill="EAF9E8"/>
          </w:tcPr>
          <w:p>
            <w:pPr>
              <w:spacing w:after="0"/>
              <w:rPr>
                <w:sz w:val="19"/>
                <w:szCs w:val="19"/>
                <w:color w:val="auto"/>
              </w:rPr>
            </w:pPr>
          </w:p>
        </w:tc>
        <w:tc>
          <w:tcPr>
            <w:tcW w:w="1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 (loss) on trading securities for the periods ended September 30, was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8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Unrealized gains (losses):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Auction rate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(2,976)</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7,314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(2,007)</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13,298</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Subordinates and residuals (1)</w:t>
            </w: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w:t>
            </w:r>
          </w:p>
        </w:tc>
      </w:tr>
      <w:tr>
        <w:trPr>
          <w:trHeight w:val="27"/>
        </w:trPr>
        <w:tc>
          <w:tcPr>
            <w:tcW w:w="20" w:type="dxa"/>
            <w:vAlign w:val="bottom"/>
          </w:tcPr>
          <w:p>
            <w:pPr>
              <w:spacing w:after="0"/>
              <w:rPr>
                <w:sz w:val="2"/>
                <w:szCs w:val="2"/>
                <w:color w:val="auto"/>
              </w:rPr>
            </w:pPr>
          </w:p>
        </w:tc>
        <w:tc>
          <w:tcPr>
            <w:tcW w:w="53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(3,028)</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8,291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(2,066)</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13,346</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Realized gains (losses) – Auction rate securities</w:t>
            </w: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(1,892)</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3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(3,013)</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8,291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(3,958)</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13,346</w:t>
            </w: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10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January 1, 2010, we eliminated our investment in trading securities that were issued by newly consolidated securitization trusts as more fully described in Note 1—Securitizations of Residential Mortgage Loans, as well as the related unrealized gains and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Auction Rate Securities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During the first quarter of 2008, we invested investment line borrowings (see Note 15) in auction rate securities backed by student loans originated under the U. S. Department of Education’s Federal Family Education Loan Program (FFELP). Auction rate securities are long-term variable rate bonds tied to short-term interest rates that reset through an auction process that historically occurred every 7 to 35 days. The student loans underlying the auction rate securities carry a U.S Government guarantee of at least 97% of the unpaid principal balance in the event of default. The auction rate securities that we hold are in the senior-most position and are smaller in amount than the federally guaranteed portion of the underlying loans.</w:t>
      </w:r>
    </w:p>
    <w:p>
      <w:pPr>
        <w:spacing w:after="0" w:line="17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January 21, 2010 and March 4, 2010, we negotiated settlements of two of our auction rate securities litigation actions. Under the terms of these settlements, the broker/dealers repurchased $103,625 par value of auction rate securities for cash proceeds of $92,745. On February 10, 2010, we sold auction rate securities with a par value of $33,350 for cash proceeds of $29,848.</w:t>
      </w:r>
    </w:p>
    <w:p>
      <w:pPr>
        <w:spacing w:after="0" w:line="18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Under the terms of the liquidity option agreement we entered into in October 2009, we have the right to sell specific securities for cash. We also have the right to repurchase the same following the initial sale at the same price. On February 11, 2010, we exercised a portion of our option to sell auction rate securities with a par value of $88,150 and received proceeds of $74,953. We recognized the sale as a secured borrowing because of our ability to repurchase the same securities until the maturity of the liquidity option in October 2012. On June 24, 2010, we repurchased $46,800 par value of these securities at the initial sale price of $40,504 and sold them for cash proceeds of $44,460. We continue to report on our Consolidated Balance Sheet the remaining $41,350 par value of these auction rate securities, with a fair value of $39,607 as of September 30, 2010. However, these securities are pledged to collateralize a $34,449 borrowing reflecting the proceeds received upon exercise of the option. We no longer receive cash interest income on the pledged securities nor do we pay cash interest on this secured borrowing. See Note 14 for additional information on this secured borrowing.</w:t>
      </w:r>
    </w:p>
    <w:p>
      <w:pPr>
        <w:spacing w:after="0" w:line="16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used proceeds from the January 21, 2010 litigation settlement and the February 10, 2010 sale to pay down the investment line. On February 17, 2010, we used the proceeds from the February 11, 2010 exercise of the liquidity option and an additional $3,664 cash to repay the remaining balance of the investment line.</w:t>
      </w:r>
    </w:p>
    <w:p>
      <w:pPr>
        <w:spacing w:after="0" w:line="18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June 2010, we sold auction rate securities with a par value of $35,000 under an agreement to repurchase and received proceeds of $21,704. We report repurchase agreements as collateralized financings and report the obligations to repurchase the assets sold as a liability on our Consolidated Balance Sheet. See Note 14 for additional details regarding the terms of the financing obligation. We report the auction rate securities underlying the repurchase agreement, which had a fair value of $33,118 at September 30, 2010, in our Consolidated Balance Sheet.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The remaining $2,000 par value of auction rate securities are not financed.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nine months ended September 30, 2010, issuers redeemed, at par, auction rate securities we held that had a face value of $1,800.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Subordinates and Residuals</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Through our investment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NOTE 6</w:t>
            </w:r>
          </w:p>
        </w:tc>
        <w:tc>
          <w:tcPr>
            <w:tcW w:w="4840" w:type="dxa"/>
            <w:vAlign w:val="bottom"/>
          </w:tcPr>
          <w:p>
            <w:pPr>
              <w:ind w:left="320"/>
              <w:spacing w:after="0"/>
              <w:rPr>
                <w:sz w:val="20"/>
                <w:szCs w:val="20"/>
                <w:color w:val="auto"/>
              </w:rPr>
            </w:pPr>
            <w:r>
              <w:rPr>
                <w:rFonts w:ascii="Arial" w:cs="Arial" w:eastAsia="Arial" w:hAnsi="Arial"/>
                <w:sz w:val="18"/>
                <w:szCs w:val="18"/>
                <w:b w:val="1"/>
                <w:bCs w:val="1"/>
                <w:color w:val="auto"/>
              </w:rPr>
              <w:t>ADVANCES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Advances consisted of the following at the dates indicated:</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2009</w:t>
            </w:r>
          </w:p>
        </w:tc>
      </w:tr>
      <w:tr>
        <w:trPr>
          <w:trHeight w:val="216"/>
        </w:trPr>
        <w:tc>
          <w:tcPr>
            <w:tcW w:w="20" w:type="dxa"/>
            <w:vAlign w:val="bottom"/>
          </w:tcPr>
          <w:p>
            <w:pPr>
              <w:spacing w:after="0"/>
              <w:rPr>
                <w:sz w:val="18"/>
                <w:szCs w:val="18"/>
                <w:color w:val="auto"/>
              </w:rPr>
            </w:pPr>
          </w:p>
        </w:tc>
        <w:tc>
          <w:tcPr>
            <w:tcW w:w="104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484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7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6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Principal and interest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104,926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51,598</w:t>
            </w: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Taxes and insurance</w:t>
            </w:r>
          </w:p>
        </w:tc>
        <w:tc>
          <w:tcPr>
            <w:tcW w:w="1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53,183</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52,813</w:t>
            </w: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Foreclosure and bankruptcy costs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28,275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28,021</w:t>
            </w:r>
          </w:p>
        </w:tc>
      </w:tr>
      <w:tr>
        <w:trPr>
          <w:trHeight w:val="223"/>
        </w:trPr>
        <w:tc>
          <w:tcPr>
            <w:tcW w:w="20" w:type="dxa"/>
            <w:vAlign w:val="bottom"/>
          </w:tcPr>
          <w:p>
            <w:pPr>
              <w:spacing w:after="0"/>
              <w:rPr>
                <w:sz w:val="19"/>
                <w:szCs w:val="19"/>
                <w:color w:val="auto"/>
              </w:rPr>
            </w:pPr>
          </w:p>
        </w:tc>
        <w:tc>
          <w:tcPr>
            <w:tcW w:w="10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4840" w:type="dxa"/>
            <w:vAlign w:val="bottom"/>
            <w:tcBorders>
              <w:bottom w:val="single" w:sz="8" w:color="EAF9E8"/>
            </w:tcBorders>
            <w:shd w:val="clear" w:color="auto" w:fill="EAF9E8"/>
          </w:tcPr>
          <w:p>
            <w:pPr>
              <w:spacing w:after="0"/>
              <w:rPr>
                <w:sz w:val="19"/>
                <w:szCs w:val="19"/>
                <w:color w:val="auto"/>
              </w:rPr>
            </w:pPr>
          </w:p>
        </w:tc>
        <w:tc>
          <w:tcPr>
            <w:tcW w:w="13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auto"/>
            </w:tcBorders>
            <w:shd w:val="clear" w:color="auto" w:fill="EAF9E8"/>
          </w:tcPr>
          <w:p>
            <w:pPr>
              <w:spacing w:after="0"/>
              <w:rPr>
                <w:sz w:val="19"/>
                <w:szCs w:val="19"/>
                <w:color w:val="auto"/>
              </w:rPr>
            </w:pPr>
          </w:p>
        </w:tc>
        <w:tc>
          <w:tcPr>
            <w:tcW w:w="1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28,405</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8,998</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214,789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141,430</w:t>
            </w: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Loans and Residuals</w:t>
            </w:r>
          </w:p>
        </w:tc>
        <w:tc>
          <w:tcPr>
            <w:tcW w:w="1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3,988</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4,321</w:t>
            </w: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Corporate Items and Other</w:t>
            </w:r>
          </w:p>
        </w:tc>
        <w:tc>
          <w:tcPr>
            <w:tcW w:w="1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4840" w:type="dxa"/>
            <w:vAlign w:val="bottom"/>
            <w:shd w:val="clear" w:color="auto" w:fill="EAF9E8"/>
          </w:tcPr>
          <w:p>
            <w:pPr>
              <w:spacing w:after="0"/>
              <w:rPr>
                <w:sz w:val="20"/>
                <w:szCs w:val="20"/>
                <w:color w:val="auto"/>
              </w:rPr>
            </w:pPr>
          </w:p>
        </w:tc>
        <w:tc>
          <w:tcPr>
            <w:tcW w:w="1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218,936</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145,914</w:t>
            </w: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EAF9E8"/>
            </w:tcBorders>
            <w:shd w:val="clear" w:color="auto" w:fill="EAF9E8"/>
          </w:tcPr>
          <w:p>
            <w:pPr>
              <w:spacing w:after="0" w:line="20" w:lineRule="exact"/>
              <w:rPr>
                <w:sz w:val="1"/>
                <w:szCs w:val="1"/>
                <w:color w:val="auto"/>
              </w:rPr>
            </w:pPr>
          </w:p>
        </w:tc>
        <w:tc>
          <w:tcPr>
            <w:tcW w:w="4840" w:type="dxa"/>
            <w:vAlign w:val="bottom"/>
            <w:tcBorders>
              <w:top w:val="single" w:sz="8" w:color="EAF9E8"/>
            </w:tcBorders>
            <w:shd w:val="clear" w:color="auto" w:fill="EAF9E8"/>
          </w:tcPr>
          <w:p>
            <w:pPr>
              <w:spacing w:after="0" w:line="20" w:lineRule="exact"/>
              <w:rPr>
                <w:sz w:val="1"/>
                <w:szCs w:val="1"/>
                <w:color w:val="auto"/>
              </w:rPr>
            </w:pPr>
          </w:p>
        </w:tc>
        <w:tc>
          <w:tcPr>
            <w:tcW w:w="13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During any period in which the borrower does not make payments, most of our servicing agreements require that we advance our own funds to meet contractual principal and interest remittance requirements for the investors, pay property taxes and insurance premiums and process foreclosures. We also advance funds to maintain, repair and market foreclosed real estate properties on behalf of investors.</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Servicing advances of $79,936 and $72,670 were pledged as collateral under the terms of the term reimbursement advance borrowing as of September 30, 2010 and December 31, 2009, respectively.</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MATCH FUNDED ADVANCES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Match funded advances on residential loans we service for others, as more fully described in Note 1—Principles of Consolidation-Match Funded Advances on Loans Serviced for Others, are comprised of the following at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September 30, 2010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3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1,156,699</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Taxes and insurance</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668,349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332,326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AF9E8"/>
          </w:tcPr>
          <w:p>
            <w:pPr>
              <w:spacing w:after="0"/>
              <w:rPr>
                <w:sz w:val="20"/>
                <w:szCs w:val="20"/>
                <w:color w:val="auto"/>
              </w:rPr>
            </w:pPr>
            <w:r>
              <w:rPr>
                <w:rFonts w:ascii="Arial" w:cs="Arial" w:eastAsia="Arial" w:hAnsi="Arial"/>
                <w:sz w:val="18"/>
                <w:szCs w:val="18"/>
                <w:color w:val="auto"/>
              </w:rPr>
              <w:t>Foreclosure and bankruptcy costs</w:t>
            </w:r>
          </w:p>
        </w:tc>
        <w:tc>
          <w:tcPr>
            <w:tcW w:w="3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143,451</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Real estate servicing costs</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114,233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49,446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32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auto"/>
            </w:tcBorders>
            <w:shd w:val="clear" w:color="auto" w:fill="EAF9E8"/>
          </w:tcPr>
          <w:p>
            <w:pPr>
              <w:spacing w:after="0"/>
              <w:rPr>
                <w:sz w:val="19"/>
                <w:szCs w:val="19"/>
                <w:color w:val="auto"/>
              </w:rPr>
            </w:pPr>
          </w:p>
        </w:tc>
        <w:tc>
          <w:tcPr>
            <w:tcW w:w="1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44,259</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22,534</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2,126,991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822,615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0" w:type="dxa"/>
            <w:vAlign w:val="bottom"/>
            <w:vMerge w:val="restart"/>
          </w:tcPr>
          <w:p>
            <w:pPr>
              <w:jc w:val="right"/>
              <w:ind w:right="133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spacing w:after="0"/>
        <w:tabs>
          <w:tab w:leader="none" w:pos="13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LOANS – RESTRICTED FOR SECURITIZATION INVESTORS</w:t>
      </w:r>
    </w:p>
    <w:p>
      <w:pPr>
        <w:spacing w:after="0" w:line="229"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Loans – restricted for securitization investors are held by four securitization trusts that we include in our consolidated financial statements under the provisions of ASC 810, Consolidation, as more fully described in Note 1—Securitizations of Residential Mortgage Loans. Loans – restricted for securitization investors consisted of the following at September 30, 2010: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shd w:val="clear" w:color="auto" w:fill="EAF9E8"/>
          </w:tcPr>
          <w:p>
            <w:pPr>
              <w:spacing w:after="0"/>
              <w:rPr>
                <w:sz w:val="20"/>
                <w:szCs w:val="20"/>
                <w:color w:val="auto"/>
              </w:rPr>
            </w:pPr>
            <w:r>
              <w:rPr>
                <w:rFonts w:ascii="Arial" w:cs="Arial" w:eastAsia="Arial" w:hAnsi="Arial"/>
                <w:sz w:val="18"/>
                <w:szCs w:val="18"/>
                <w:color w:val="auto"/>
              </w:rPr>
              <w:t>Single family residential loans (1)</w:t>
            </w:r>
          </w:p>
        </w:tc>
        <w:tc>
          <w:tcPr>
            <w:tcW w:w="4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72,179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Allowance for loans losses</w:t>
            </w: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(2,443)</w:t>
            </w:r>
          </w:p>
        </w:tc>
      </w:tr>
      <w:tr>
        <w:trPr>
          <w:trHeight w:val="27"/>
        </w:trPr>
        <w:tc>
          <w:tcPr>
            <w:tcW w:w="63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320" w:type="dxa"/>
            <w:vAlign w:val="bottom"/>
            <w:shd w:val="clear" w:color="auto" w:fill="EAF9E8"/>
          </w:tcPr>
          <w:p>
            <w:pPr>
              <w:spacing w:after="0"/>
              <w:rPr>
                <w:sz w:val="20"/>
                <w:szCs w:val="20"/>
                <w:color w:val="auto"/>
              </w:rPr>
            </w:pPr>
          </w:p>
        </w:tc>
        <w:tc>
          <w:tcPr>
            <w:tcW w:w="4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69,736</w:t>
            </w:r>
          </w:p>
        </w:tc>
      </w:tr>
      <w:tr>
        <w:trPr>
          <w:trHeight w:val="20"/>
        </w:trPr>
        <w:tc>
          <w:tcPr>
            <w:tcW w:w="6320" w:type="dxa"/>
            <w:vAlign w:val="bottom"/>
            <w:tcBorders>
              <w:top w:val="single" w:sz="8" w:color="EAF9E8"/>
            </w:tcBorders>
            <w:shd w:val="clear" w:color="auto" w:fill="EAF9E8"/>
          </w:tcPr>
          <w:p>
            <w:pPr>
              <w:spacing w:after="0" w:line="20" w:lineRule="exact"/>
              <w:rPr>
                <w:sz w:val="1"/>
                <w:szCs w:val="1"/>
                <w:color w:val="auto"/>
              </w:rPr>
            </w:pPr>
          </w:p>
        </w:tc>
        <w:tc>
          <w:tcPr>
            <w:tcW w:w="386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nonperforming loans of $12,907.</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report loans held by the consolidated securitization trusts at cost, less an allowance for loan losses. We consider loans held by the trusts to be nonperforming if they are delinquent greater than 89 days or if the loan is in foreclosure or in bankruptcy. We do not accrue for interest on nonperforming loans. In situations where the trusts foreclose upon the collateral, we classify the loans as real estate, a component of Other assets. We report as Other, net the losses that are realized by the trusts on loans or real estate resolved through repayment of less than the unpaid principal balance of the loan in full plus any costs incurred by the servicer to resolve the loan or real estate.</w:t>
      </w:r>
    </w:p>
    <w:p>
      <w:pPr>
        <w:spacing w:after="0" w:line="18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We maintain an allowance for loan losses for loans and real estate held by the trusts at a level that, based upon our evaluation of known and inherent risks in the collateral of the trusts, we consider to be adequate to provide for probable losses. We base our ongoing evaluation of the allowance for loan losses upon an analysis of the collateral of the trusts, historical loss experience, economic conditions and trends, collateral values and other relevant factors.</w:t>
      </w:r>
    </w:p>
    <w:p>
      <w:pPr>
        <w:spacing w:after="0" w:line="14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September 30, 2010, the trusts held 1,252 loans that are secured by first or second liens on one- to four-family residential properties. These loans have a weighted average coupon rate of 9.43% and a weighted average remaining life of 138 months.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MORTGAGE SERVICING RIGHTS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 xml:space="preserve">Servicing Assets. </w:t>
      </w:r>
      <w:r>
        <w:rPr>
          <w:rFonts w:ascii="Arial" w:cs="Arial" w:eastAsia="Arial" w:hAnsi="Arial"/>
          <w:sz w:val="18"/>
          <w:szCs w:val="18"/>
          <w:color w:val="auto"/>
        </w:rPr>
        <w:t>The following table summarizes the activity in the carrying value of residential servicing assets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shd w:val="clear" w:color="auto" w:fill="EAF9E8"/>
          </w:tcPr>
          <w:p>
            <w:pPr>
              <w:spacing w:after="0"/>
              <w:rPr>
                <w:sz w:val="20"/>
                <w:szCs w:val="20"/>
                <w:color w:val="auto"/>
              </w:rPr>
            </w:pPr>
            <w:r>
              <w:rPr>
                <w:rFonts w:ascii="Arial" w:cs="Arial" w:eastAsia="Arial" w:hAnsi="Arial"/>
                <w:sz w:val="18"/>
                <w:szCs w:val="18"/>
                <w:color w:val="auto"/>
              </w:rPr>
              <w:t>Carrying value at December 31, 2009</w:t>
            </w:r>
          </w:p>
        </w:tc>
        <w:tc>
          <w:tcPr>
            <w:tcW w:w="320" w:type="dxa"/>
            <w:vAlign w:val="bottom"/>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117,802</w:t>
            </w: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Purchases(1)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108,108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transfers and adjustments</w:t>
            </w: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Decrease in impairment valuation allowance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(2)</w:t>
            </w:r>
          </w:p>
        </w:tc>
        <w:tc>
          <w:tcPr>
            <w:tcW w:w="32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(22,136)</w:t>
            </w:r>
          </w:p>
        </w:tc>
      </w:tr>
      <w:tr>
        <w:trPr>
          <w:trHeight w:val="216"/>
        </w:trPr>
        <w:tc>
          <w:tcPr>
            <w:tcW w:w="20" w:type="dxa"/>
            <w:vAlign w:val="bottom"/>
          </w:tcPr>
          <w:p>
            <w:pPr>
              <w:spacing w:after="0"/>
              <w:rPr>
                <w:sz w:val="18"/>
                <w:szCs w:val="18"/>
                <w:color w:val="auto"/>
              </w:rPr>
            </w:pPr>
          </w:p>
        </w:tc>
        <w:tc>
          <w:tcPr>
            <w:tcW w:w="1016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Carrying value at September 30, 2010</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203,930</w:t>
            </w:r>
          </w:p>
        </w:tc>
        <w:tc>
          <w:tcPr>
            <w:tcW w:w="100" w:type="dxa"/>
            <w:vAlign w:val="bottom"/>
            <w:tcBorders>
              <w:top w:val="single" w:sz="8" w:color="EAF9E8"/>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$84,683 of MSRs acquired as part of the HomEq Acquisition.</w:t>
      </w:r>
    </w:p>
    <w:p>
      <w:pPr>
        <w:spacing w:after="0" w:line="225" w:lineRule="exact"/>
        <w:rPr>
          <w:rFonts w:ascii="Arial" w:cs="Arial" w:eastAsia="Arial" w:hAnsi="Arial"/>
          <w:sz w:val="18"/>
          <w:szCs w:val="18"/>
          <w:color w:val="auto"/>
        </w:rPr>
      </w:pPr>
    </w:p>
    <w:p>
      <w:pPr>
        <w:ind w:left="460" w:right="12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first nine months of 2010, amortization of servicing liabilities exceeded the amount of charges we recognized to increase servicing liability obligations by $33. Amortization of mortgage servicing rights of $22,103 in our Consolidated Statement of Operations is reported net of this amount.</w:t>
      </w:r>
    </w:p>
    <w:p>
      <w:pPr>
        <w:spacing w:after="0" w:line="124"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following table presents the composition of our servicing and subservicing portfolios by type of property serviced as measured by UPB. The servicing portfolio represents purchased mortgage servicing rights while subservicing generally represents all other mortgage servicing rights.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Residential</w:t>
            </w:r>
          </w:p>
        </w:tc>
        <w:tc>
          <w:tcPr>
            <w:tcW w:w="8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UPB of Assets Serviced:</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EAF9E8"/>
          </w:tcPr>
          <w:p>
            <w:pPr>
              <w:spacing w:after="0"/>
              <w:rPr>
                <w:sz w:val="20"/>
                <w:szCs w:val="20"/>
                <w:color w:val="auto"/>
              </w:rPr>
            </w:pPr>
            <w:r>
              <w:rPr>
                <w:rFonts w:ascii="Arial" w:cs="Arial" w:eastAsia="Arial" w:hAnsi="Arial"/>
                <w:sz w:val="18"/>
                <w:szCs w:val="18"/>
                <w:color w:val="auto"/>
              </w:rPr>
              <w:t>September 30, 2010:</w:t>
            </w: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52,973,984</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52,973,984</w:t>
            </w:r>
          </w:p>
        </w:tc>
      </w:tr>
      <w:tr>
        <w:trPr>
          <w:trHeight w:val="223"/>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(1)</w:t>
            </w:r>
          </w:p>
        </w:tc>
        <w:tc>
          <w:tcPr>
            <w:tcW w:w="120" w:type="dxa"/>
            <w:vAlign w:val="bottom"/>
            <w:tcBorders>
              <w:bottom w:val="single" w:sz="8" w:color="auto"/>
            </w:tcBorders>
            <w:shd w:val="clear" w:color="auto" w:fill="EAF9E8"/>
          </w:tcPr>
          <w:p>
            <w:pPr>
              <w:spacing w:after="0"/>
              <w:rPr>
                <w:sz w:val="19"/>
                <w:szCs w:val="19"/>
                <w:color w:val="auto"/>
              </w:rPr>
            </w:pP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23,166,038</w:t>
            </w:r>
          </w:p>
        </w:tc>
        <w:tc>
          <w:tcPr>
            <w:tcW w:w="440" w:type="dxa"/>
            <w:vAlign w:val="bottom"/>
            <w:tcBorders>
              <w:bottom w:val="single" w:sz="8" w:color="EAF9E8"/>
            </w:tcBorders>
            <w:shd w:val="clear" w:color="auto" w:fill="EAF9E8"/>
          </w:tcPr>
          <w:p>
            <w:pPr>
              <w:spacing w:after="0"/>
              <w:rPr>
                <w:sz w:val="19"/>
                <w:szCs w:val="19"/>
                <w:color w:val="auto"/>
              </w:rPr>
            </w:pPr>
          </w:p>
        </w:tc>
        <w:tc>
          <w:tcPr>
            <w:tcW w:w="80" w:type="dxa"/>
            <w:vAlign w:val="bottom"/>
            <w:tcBorders>
              <w:bottom w:val="single" w:sz="8" w:color="auto"/>
            </w:tcBorders>
            <w:shd w:val="clear" w:color="auto" w:fill="EAF9E8"/>
          </w:tcPr>
          <w:p>
            <w:pPr>
              <w:spacing w:after="0"/>
              <w:rPr>
                <w:sz w:val="19"/>
                <w:szCs w:val="19"/>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452,296</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auto"/>
            </w:tcBorders>
            <w:shd w:val="clear" w:color="auto" w:fill="EAF9E8"/>
          </w:tcPr>
          <w:p>
            <w:pPr>
              <w:spacing w:after="0"/>
              <w:rPr>
                <w:sz w:val="19"/>
                <w:szCs w:val="19"/>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23,618,334</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7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76,140,022</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452,296</w:t>
            </w:r>
          </w:p>
        </w:tc>
        <w:tc>
          <w:tcPr>
            <w:tcW w:w="2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76,592,318</w:t>
            </w:r>
          </w:p>
        </w:tc>
      </w:tr>
      <w:tr>
        <w:trPr>
          <w:trHeight w:val="21"/>
        </w:trPr>
        <w:tc>
          <w:tcPr>
            <w:tcW w:w="7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00" w:type="dxa"/>
            <w:vAlign w:val="bottom"/>
            <w:shd w:val="clear" w:color="auto" w:fill="EAF9E8"/>
          </w:tcPr>
          <w:p>
            <w:pPr>
              <w:spacing w:after="0"/>
              <w:rPr>
                <w:sz w:val="20"/>
                <w:szCs w:val="20"/>
                <w:color w:val="auto"/>
              </w:rPr>
            </w:pPr>
            <w:r>
              <w:rPr>
                <w:rFonts w:ascii="Arial" w:cs="Arial" w:eastAsia="Arial" w:hAnsi="Arial"/>
                <w:sz w:val="18"/>
                <w:szCs w:val="18"/>
                <w:color w:val="auto"/>
              </w:rPr>
              <w:t>December 31, 2009:</w:t>
            </w: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27,408,436</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27,408,436</w:t>
            </w:r>
          </w:p>
        </w:tc>
      </w:tr>
      <w:tr>
        <w:trPr>
          <w:trHeight w:val="223"/>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(1)</w:t>
            </w:r>
          </w:p>
        </w:tc>
        <w:tc>
          <w:tcPr>
            <w:tcW w:w="120" w:type="dxa"/>
            <w:vAlign w:val="bottom"/>
            <w:tcBorders>
              <w:bottom w:val="single" w:sz="8" w:color="auto"/>
            </w:tcBorders>
            <w:shd w:val="clear" w:color="auto" w:fill="EAF9E8"/>
          </w:tcPr>
          <w:p>
            <w:pPr>
              <w:spacing w:after="0"/>
              <w:rPr>
                <w:sz w:val="19"/>
                <w:szCs w:val="19"/>
                <w:color w:val="auto"/>
              </w:rPr>
            </w:pP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22,571,641</w:t>
            </w:r>
          </w:p>
        </w:tc>
        <w:tc>
          <w:tcPr>
            <w:tcW w:w="440" w:type="dxa"/>
            <w:vAlign w:val="bottom"/>
            <w:tcBorders>
              <w:bottom w:val="single" w:sz="8" w:color="EAF9E8"/>
            </w:tcBorders>
            <w:shd w:val="clear" w:color="auto" w:fill="EAF9E8"/>
          </w:tcPr>
          <w:p>
            <w:pPr>
              <w:spacing w:after="0"/>
              <w:rPr>
                <w:sz w:val="19"/>
                <w:szCs w:val="19"/>
                <w:color w:val="auto"/>
              </w:rPr>
            </w:pPr>
          </w:p>
        </w:tc>
        <w:tc>
          <w:tcPr>
            <w:tcW w:w="80" w:type="dxa"/>
            <w:vAlign w:val="bottom"/>
            <w:tcBorders>
              <w:bottom w:val="single" w:sz="8" w:color="auto"/>
            </w:tcBorders>
            <w:shd w:val="clear" w:color="auto" w:fill="EAF9E8"/>
          </w:tcPr>
          <w:p>
            <w:pPr>
              <w:spacing w:after="0"/>
              <w:rPr>
                <w:sz w:val="19"/>
                <w:szCs w:val="19"/>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211,603</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auto"/>
            </w:tcBorders>
            <w:shd w:val="clear" w:color="auto" w:fill="EAF9E8"/>
          </w:tcPr>
          <w:p>
            <w:pPr>
              <w:spacing w:after="0"/>
              <w:rPr>
                <w:sz w:val="19"/>
                <w:szCs w:val="19"/>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22,783,244</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7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49,980,077</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211,603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50,191,680</w:t>
            </w:r>
          </w:p>
        </w:tc>
      </w:tr>
      <w:tr>
        <w:trPr>
          <w:trHeight w:val="21"/>
        </w:trPr>
        <w:tc>
          <w:tcPr>
            <w:tcW w:w="7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non-performing loans serviced for Freddie Mac.</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4" w:name="page25"/>
    <w:bookmarkEnd w:id="24"/>
    <w:p>
      <w:pPr>
        <w:ind w:right="380" w:firstLine="324"/>
        <w:spacing w:after="0" w:line="264" w:lineRule="auto"/>
        <w:rPr>
          <w:sz w:val="20"/>
          <w:szCs w:val="20"/>
          <w:color w:val="auto"/>
        </w:rPr>
      </w:pPr>
      <w:r>
        <w:rPr>
          <w:rFonts w:ascii="Arial" w:cs="Arial" w:eastAsia="Arial" w:hAnsi="Arial"/>
          <w:sz w:val="18"/>
          <w:szCs w:val="18"/>
          <w:color w:val="auto"/>
        </w:rPr>
        <w:t>MSRs are an intangible asset representing the right to service a portfolio of mortgage loans. We generally obtain MSRs by purchasing them from the owners of the mortgage loans. Residential assets serviced consist principally of mortgage loans, primarily subprime, but also include real estate. Assets serviced for others are not included on our Consolidated Balance Sheet.</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we receive from borrowers, are escrowed with an unaffiliated bank and excluded from our Consolidated Balance Sheet. Custodial accounts amounted to approximately $451,300 and $234,100 at September 30, 2010 and December 31, 2009, respectively.</w:t>
      </w:r>
    </w:p>
    <w:p>
      <w:pPr>
        <w:spacing w:after="0" w:line="181"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i w:val="1"/>
          <w:iCs w:val="1"/>
          <w:color w:val="auto"/>
        </w:rPr>
        <w:t xml:space="preserve">Valuation Allowance for Impairment. </w:t>
      </w:r>
      <w:r>
        <w:rPr>
          <w:rFonts w:ascii="Arial" w:cs="Arial" w:eastAsia="Arial" w:hAnsi="Arial"/>
          <w:sz w:val="16"/>
          <w:szCs w:val="16"/>
          <w:color w:val="auto"/>
        </w:rPr>
        <w:t>During 2008, we established a valuation allowance for impairment of $3,624 on the high-loan-to-value stratum of</w:t>
      </w:r>
      <w:r>
        <w:rPr>
          <w:rFonts w:ascii="Arial" w:cs="Arial" w:eastAsia="Arial" w:hAnsi="Arial"/>
          <w:sz w:val="16"/>
          <w:szCs w:val="16"/>
          <w:i w:val="1"/>
          <w:iCs w:val="1"/>
          <w:color w:val="auto"/>
        </w:rPr>
        <w:t xml:space="preserve"> </w:t>
      </w:r>
      <w:r>
        <w:rPr>
          <w:rFonts w:ascii="Arial" w:cs="Arial" w:eastAsia="Arial" w:hAnsi="Arial"/>
          <w:sz w:val="16"/>
          <w:szCs w:val="16"/>
          <w:color w:val="auto"/>
        </w:rPr>
        <w:t>our mortgage servicing rights as the estimated fair value was less than the carrying value. Changes in the valuation allowance for impairment are reflected in Servicing and origination expenses in our Consolidated Statement of Operations. Net of the valuation allowance of $2,769, the carrying value of this stratum was $523 at September 30, 2010. For all other strata, the fair value was above the carrying value at September 30, 2010.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Estimated fair value of MSRs:</w:t>
            </w:r>
          </w:p>
        </w:tc>
        <w:tc>
          <w:tcPr>
            <w:tcW w:w="4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September 30, 2010</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233,722</w:t>
            </w:r>
          </w:p>
        </w:tc>
      </w:tr>
      <w:tr>
        <w:trPr>
          <w:trHeight w:val="216"/>
        </w:trPr>
        <w:tc>
          <w:tcPr>
            <w:tcW w:w="6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December 31, 2009</w:t>
            </w:r>
          </w:p>
        </w:tc>
        <w:tc>
          <w:tcPr>
            <w:tcW w:w="42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127,268</w:t>
            </w: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We recognize a servicing liability for those agreements that we do not expect to compensate us adequately for performing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Servicing liabilities were $3,545 and $2,878 at September 30, 2010 and December 31, 2009, respectively, and are included in Other liabilities. The increase is primarily due to servicing liabilities of $700 assumed as part of the HomEq Acquisition.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NOTE 10</w:t>
            </w:r>
          </w:p>
        </w:tc>
        <w:tc>
          <w:tcPr>
            <w:tcW w:w="5980" w:type="dxa"/>
            <w:vAlign w:val="bottom"/>
            <w:gridSpan w:val="2"/>
          </w:tcPr>
          <w:p>
            <w:pPr>
              <w:jc w:val="right"/>
              <w:ind w:right="4680"/>
              <w:spacing w:after="0"/>
              <w:rPr>
                <w:sz w:val="20"/>
                <w:szCs w:val="20"/>
                <w:color w:val="auto"/>
              </w:rPr>
            </w:pPr>
            <w:r>
              <w:rPr>
                <w:rFonts w:ascii="Arial" w:cs="Arial" w:eastAsia="Arial" w:hAnsi="Arial"/>
                <w:sz w:val="18"/>
                <w:szCs w:val="18"/>
                <w:b w:val="1"/>
                <w:bCs w:val="1"/>
                <w:color w:val="auto"/>
                <w:w w:val="99"/>
              </w:rPr>
              <w:t>RECEIVABLES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320" w:type="dxa"/>
            <w:vAlign w:val="bottom"/>
            <w:gridSpan w:val="3"/>
          </w:tcPr>
          <w:p>
            <w:pPr>
              <w:ind w:left="320"/>
              <w:spacing w:after="0"/>
              <w:rPr>
                <w:sz w:val="20"/>
                <w:szCs w:val="20"/>
                <w:color w:val="auto"/>
              </w:rPr>
            </w:pPr>
            <w:r>
              <w:rPr>
                <w:rFonts w:ascii="Arial" w:cs="Arial" w:eastAsia="Arial" w:hAnsi="Arial"/>
                <w:sz w:val="18"/>
                <w:szCs w:val="18"/>
                <w:color w:val="auto"/>
              </w:rPr>
              <w:t>Receivables consisted of the following at the dates indicated:</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September 30, 2010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2009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Accounts receivable by segment:</w:t>
            </w:r>
          </w:p>
        </w:tc>
        <w:tc>
          <w:tcPr>
            <w:tcW w:w="17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Servicing (1)</w:t>
            </w:r>
          </w:p>
        </w:tc>
        <w:tc>
          <w:tcPr>
            <w:tcW w:w="5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19,751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41,940</w:t>
            </w: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Asset Management Vehicles</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23"/>
        </w:trPr>
        <w:tc>
          <w:tcPr>
            <w:tcW w:w="20" w:type="dxa"/>
            <w:vAlign w:val="bottom"/>
          </w:tcPr>
          <w:p>
            <w:pPr>
              <w:spacing w:after="0"/>
              <w:rPr>
                <w:sz w:val="19"/>
                <w:szCs w:val="19"/>
                <w:color w:val="auto"/>
              </w:rPr>
            </w:pPr>
          </w:p>
        </w:tc>
        <w:tc>
          <w:tcPr>
            <w:tcW w:w="720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Corporate Items and Other</w:t>
            </w:r>
          </w:p>
        </w:tc>
        <w:tc>
          <w:tcPr>
            <w:tcW w:w="120" w:type="dxa"/>
            <w:vAlign w:val="bottom"/>
            <w:tcBorders>
              <w:bottom w:val="single" w:sz="8" w:color="auto"/>
            </w:tcBorders>
            <w:shd w:val="clear" w:color="auto" w:fill="EAF9E8"/>
          </w:tcPr>
          <w:p>
            <w:pPr>
              <w:spacing w:after="0"/>
              <w:rPr>
                <w:sz w:val="19"/>
                <w:szCs w:val="19"/>
                <w:color w:val="auto"/>
              </w:rPr>
            </w:pPr>
          </w:p>
        </w:tc>
        <w:tc>
          <w:tcPr>
            <w:tcW w:w="1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21,691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44,914</w:t>
            </w: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20"/>
                <w:szCs w:val="20"/>
                <w:color w:val="auto"/>
              </w:rPr>
            </w:pPr>
            <w:r>
              <w:rPr>
                <w:rFonts w:ascii="Arial" w:cs="Arial" w:eastAsia="Arial" w:hAnsi="Arial"/>
                <w:sz w:val="18"/>
                <w:szCs w:val="18"/>
                <w:color w:val="auto"/>
                <w:w w:val="90"/>
              </w:rPr>
              <w:t>Other receivables:</w:t>
            </w:r>
          </w:p>
        </w:tc>
        <w:tc>
          <w:tcPr>
            <w:tcW w:w="5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16,303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17,865</w:t>
            </w: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Receivable from Altisource</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1,759</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3,310</w:t>
            </w:r>
          </w:p>
        </w:tc>
      </w:tr>
      <w:tr>
        <w:trPr>
          <w:trHeight w:val="223"/>
        </w:trPr>
        <w:tc>
          <w:tcPr>
            <w:tcW w:w="2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Other</w:t>
            </w:r>
          </w:p>
        </w:tc>
        <w:tc>
          <w:tcPr>
            <w:tcW w:w="5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340" w:type="dxa"/>
            <w:vAlign w:val="bottom"/>
            <w:shd w:val="clear" w:color="auto" w:fill="EAF9E8"/>
          </w:tcPr>
          <w:p>
            <w:pPr>
              <w:spacing w:after="0"/>
              <w:rPr>
                <w:sz w:val="20"/>
                <w:szCs w:val="20"/>
                <w:color w:val="auto"/>
              </w:rPr>
            </w:pPr>
          </w:p>
        </w:tc>
        <w:tc>
          <w:tcPr>
            <w:tcW w:w="5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42,747</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67,095</w:t>
            </w: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EAF9E8"/>
            </w:tcBorders>
            <w:shd w:val="clear" w:color="auto" w:fill="EAF9E8"/>
          </w:tcPr>
          <w:p>
            <w:pPr>
              <w:spacing w:after="0" w:line="20" w:lineRule="exact"/>
              <w:rPr>
                <w:sz w:val="1"/>
                <w:szCs w:val="1"/>
                <w:color w:val="auto"/>
              </w:rPr>
            </w:pPr>
          </w:p>
        </w:tc>
        <w:tc>
          <w:tcPr>
            <w:tcW w:w="58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460" w:right="42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balances at September 30, 2010 and December 31, 2009 primarily include reimbursable expenditures due from investors. The total balance of receivables for this segment is net of reserves of $281 and $547 at September 30, 2010 and December 31, 2009, respectively. The balances at September 30, 2010 and December 31, 2009 include $9,767 and $37,226, respectively, due from Freddie Mac in connection with loans we service under a subservicing agreement.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NOTE 11</w:t>
            </w:r>
          </w:p>
        </w:tc>
        <w:tc>
          <w:tcPr>
            <w:tcW w:w="4740" w:type="dxa"/>
            <w:vAlign w:val="bottom"/>
          </w:tcPr>
          <w:p>
            <w:pPr>
              <w:ind w:left="140"/>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rPr>
              <w:t>Other assets consisted of the following at the dates indicated:</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September 30, 2010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2009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65,175</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50,221</w:t>
            </w: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Interest earning collateral deposits (2)</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33,463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8,671</w:t>
            </w: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issuance costs, net (3)</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26,290</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8,223</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Term note (4)</w:t>
            </w:r>
          </w:p>
        </w:tc>
        <w:tc>
          <w:tcPr>
            <w:tcW w:w="4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20" w:type="dxa"/>
            <w:vAlign w:val="bottom"/>
          </w:tcPr>
          <w:p>
            <w:pPr>
              <w:spacing w:after="0"/>
              <w:rPr>
                <w:sz w:val="18"/>
                <w:szCs w:val="18"/>
                <w:color w:val="auto"/>
              </w:rPr>
            </w:pPr>
          </w:p>
        </w:tc>
        <w:tc>
          <w:tcPr>
            <w:tcW w:w="1220" w:type="dxa"/>
            <w:vAlign w:val="bottom"/>
            <w:shd w:val="clear" w:color="auto" w:fill="EAF9E8"/>
          </w:tcPr>
          <w:p>
            <w:pPr>
              <w:spacing w:after="0"/>
              <w:rPr>
                <w:sz w:val="20"/>
                <w:szCs w:val="20"/>
                <w:color w:val="auto"/>
              </w:rPr>
            </w:pPr>
            <w:r>
              <w:rPr>
                <w:rFonts w:ascii="Arial" w:cs="Arial" w:eastAsia="Arial" w:hAnsi="Arial"/>
                <w:sz w:val="18"/>
                <w:szCs w:val="18"/>
                <w:color w:val="auto"/>
                <w:w w:val="95"/>
              </w:rPr>
              <w:t>Real estate, net</w:t>
            </w:r>
          </w:p>
        </w:tc>
        <w:tc>
          <w:tcPr>
            <w:tcW w:w="47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4,423</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8,133</w:t>
            </w: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Other</w:t>
            </w:r>
          </w:p>
        </w:tc>
        <w:tc>
          <w:tcPr>
            <w:tcW w:w="4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474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147,101</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89,636</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EAF9E8"/>
            </w:tcBorders>
            <w:shd w:val="clear" w:color="auto" w:fill="EAF9E8"/>
          </w:tcPr>
          <w:p>
            <w:pPr>
              <w:spacing w:after="0" w:line="20" w:lineRule="exact"/>
              <w:rPr>
                <w:sz w:val="1"/>
                <w:szCs w:val="1"/>
                <w:color w:val="auto"/>
              </w:rPr>
            </w:pPr>
          </w:p>
        </w:tc>
        <w:tc>
          <w:tcPr>
            <w:tcW w:w="4740" w:type="dxa"/>
            <w:vAlign w:val="bottom"/>
            <w:tcBorders>
              <w:top w:val="single" w:sz="8" w:color="EAF9E8"/>
            </w:tcBorders>
            <w:shd w:val="clear" w:color="auto" w:fill="EAF9E8"/>
          </w:tcPr>
          <w:p>
            <w:pPr>
              <w:spacing w:after="0" w:line="20" w:lineRule="exact"/>
              <w:rPr>
                <w:sz w:val="1"/>
                <w:szCs w:val="1"/>
                <w:color w:val="auto"/>
              </w:rPr>
            </w:pPr>
          </w:p>
        </w:tc>
        <w:tc>
          <w:tcPr>
            <w:tcW w:w="12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460" w:right="60" w:hanging="452"/>
        <w:spacing w:after="0" w:line="279"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Under our five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five match funded advance facilities to provide for possible shortfalls in the funds available to pay certain expenses and interest. These funds are held in interest earning accounts.</w:t>
      </w:r>
    </w:p>
    <w:p>
      <w:pPr>
        <w:spacing w:after="0" w:line="171"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balance at September 30, 2010 includes $25,712 of cash collateral held by the counterparties to certain of our interest rate swap agreements.</w:t>
      </w:r>
    </w:p>
    <w:p>
      <w:pPr>
        <w:spacing w:after="0" w:line="248"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costs are amortized to the earliest contractual maturity date of the debt.</w:t>
      </w:r>
    </w:p>
    <w:p>
      <w:pPr>
        <w:spacing w:after="0" w:line="225" w:lineRule="exact"/>
        <w:rPr>
          <w:rFonts w:ascii="Arial" w:cs="Arial" w:eastAsia="Arial" w:hAnsi="Arial"/>
          <w:sz w:val="18"/>
          <w:szCs w:val="18"/>
          <w:color w:val="auto"/>
        </w:rPr>
      </w:pPr>
    </w:p>
    <w:p>
      <w:pPr>
        <w:ind w:left="460" w:right="100" w:hanging="452"/>
        <w:spacing w:after="0" w:line="30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March 2009, we issued a note receivable, maturing on April 1, 2014, in connection with advances funded by the Ocwen Servicer Advance Funding, LLC (OSAF) term note pledged as collateral, as described in Note 14. We receive 1-Month LIBOR plus 300 basis points (bps) under the terms of this note receivable. Under the terms of the note, repayments of $1,400 per year are required beginning April 1, 2010. We are obligated to pay 1-Month LIBOR plus 350 bps under the terms of a five-year note payable to the same counterparty. We do not have a contractual right to offset these payments.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NOTE 12</w:t>
            </w:r>
          </w:p>
        </w:tc>
        <w:tc>
          <w:tcPr>
            <w:tcW w:w="3320" w:type="dxa"/>
            <w:vAlign w:val="bottom"/>
            <w:gridSpan w:val="5"/>
          </w:tcPr>
          <w:p>
            <w:pPr>
              <w:spacing w:after="0"/>
              <w:rPr>
                <w:sz w:val="20"/>
                <w:szCs w:val="20"/>
                <w:color w:val="auto"/>
              </w:rPr>
            </w:pPr>
            <w:r>
              <w:rPr>
                <w:rFonts w:ascii="Arial" w:cs="Arial" w:eastAsia="Arial" w:hAnsi="Arial"/>
                <w:sz w:val="18"/>
                <w:szCs w:val="18"/>
                <w:b w:val="1"/>
                <w:bCs w:val="1"/>
                <w:color w:val="auto"/>
              </w:rPr>
              <w:t>MATCH FUNDED LIABILITIES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300" w:type="dxa"/>
            <w:vAlign w:val="bottom"/>
            <w:gridSpan w:val="8"/>
          </w:tcPr>
          <w:p>
            <w:pPr>
              <w:ind w:left="320"/>
              <w:spacing w:after="0"/>
              <w:rPr>
                <w:sz w:val="20"/>
                <w:szCs w:val="20"/>
                <w:color w:val="auto"/>
              </w:rPr>
            </w:pPr>
            <w:r>
              <w:rPr>
                <w:rFonts w:ascii="Arial" w:cs="Arial" w:eastAsia="Arial" w:hAnsi="Arial"/>
                <w:sz w:val="18"/>
                <w:szCs w:val="18"/>
                <w:color w:val="auto"/>
                <w:w w:val="98"/>
              </w:rPr>
              <w:t>Match funded liabilities are comprised of the following at the dates indicated: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w w:val="94"/>
              </w:rPr>
              <w:t>Balance Outstanding</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7"/>
              </w:rPr>
              <w:t>Unused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Borrowing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700" w:type="dxa"/>
            <w:vAlign w:val="bottom"/>
            <w:gridSpan w:val="2"/>
          </w:tcPr>
          <w:p>
            <w:pPr>
              <w:ind w:left="220"/>
              <w:spacing w:after="0"/>
              <w:rPr>
                <w:sz w:val="20"/>
                <w:szCs w:val="20"/>
                <w:color w:val="auto"/>
              </w:rPr>
            </w:pPr>
            <w:r>
              <w:rPr>
                <w:rFonts w:ascii="Arial" w:cs="Arial" w:eastAsia="Arial" w:hAnsi="Arial"/>
                <w:sz w:val="18"/>
                <w:szCs w:val="18"/>
                <w:b w:val="1"/>
                <w:bCs w:val="1"/>
                <w:color w:val="auto"/>
              </w:rPr>
              <w:t>Borrowing Type</w:t>
            </w:r>
          </w:p>
        </w:tc>
        <w:tc>
          <w:tcPr>
            <w:tcW w:w="240" w:type="dxa"/>
            <w:vAlign w:val="bottom"/>
          </w:tcPr>
          <w:p>
            <w:pPr>
              <w:spacing w:after="0"/>
              <w:rPr>
                <w:sz w:val="20"/>
                <w:szCs w:val="20"/>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Interest Rate</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8"/>
              </w:rPr>
              <w:t>Maturity (1)</w:t>
            </w: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Date (1)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Capacity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2009</w:t>
            </w:r>
          </w:p>
        </w:tc>
      </w:tr>
      <w:tr>
        <w:trPr>
          <w:trHeight w:val="202"/>
        </w:trPr>
        <w:tc>
          <w:tcPr>
            <w:tcW w:w="20" w:type="dxa"/>
            <w:vAlign w:val="bottom"/>
          </w:tcPr>
          <w:p>
            <w:pPr>
              <w:spacing w:after="0"/>
              <w:rPr>
                <w:sz w:val="17"/>
                <w:szCs w:val="17"/>
                <w:color w:val="auto"/>
              </w:rPr>
            </w:pPr>
          </w:p>
        </w:tc>
        <w:tc>
          <w:tcPr>
            <w:tcW w:w="1700" w:type="dxa"/>
            <w:vAlign w:val="bottom"/>
            <w:tcBorders>
              <w:top w:val="single" w:sz="8" w:color="auto"/>
            </w:tcBorders>
            <w:gridSpan w:val="2"/>
            <w:shd w:val="clear" w:color="auto" w:fill="EAF9E8"/>
          </w:tcPr>
          <w:p>
            <w:pPr>
              <w:spacing w:after="0" w:line="201" w:lineRule="exact"/>
              <w:rPr>
                <w:sz w:val="20"/>
                <w:szCs w:val="20"/>
                <w:color w:val="auto"/>
              </w:rPr>
            </w:pPr>
            <w:r>
              <w:rPr>
                <w:rFonts w:ascii="Arial" w:cs="Arial" w:eastAsia="Arial" w:hAnsi="Arial"/>
                <w:sz w:val="18"/>
                <w:szCs w:val="18"/>
                <w:color w:val="auto"/>
              </w:rPr>
              <w:t>Advance Receivable</w:t>
            </w:r>
          </w:p>
        </w:tc>
        <w:tc>
          <w:tcPr>
            <w:tcW w:w="240" w:type="dxa"/>
            <w:vAlign w:val="bottom"/>
            <w:shd w:val="clear" w:color="auto" w:fill="EAF9E8"/>
          </w:tcPr>
          <w:p>
            <w:pPr>
              <w:spacing w:after="0"/>
              <w:rPr>
                <w:sz w:val="17"/>
                <w:szCs w:val="17"/>
                <w:color w:val="auto"/>
              </w:rPr>
            </w:pPr>
          </w:p>
        </w:tc>
        <w:tc>
          <w:tcPr>
            <w:tcW w:w="138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4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1060" w:type="dxa"/>
            <w:vAlign w:val="bottom"/>
            <w:tcBorders>
              <w:top w:val="single" w:sz="8" w:color="auto"/>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340" w:type="dxa"/>
            <w:vAlign w:val="bottom"/>
            <w:tcBorders>
              <w:top w:val="single" w:sz="8" w:color="auto"/>
            </w:tcBorders>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60" w:type="dxa"/>
            <w:vAlign w:val="bottom"/>
            <w:tcBorders>
              <w:top w:val="single" w:sz="8" w:color="auto"/>
            </w:tcBorders>
            <w:shd w:val="clear" w:color="auto" w:fill="EAF9E8"/>
          </w:tcPr>
          <w:p>
            <w:pPr>
              <w:spacing w:after="0"/>
              <w:rPr>
                <w:sz w:val="17"/>
                <w:szCs w:val="17"/>
                <w:color w:val="auto"/>
              </w:rPr>
            </w:pPr>
          </w:p>
        </w:tc>
        <w:tc>
          <w:tcPr>
            <w:tcW w:w="72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Backed Note Series</w:t>
            </w: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EAF9E8"/>
          </w:tcPr>
          <w:p>
            <w:pPr>
              <w:spacing w:after="0"/>
              <w:rPr>
                <w:sz w:val="20"/>
                <w:szCs w:val="20"/>
                <w:color w:val="auto"/>
              </w:rPr>
            </w:pPr>
            <w:r>
              <w:rPr>
                <w:rFonts w:ascii="Arial" w:cs="Arial" w:eastAsia="Arial" w:hAnsi="Arial"/>
                <w:sz w:val="18"/>
                <w:szCs w:val="18"/>
                <w:color w:val="auto"/>
              </w:rPr>
              <w:t>2009-3 (3)</w:t>
            </w:r>
          </w:p>
        </w:tc>
        <w:tc>
          <w:tcPr>
            <w:tcW w:w="340" w:type="dxa"/>
            <w:vAlign w:val="bottom"/>
            <w:shd w:val="clear" w:color="auto" w:fill="EAF9E8"/>
          </w:tcPr>
          <w:p>
            <w:pPr>
              <w:spacing w:after="0"/>
              <w:rPr>
                <w:sz w:val="20"/>
                <w:szCs w:val="20"/>
                <w:color w:val="auto"/>
              </w:rPr>
            </w:pPr>
          </w:p>
        </w:tc>
        <w:tc>
          <w:tcPr>
            <w:tcW w:w="162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Jul. 2023</w:t>
            </w: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Jul. 2012</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210,000</w:t>
            </w:r>
          </w:p>
        </w:tc>
        <w:tc>
          <w:tcPr>
            <w:tcW w:w="9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210,000</w:t>
            </w: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w w:val="98"/>
              </w:rPr>
              <w:t>Variable Funding</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line="201" w:lineRule="exact"/>
              <w:rPr>
                <w:sz w:val="20"/>
                <w:szCs w:val="20"/>
                <w:color w:val="auto"/>
              </w:rPr>
            </w:pPr>
            <w:r>
              <w:rPr>
                <w:rFonts w:ascii="Arial" w:cs="Arial" w:eastAsia="Arial" w:hAnsi="Arial"/>
                <w:sz w:val="18"/>
                <w:szCs w:val="18"/>
                <w:color w:val="auto"/>
                <w:w w:val="96"/>
              </w:rPr>
              <w:t>1-Month LIBOR +</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w w:val="93"/>
              </w:rPr>
              <w:t>Note Series 2009-2 (4)</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350 bps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Nov. 2012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28,000</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3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8"/>
              </w:rPr>
              <w:t>Variable Funding</w:t>
            </w:r>
          </w:p>
        </w:tc>
        <w:tc>
          <w:tcPr>
            <w:tcW w:w="3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2"/>
              </w:rPr>
              <w:t>Commercial paper</w:t>
            </w: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0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2"/>
              </w:rPr>
              <w:t>Note Series 2009-1 (5)</w:t>
            </w: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rate + 200 bps</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Dec. 2022</w:t>
            </w: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Feb. 2011</w:t>
            </w: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264,142</w:t>
            </w:r>
          </w:p>
        </w:tc>
        <w:tc>
          <w:tcPr>
            <w:tcW w:w="1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35,858</w:t>
            </w:r>
          </w:p>
        </w:tc>
        <w:tc>
          <w:tcPr>
            <w:tcW w:w="16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700" w:type="dxa"/>
            <w:vAlign w:val="bottom"/>
            <w:gridSpan w:val="2"/>
          </w:tcPr>
          <w:p>
            <w:pPr>
              <w:spacing w:after="0" w:line="201" w:lineRule="exact"/>
              <w:rPr>
                <w:sz w:val="20"/>
                <w:szCs w:val="20"/>
                <w:color w:val="auto"/>
              </w:rPr>
            </w:pPr>
            <w:r>
              <w:rPr>
                <w:rFonts w:ascii="Arial" w:cs="Arial" w:eastAsia="Arial" w:hAnsi="Arial"/>
                <w:sz w:val="18"/>
                <w:szCs w:val="18"/>
                <w:color w:val="auto"/>
              </w:rPr>
              <w:t>Advance Receivable</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Backed Note Series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2010-1 (3)</w:t>
            </w:r>
          </w:p>
        </w:tc>
        <w:tc>
          <w:tcPr>
            <w:tcW w:w="340" w:type="dxa"/>
            <w:vAlign w:val="bottom"/>
          </w:tcPr>
          <w:p>
            <w:pPr>
              <w:spacing w:after="0"/>
              <w:rPr>
                <w:sz w:val="20"/>
                <w:szCs w:val="20"/>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Sep. 2023</w:t>
            </w: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Feb. 2011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70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w w:val="99"/>
              </w:rPr>
              <w:t>Class A-1 Term Note</w:t>
            </w: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2"/>
              </w:rPr>
              <w:t>Commercial paper</w:t>
            </w: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EAF9E8"/>
          </w:tcPr>
          <w:p>
            <w:pPr>
              <w:spacing w:after="0"/>
              <w:rPr>
                <w:sz w:val="20"/>
                <w:szCs w:val="20"/>
                <w:color w:val="auto"/>
              </w:rPr>
            </w:pPr>
            <w:r>
              <w:rPr>
                <w:rFonts w:ascii="Arial" w:cs="Arial" w:eastAsia="Arial" w:hAnsi="Arial"/>
                <w:sz w:val="18"/>
                <w:szCs w:val="18"/>
                <w:color w:val="auto"/>
              </w:rPr>
              <w:t>(6)</w:t>
            </w:r>
          </w:p>
        </w:tc>
        <w:tc>
          <w:tcPr>
            <w:tcW w:w="3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rate + 350 bps</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2043</w:t>
            </w: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2013</w:t>
            </w: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721,000</w:t>
            </w:r>
          </w:p>
        </w:tc>
        <w:tc>
          <w:tcPr>
            <w:tcW w:w="16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w w:val="89"/>
              </w:rPr>
              <w:t>Class A-2 Variable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line="201" w:lineRule="exact"/>
              <w:rPr>
                <w:sz w:val="20"/>
                <w:szCs w:val="20"/>
                <w:color w:val="auto"/>
              </w:rPr>
            </w:pPr>
            <w:r>
              <w:rPr>
                <w:rFonts w:ascii="Arial" w:cs="Arial" w:eastAsia="Arial" w:hAnsi="Arial"/>
                <w:sz w:val="18"/>
                <w:szCs w:val="18"/>
                <w:color w:val="auto"/>
                <w:w w:val="92"/>
              </w:rPr>
              <w:t>Commercial paper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Funding Note (6)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rate + 350 bps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Aug. 2043</w:t>
            </w: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Aug. 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3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2"/>
              </w:rPr>
              <w:t>Commercial paper</w:t>
            </w: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0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3"/>
              </w:rPr>
              <w:t>Class B Term Note (6)</w:t>
            </w: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rate + 525 bps</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2043</w:t>
            </w: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2013</w:t>
            </w: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33,500</w:t>
            </w:r>
          </w:p>
        </w:tc>
        <w:tc>
          <w:tcPr>
            <w:tcW w:w="16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line="201" w:lineRule="exact"/>
              <w:rPr>
                <w:sz w:val="20"/>
                <w:szCs w:val="20"/>
                <w:color w:val="auto"/>
              </w:rPr>
            </w:pPr>
            <w:r>
              <w:rPr>
                <w:rFonts w:ascii="Arial" w:cs="Arial" w:eastAsia="Arial" w:hAnsi="Arial"/>
                <w:sz w:val="18"/>
                <w:szCs w:val="18"/>
                <w:color w:val="auto"/>
                <w:w w:val="92"/>
              </w:rPr>
              <w:t>Commercial paper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w w:val="94"/>
              </w:rPr>
              <w:t>Class C Term Note (6)</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rate + 625 bps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Aug. 2043</w:t>
            </w: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Aug. 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31,900</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3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6"/>
              </w:rPr>
              <w:t>1-Month LIBOR +</w:t>
            </w: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0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3"/>
              </w:rPr>
              <w:t>Class D Term Note (6)</w:t>
            </w: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750 bps</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2043</w:t>
            </w: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2013</w:t>
            </w: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24,600</w:t>
            </w:r>
          </w:p>
        </w:tc>
        <w:tc>
          <w:tcPr>
            <w:tcW w:w="16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w w:val="98"/>
              </w:rPr>
              <w:t>Variable Funding</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line="201" w:lineRule="exact"/>
              <w:rPr>
                <w:sz w:val="20"/>
                <w:szCs w:val="20"/>
                <w:color w:val="auto"/>
              </w:rPr>
            </w:pPr>
            <w:r>
              <w:rPr>
                <w:rFonts w:ascii="Arial" w:cs="Arial" w:eastAsia="Arial" w:hAnsi="Arial"/>
                <w:sz w:val="18"/>
                <w:szCs w:val="18"/>
                <w:color w:val="auto"/>
                <w:w w:val="92"/>
              </w:rPr>
              <w:t>Commercial paper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Note (7)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rate + 150 bps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Dec. 2013</w:t>
            </w: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Dec. 2010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210,138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39,862</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158,412</w:t>
            </w:r>
          </w:p>
        </w:tc>
      </w:tr>
      <w:tr>
        <w:trPr>
          <w:trHeight w:val="202"/>
        </w:trPr>
        <w:tc>
          <w:tcPr>
            <w:tcW w:w="20" w:type="dxa"/>
            <w:vAlign w:val="bottom"/>
          </w:tcPr>
          <w:p>
            <w:pPr>
              <w:spacing w:after="0"/>
              <w:rPr>
                <w:sz w:val="17"/>
                <w:szCs w:val="17"/>
                <w:color w:val="auto"/>
              </w:rPr>
            </w:pPr>
          </w:p>
        </w:tc>
        <w:tc>
          <w:tcPr>
            <w:tcW w:w="170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Advance Receivable</w:t>
            </w: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6"/>
              </w:rPr>
              <w:t>1-Month LIBOR +</w:t>
            </w: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EAF9E8"/>
          </w:tcPr>
          <w:p>
            <w:pPr>
              <w:spacing w:after="0"/>
              <w:rPr>
                <w:sz w:val="20"/>
                <w:szCs w:val="20"/>
                <w:color w:val="auto"/>
              </w:rPr>
            </w:pPr>
            <w:r>
              <w:rPr>
                <w:rFonts w:ascii="Arial" w:cs="Arial" w:eastAsia="Arial" w:hAnsi="Arial"/>
                <w:sz w:val="18"/>
                <w:szCs w:val="18"/>
                <w:color w:val="auto"/>
              </w:rPr>
              <w:t>Backed Notes</w:t>
            </w:r>
          </w:p>
        </w:tc>
        <w:tc>
          <w:tcPr>
            <w:tcW w:w="3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400 bps</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Mar. 2020</w:t>
            </w: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Mar. 2011</w:t>
            </w: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89,760</w:t>
            </w: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10,240</w:t>
            </w:r>
          </w:p>
        </w:tc>
        <w:tc>
          <w:tcPr>
            <w:tcW w:w="16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27,421</w:t>
            </w:r>
          </w:p>
        </w:tc>
      </w:tr>
      <w:tr>
        <w:trPr>
          <w:trHeight w:val="202"/>
        </w:trPr>
        <w:tc>
          <w:tcPr>
            <w:tcW w:w="20" w:type="dxa"/>
            <w:vAlign w:val="bottom"/>
          </w:tcPr>
          <w:p>
            <w:pPr>
              <w:spacing w:after="0"/>
              <w:rPr>
                <w:sz w:val="17"/>
                <w:szCs w:val="17"/>
                <w:color w:val="auto"/>
              </w:rPr>
            </w:pPr>
          </w:p>
        </w:tc>
        <w:tc>
          <w:tcPr>
            <w:tcW w:w="1700" w:type="dxa"/>
            <w:vAlign w:val="bottom"/>
            <w:gridSpan w:val="2"/>
          </w:tcPr>
          <w:p>
            <w:pPr>
              <w:spacing w:after="0" w:line="201" w:lineRule="exact"/>
              <w:rPr>
                <w:sz w:val="20"/>
                <w:szCs w:val="20"/>
                <w:color w:val="auto"/>
              </w:rPr>
            </w:pPr>
            <w:r>
              <w:rPr>
                <w:rFonts w:ascii="Arial" w:cs="Arial" w:eastAsia="Arial" w:hAnsi="Arial"/>
                <w:sz w:val="18"/>
                <w:szCs w:val="18"/>
                <w:color w:val="auto"/>
              </w:rPr>
              <w:t>Advance Receivable</w:t>
            </w:r>
          </w:p>
        </w:tc>
        <w:tc>
          <w:tcPr>
            <w:tcW w:w="240" w:type="dxa"/>
            <w:vAlign w:val="bottom"/>
          </w:tcPr>
          <w:p>
            <w:pPr>
              <w:spacing w:after="0"/>
              <w:rPr>
                <w:sz w:val="17"/>
                <w:szCs w:val="17"/>
                <w:color w:val="auto"/>
              </w:rPr>
            </w:pPr>
          </w:p>
        </w:tc>
        <w:tc>
          <w:tcPr>
            <w:tcW w:w="1380" w:type="dxa"/>
            <w:vAlign w:val="bottom"/>
          </w:tcPr>
          <w:p>
            <w:pPr>
              <w:spacing w:after="0" w:line="201" w:lineRule="exact"/>
              <w:rPr>
                <w:sz w:val="20"/>
                <w:szCs w:val="20"/>
                <w:color w:val="auto"/>
              </w:rPr>
            </w:pPr>
            <w:r>
              <w:rPr>
                <w:rFonts w:ascii="Arial" w:cs="Arial" w:eastAsia="Arial" w:hAnsi="Arial"/>
                <w:sz w:val="18"/>
                <w:szCs w:val="18"/>
                <w:color w:val="auto"/>
                <w:w w:val="96"/>
              </w:rPr>
              <w:t>1-Month LIBOR +</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380" w:type="dxa"/>
            <w:vAlign w:val="bottom"/>
            <w:gridSpan w:val="2"/>
          </w:tcPr>
          <w:p>
            <w:pPr>
              <w:spacing w:after="0"/>
              <w:rPr>
                <w:sz w:val="20"/>
                <w:szCs w:val="20"/>
                <w:color w:val="auto"/>
              </w:rPr>
            </w:pPr>
            <w:r>
              <w:rPr>
                <w:rFonts w:ascii="Arial" w:cs="Arial" w:eastAsia="Arial" w:hAnsi="Arial"/>
                <w:sz w:val="18"/>
                <w:szCs w:val="18"/>
                <w:color w:val="auto"/>
                <w:w w:val="97"/>
              </w:rPr>
              <w:t>Backed Notes (8)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200 bps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May 2012</w:t>
            </w: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May 2011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258,386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69,858</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36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3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992,654</w:t>
            </w:r>
          </w:p>
        </w:tc>
        <w:tc>
          <w:tcPr>
            <w:tcW w:w="1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1,606,346</w:t>
            </w:r>
          </w:p>
        </w:tc>
        <w:tc>
          <w:tcPr>
            <w:tcW w:w="160" w:type="dxa"/>
            <w:vAlign w:val="bottom"/>
            <w:shd w:val="clear" w:color="auto" w:fill="EAF9E8"/>
          </w:tcPr>
          <w:p>
            <w:pPr>
              <w:spacing w:after="0"/>
              <w:rPr>
                <w:sz w:val="20"/>
                <w:szCs w:val="20"/>
                <w:color w:val="auto"/>
              </w:rPr>
            </w:pPr>
          </w:p>
        </w:tc>
        <w:tc>
          <w:tcPr>
            <w:tcW w:w="9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465,691</w:t>
            </w: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3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3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460" w:right="20" w:hanging="452"/>
        <w:spacing w:after="0" w:line="30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but two advance facilities, there is a single note outstanding. For each of these facilities, after the amortization date, all collections that represent the repayment of advances pledged to the facility must be applied to reduce the balance of the note outstanding, and any new advances are ineligible to be financed.</w:t>
      </w:r>
    </w:p>
    <w:p>
      <w:pPr>
        <w:spacing w:after="0" w:line="154" w:lineRule="exact"/>
        <w:rPr>
          <w:rFonts w:ascii="Arial" w:cs="Arial" w:eastAsia="Arial" w:hAnsi="Arial"/>
          <w:sz w:val="16"/>
          <w:szCs w:val="16"/>
          <w:color w:val="auto"/>
        </w:rPr>
      </w:pPr>
    </w:p>
    <w:p>
      <w:pPr>
        <w:ind w:left="460" w:right="18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unused borrowing capacity is available to us provided that we have additional eligible collateral to pledge. Collateral may only be pledged to one facility.</w:t>
      </w:r>
    </w:p>
    <w:p>
      <w:pPr>
        <w:spacing w:after="0" w:line="170"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notes were issued under the Term Asset-Backed Securities Loan Facility (TALF) program administered by the Federal Reserve Bank of New York.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7" w:name="page28"/>
    <w:bookmarkEnd w:id="27"/>
    <w:p>
      <w:pPr>
        <w:ind w:left="460" w:right="20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terms of the note purchase agreement, the purchaser had no obligation to fund borrowings under this note until January 2010 at which time the maximum funding obligation was $28,000. The maximum funding obligation increases to $88,000 in November 2010 and to $100,000 in November 2011.</w:t>
      </w:r>
    </w:p>
    <w:p>
      <w:pPr>
        <w:spacing w:after="0" w:line="181"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interest rate for this note is determined using a commercial paper rate that reflects the borrowing costs of the lender plus a margin of 200 bps.</w:t>
      </w:r>
    </w:p>
    <w:p>
      <w:pPr>
        <w:spacing w:after="0" w:line="248"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notes were issued in connection with the financing of the advances acquired as part of the HomEq Acquisition.</w:t>
      </w:r>
    </w:p>
    <w:p>
      <w:pPr>
        <w:spacing w:after="0" w:line="22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150 bps which has approximated 1-Month LIBOR plus 150 bps over time.</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terms of the facility, we pay interest on drawn balances at 1-Month LIBOR plus 200 bps. In addition, we pay, in twelve monthly installments, a facility fee of 1.30% of the maximum borrowing capacity of $500,000.</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SECURED BORROWINGS – OWED TO SECURITIZATION INVESTORS</w:t>
      </w:r>
    </w:p>
    <w:p>
      <w:pPr>
        <w:spacing w:after="0" w:line="229"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Secured borrowings – owed to securitization investors of $64,564 at September 30, 2010 consist of certificates that represent beneficial ownership interests in four securitization trusts that we include in our consolidated financial statements under the provisions of ASC 810, Consolidations, as more fully described in Note 1—Securitizations of Residential Mortgage Loans. The holders of these certificates have no recourse against the assets of Ocwen.</w:t>
      </w:r>
    </w:p>
    <w:p>
      <w:pPr>
        <w:spacing w:after="0" w:line="14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As disclosed in Note 8, the trusts consist principally of mortgage loans that are secured by first and second liens on one- to four-family residential properties. Except for the residuals, the certificates generally pay interest based on 1-Month LIBOR plus a margin of from 8 to 250 basis points. Interest rates on the certificates are generally capped at the weighted average of the net mortgage rates of the mortgage loans in the respective loan pools.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360" w:type="dxa"/>
            <w:vAlign w:val="bottom"/>
            <w:gridSpan w:val="5"/>
          </w:tcPr>
          <w:p>
            <w:pPr>
              <w:spacing w:after="0"/>
              <w:rPr>
                <w:sz w:val="20"/>
                <w:szCs w:val="20"/>
                <w:color w:val="auto"/>
              </w:rPr>
            </w:pPr>
            <w:r>
              <w:rPr>
                <w:rFonts w:ascii="Arial" w:cs="Arial" w:eastAsia="Arial" w:hAnsi="Arial"/>
                <w:sz w:val="18"/>
                <w:szCs w:val="18"/>
                <w:b w:val="1"/>
                <w:bCs w:val="1"/>
                <w:color w:val="auto"/>
              </w:rPr>
              <w:t>NOTE 14</w:t>
            </w:r>
          </w:p>
        </w:tc>
        <w:tc>
          <w:tcPr>
            <w:tcW w:w="5180" w:type="dxa"/>
            <w:vAlign w:val="bottom"/>
            <w:gridSpan w:val="9"/>
          </w:tcPr>
          <w:p>
            <w:pPr>
              <w:ind w:left="20"/>
              <w:spacing w:after="0"/>
              <w:rPr>
                <w:sz w:val="20"/>
                <w:szCs w:val="20"/>
                <w:color w:val="auto"/>
              </w:rPr>
            </w:pPr>
            <w:r>
              <w:rPr>
                <w:rFonts w:ascii="Arial" w:cs="Arial" w:eastAsia="Arial" w:hAnsi="Arial"/>
                <w:sz w:val="18"/>
                <w:szCs w:val="18"/>
                <w:b w:val="1"/>
                <w:bCs w:val="1"/>
                <w:color w:val="auto"/>
              </w:rPr>
              <w:t>LINES OF CREDIT AND OTHER SECURED BORROWINGS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gridSpan w:val="12"/>
          </w:tcPr>
          <w:p>
            <w:pPr>
              <w:ind w:left="160"/>
              <w:spacing w:after="0"/>
              <w:rPr>
                <w:sz w:val="20"/>
                <w:szCs w:val="20"/>
                <w:color w:val="auto"/>
              </w:rPr>
            </w:pPr>
            <w:r>
              <w:rPr>
                <w:rFonts w:ascii="Arial" w:cs="Arial" w:eastAsia="Arial" w:hAnsi="Arial"/>
                <w:sz w:val="18"/>
                <w:szCs w:val="18"/>
                <w:color w:val="auto"/>
                <w:w w:val="94"/>
              </w:rPr>
              <w:t>Secured lines of credit from various unaffiliated financial institutions are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w w:val="95"/>
              </w:rPr>
              <w:t>Balance Outstanding</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Unused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Borrowing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ind w:left="240"/>
              <w:spacing w:after="0"/>
              <w:rPr>
                <w:sz w:val="20"/>
                <w:szCs w:val="20"/>
                <w:color w:val="auto"/>
              </w:rPr>
            </w:pPr>
            <w:r>
              <w:rPr>
                <w:rFonts w:ascii="Arial" w:cs="Arial" w:eastAsia="Arial" w:hAnsi="Arial"/>
                <w:sz w:val="18"/>
                <w:szCs w:val="18"/>
                <w:b w:val="1"/>
                <w:bCs w:val="1"/>
                <w:color w:val="auto"/>
                <w:w w:val="91"/>
              </w:rPr>
              <w:t>Borrowings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ind w:left="420"/>
              <w:spacing w:after="0"/>
              <w:rPr>
                <w:sz w:val="20"/>
                <w:szCs w:val="20"/>
                <w:color w:val="auto"/>
              </w:rPr>
            </w:pPr>
            <w:r>
              <w:rPr>
                <w:rFonts w:ascii="Arial" w:cs="Arial" w:eastAsia="Arial" w:hAnsi="Arial"/>
                <w:sz w:val="18"/>
                <w:szCs w:val="18"/>
                <w:b w:val="1"/>
                <w:bCs w:val="1"/>
                <w:color w:val="auto"/>
              </w:rPr>
              <w:t>Collateral</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22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Capacity</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top w:val="single" w:sz="8" w:color="auto"/>
            </w:tcBorders>
            <w:gridSpan w:val="4"/>
            <w:shd w:val="clear" w:color="auto" w:fill="EAF9E8"/>
          </w:tcPr>
          <w:p>
            <w:pPr>
              <w:spacing w:after="0" w:line="176" w:lineRule="exact"/>
              <w:rPr>
                <w:sz w:val="20"/>
                <w:szCs w:val="20"/>
                <w:color w:val="auto"/>
              </w:rPr>
            </w:pPr>
            <w:r>
              <w:rPr>
                <w:rFonts w:ascii="Arial" w:cs="Arial" w:eastAsia="Arial" w:hAnsi="Arial"/>
                <w:sz w:val="18"/>
                <w:szCs w:val="18"/>
                <w:color w:val="auto"/>
              </w:rPr>
              <w:t>Servicing:</w:t>
            </w:r>
          </w:p>
        </w:tc>
        <w:tc>
          <w:tcPr>
            <w:tcW w:w="120" w:type="dxa"/>
            <w:vAlign w:val="bottom"/>
            <w:tcBorders>
              <w:top w:val="single" w:sz="8" w:color="auto"/>
            </w:tcBorders>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60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6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6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340" w:type="dxa"/>
            <w:vAlign w:val="bottom"/>
            <w:tcBorders>
              <w:top w:val="single" w:sz="8" w:color="auto"/>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80" w:type="dxa"/>
            <w:vAlign w:val="bottom"/>
            <w:tcBorders>
              <w:top w:val="single" w:sz="8" w:color="auto"/>
            </w:tcBorders>
            <w:shd w:val="clear" w:color="auto" w:fill="EAF9E8"/>
          </w:tcPr>
          <w:p>
            <w:pPr>
              <w:spacing w:after="0"/>
              <w:rPr>
                <w:sz w:val="17"/>
                <w:szCs w:val="17"/>
                <w:color w:val="auto"/>
              </w:rPr>
            </w:pPr>
          </w:p>
        </w:tc>
        <w:tc>
          <w:tcPr>
            <w:tcW w:w="70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240" w:type="dxa"/>
            <w:vAlign w:val="bottom"/>
            <w:tcBorders>
              <w:top w:val="single" w:sz="8" w:color="EAF9E8"/>
            </w:tcBorders>
          </w:tcPr>
          <w:p>
            <w:pPr>
              <w:spacing w:after="0"/>
              <w:rPr>
                <w:sz w:val="17"/>
                <w:szCs w:val="17"/>
                <w:color w:val="auto"/>
              </w:rPr>
            </w:pPr>
          </w:p>
        </w:tc>
        <w:tc>
          <w:tcPr>
            <w:tcW w:w="240" w:type="dxa"/>
            <w:vAlign w:val="bottom"/>
            <w:tcBorders>
              <w:top w:val="single" w:sz="8" w:color="EAF9E8"/>
            </w:tcBorders>
          </w:tcPr>
          <w:p>
            <w:pPr>
              <w:spacing w:after="0"/>
              <w:rPr>
                <w:sz w:val="17"/>
                <w:szCs w:val="17"/>
                <w:color w:val="auto"/>
              </w:rPr>
            </w:pPr>
          </w:p>
        </w:tc>
        <w:tc>
          <w:tcPr>
            <w:tcW w:w="160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1160" w:type="dxa"/>
            <w:vAlign w:val="bottom"/>
            <w:tcBorders>
              <w:top w:val="single" w:sz="8" w:color="EAF9E8"/>
            </w:tcBorders>
          </w:tcPr>
          <w:p>
            <w:pPr>
              <w:spacing w:after="0" w:line="201" w:lineRule="exact"/>
              <w:rPr>
                <w:sz w:val="20"/>
                <w:szCs w:val="20"/>
                <w:color w:val="auto"/>
              </w:rPr>
            </w:pPr>
            <w:r>
              <w:rPr>
                <w:rFonts w:ascii="Arial" w:cs="Arial" w:eastAsia="Arial" w:hAnsi="Arial"/>
                <w:sz w:val="18"/>
                <w:szCs w:val="18"/>
                <w:color w:val="auto"/>
              </w:rPr>
              <w:t>1-Month</w:t>
            </w:r>
          </w:p>
        </w:tc>
        <w:tc>
          <w:tcPr>
            <w:tcW w:w="220" w:type="dxa"/>
            <w:vAlign w:val="bottom"/>
            <w:tcBorders>
              <w:top w:val="single" w:sz="8" w:color="EAF9E8"/>
            </w:tcBorders>
          </w:tcPr>
          <w:p>
            <w:pPr>
              <w:spacing w:after="0"/>
              <w:rPr>
                <w:sz w:val="17"/>
                <w:szCs w:val="17"/>
                <w:color w:val="auto"/>
              </w:rPr>
            </w:pPr>
          </w:p>
        </w:tc>
        <w:tc>
          <w:tcPr>
            <w:tcW w:w="116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1020" w:type="dxa"/>
            <w:vAlign w:val="bottom"/>
            <w:tcBorders>
              <w:top w:val="single" w:sz="8" w:color="EAF9E8"/>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134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780" w:type="dxa"/>
            <w:vAlign w:val="bottom"/>
            <w:tcBorders>
              <w:top w:val="single" w:sz="8" w:color="EAF9E8"/>
            </w:tcBorders>
          </w:tcPr>
          <w:p>
            <w:pPr>
              <w:spacing w:after="0"/>
              <w:rPr>
                <w:sz w:val="17"/>
                <w:szCs w:val="17"/>
                <w:color w:val="auto"/>
              </w:rPr>
            </w:pPr>
          </w:p>
        </w:tc>
        <w:tc>
          <w:tcPr>
            <w:tcW w:w="70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LIBOR +</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w w:val="94"/>
              </w:rPr>
              <w:t>700 bps with</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a LIBOR</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7"/>
          </w:tcPr>
          <w:p>
            <w:pPr>
              <w:spacing w:after="0"/>
              <w:rPr>
                <w:sz w:val="20"/>
                <w:szCs w:val="20"/>
                <w:color w:val="auto"/>
              </w:rPr>
            </w:pPr>
            <w:r>
              <w:rPr>
                <w:rFonts w:ascii="Arial" w:cs="Arial" w:eastAsia="Arial" w:hAnsi="Arial"/>
                <w:sz w:val="18"/>
                <w:szCs w:val="18"/>
                <w:color w:val="auto"/>
              </w:rPr>
              <w:t>Senior secured term</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floor of 2%</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loan (1)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(1)</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June 2015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341,250</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gridSpan w:val="6"/>
            <w:shd w:val="clear" w:color="auto" w:fill="EAF9E8"/>
          </w:tcPr>
          <w:p>
            <w:pPr>
              <w:spacing w:after="0" w:line="201" w:lineRule="exact"/>
              <w:rPr>
                <w:sz w:val="20"/>
                <w:szCs w:val="20"/>
                <w:color w:val="auto"/>
              </w:rPr>
            </w:pPr>
            <w:r>
              <w:rPr>
                <w:rFonts w:ascii="Arial" w:cs="Arial" w:eastAsia="Arial" w:hAnsi="Arial"/>
                <w:sz w:val="18"/>
                <w:szCs w:val="18"/>
                <w:color w:val="auto"/>
              </w:rPr>
              <w:t>Fee reimbursement</w:t>
            </w:r>
          </w:p>
        </w:tc>
        <w:tc>
          <w:tcPr>
            <w:tcW w:w="240" w:type="dxa"/>
            <w:vAlign w:val="bottom"/>
            <w:shd w:val="clear" w:color="auto" w:fill="EAF9E8"/>
          </w:tcPr>
          <w:p>
            <w:pPr>
              <w:spacing w:after="0"/>
              <w:rPr>
                <w:sz w:val="17"/>
                <w:szCs w:val="17"/>
                <w:color w:val="auto"/>
              </w:rPr>
            </w:pPr>
          </w:p>
        </w:tc>
        <w:tc>
          <w:tcPr>
            <w:tcW w:w="16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7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advance</w:t>
            </w:r>
          </w:p>
        </w:tc>
        <w:tc>
          <w:tcPr>
            <w:tcW w:w="1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600" w:type="dxa"/>
            <w:vAlign w:val="bottom"/>
            <w:shd w:val="clear" w:color="auto" w:fill="EAF9E8"/>
          </w:tcPr>
          <w:p>
            <w:pPr>
              <w:spacing w:after="0"/>
              <w:rPr>
                <w:sz w:val="20"/>
                <w:szCs w:val="20"/>
                <w:color w:val="auto"/>
              </w:rPr>
            </w:pPr>
            <w:r>
              <w:rPr>
                <w:rFonts w:ascii="Arial" w:cs="Arial" w:eastAsia="Arial" w:hAnsi="Arial"/>
                <w:sz w:val="18"/>
                <w:szCs w:val="18"/>
                <w:color w:val="auto"/>
              </w:rPr>
              <w:t>Term note (2)</w:t>
            </w:r>
          </w:p>
        </w:tc>
        <w:tc>
          <w:tcPr>
            <w:tcW w:w="220" w:type="dxa"/>
            <w:vAlign w:val="bottom"/>
            <w:shd w:val="clear" w:color="auto" w:fill="EAF9E8"/>
          </w:tcPr>
          <w:p>
            <w:pPr>
              <w:spacing w:after="0"/>
              <w:rPr>
                <w:sz w:val="20"/>
                <w:szCs w:val="20"/>
                <w:color w:val="auto"/>
              </w:rPr>
            </w:pPr>
          </w:p>
        </w:tc>
        <w:tc>
          <w:tcPr>
            <w:tcW w:w="1160" w:type="dxa"/>
            <w:vAlign w:val="bottom"/>
            <w:shd w:val="clear" w:color="auto" w:fill="EAF9E8"/>
          </w:tcPr>
          <w:p>
            <w:pPr>
              <w:spacing w:after="0"/>
              <w:rPr>
                <w:sz w:val="20"/>
                <w:szCs w:val="20"/>
                <w:color w:val="auto"/>
              </w:rPr>
            </w:pPr>
            <w:r>
              <w:rPr>
                <w:rFonts w:ascii="Arial" w:cs="Arial" w:eastAsia="Arial" w:hAnsi="Arial"/>
                <w:sz w:val="18"/>
                <w:szCs w:val="18"/>
                <w:color w:val="auto"/>
              </w:rPr>
              <w:t>Zero coupon</w:t>
            </w:r>
          </w:p>
        </w:tc>
        <w:tc>
          <w:tcPr>
            <w:tcW w:w="1600" w:type="dxa"/>
            <w:vAlign w:val="bottom"/>
            <w:gridSpan w:val="3"/>
            <w:shd w:val="clear" w:color="auto" w:fill="EAF9E8"/>
          </w:tcPr>
          <w:p>
            <w:pPr>
              <w:ind w:left="220"/>
              <w:spacing w:after="0"/>
              <w:rPr>
                <w:sz w:val="20"/>
                <w:szCs w:val="20"/>
                <w:color w:val="auto"/>
              </w:rPr>
            </w:pPr>
            <w:r>
              <w:rPr>
                <w:rFonts w:ascii="Arial" w:cs="Arial" w:eastAsia="Arial" w:hAnsi="Arial"/>
                <w:sz w:val="18"/>
                <w:szCs w:val="18"/>
                <w:color w:val="auto"/>
              </w:rPr>
              <w:t>March 2014</w:t>
            </w:r>
          </w:p>
        </w:tc>
        <w:tc>
          <w:tcPr>
            <w:tcW w:w="140" w:type="dxa"/>
            <w:vAlign w:val="bottom"/>
            <w:shd w:val="clear" w:color="auto" w:fill="EAF9E8"/>
          </w:tcPr>
          <w:p>
            <w:pPr>
              <w:spacing w:after="0"/>
              <w:rPr>
                <w:sz w:val="20"/>
                <w:szCs w:val="20"/>
                <w:color w:val="auto"/>
              </w:rPr>
            </w:pPr>
          </w:p>
        </w:tc>
        <w:tc>
          <w:tcPr>
            <w:tcW w:w="1020" w:type="dxa"/>
            <w:vAlign w:val="bottom"/>
            <w:shd w:val="clear" w:color="auto" w:fill="EAF9E8"/>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48,000</w:t>
            </w:r>
          </w:p>
        </w:tc>
        <w:tc>
          <w:tcPr>
            <w:tcW w:w="14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1-Month</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LIBOR +</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350 basis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gridSpan w:val="5"/>
          </w:tcPr>
          <w:p>
            <w:pPr>
              <w:spacing w:after="0"/>
              <w:rPr>
                <w:sz w:val="20"/>
                <w:szCs w:val="20"/>
                <w:color w:val="auto"/>
              </w:rPr>
            </w:pPr>
            <w:r>
              <w:rPr>
                <w:rFonts w:ascii="Arial" w:cs="Arial" w:eastAsia="Arial" w:hAnsi="Arial"/>
                <w:sz w:val="18"/>
                <w:szCs w:val="18"/>
                <w:color w:val="auto"/>
              </w:rPr>
              <w:t>Term note (3)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Advances</w:t>
            </w:r>
          </w:p>
        </w:tc>
        <w:tc>
          <w:tcPr>
            <w:tcW w:w="220" w:type="dxa"/>
            <w:vAlign w:val="bottom"/>
          </w:tcPr>
          <w:p>
            <w:pPr>
              <w:spacing w:after="0"/>
              <w:rPr>
                <w:sz w:val="20"/>
                <w:szCs w:val="20"/>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points</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March 2014</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394,850</w:t>
            </w: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EAF9E8"/>
            </w:tcBorders>
            <w:gridSpan w:val="6"/>
          </w:tcPr>
          <w:p>
            <w:pPr>
              <w:spacing w:after="0" w:line="176" w:lineRule="exact"/>
              <w:rPr>
                <w:sz w:val="20"/>
                <w:szCs w:val="20"/>
                <w:color w:val="auto"/>
              </w:rPr>
            </w:pPr>
            <w:r>
              <w:rPr>
                <w:rFonts w:ascii="Arial" w:cs="Arial" w:eastAsia="Arial" w:hAnsi="Arial"/>
                <w:sz w:val="18"/>
                <w:szCs w:val="18"/>
                <w:color w:val="auto"/>
              </w:rPr>
              <w:t>Corporate Items and</w:t>
            </w:r>
          </w:p>
        </w:tc>
        <w:tc>
          <w:tcPr>
            <w:tcW w:w="240" w:type="dxa"/>
            <w:vAlign w:val="bottom"/>
            <w:tcBorders>
              <w:top w:val="single" w:sz="8" w:color="EAF9E8"/>
            </w:tcBorders>
          </w:tcPr>
          <w:p>
            <w:pPr>
              <w:spacing w:after="0"/>
              <w:rPr>
                <w:sz w:val="15"/>
                <w:szCs w:val="15"/>
                <w:color w:val="auto"/>
              </w:rPr>
            </w:pPr>
          </w:p>
        </w:tc>
        <w:tc>
          <w:tcPr>
            <w:tcW w:w="1600" w:type="dxa"/>
            <w:vAlign w:val="bottom"/>
            <w:tcBorders>
              <w:top w:val="single" w:sz="8" w:color="EAF9E8"/>
            </w:tcBorders>
          </w:tcPr>
          <w:p>
            <w:pPr>
              <w:spacing w:after="0"/>
              <w:rPr>
                <w:sz w:val="15"/>
                <w:szCs w:val="15"/>
                <w:color w:val="auto"/>
              </w:rPr>
            </w:pPr>
          </w:p>
        </w:tc>
        <w:tc>
          <w:tcPr>
            <w:tcW w:w="220" w:type="dxa"/>
            <w:vAlign w:val="bottom"/>
            <w:tcBorders>
              <w:top w:val="single" w:sz="8" w:color="EAF9E8"/>
            </w:tcBorders>
          </w:tcPr>
          <w:p>
            <w:pPr>
              <w:spacing w:after="0"/>
              <w:rPr>
                <w:sz w:val="15"/>
                <w:szCs w:val="15"/>
                <w:color w:val="auto"/>
              </w:rPr>
            </w:pPr>
          </w:p>
        </w:tc>
        <w:tc>
          <w:tcPr>
            <w:tcW w:w="1160" w:type="dxa"/>
            <w:vAlign w:val="bottom"/>
            <w:tcBorders>
              <w:top w:val="single" w:sz="8" w:color="EAF9E8"/>
            </w:tcBorders>
          </w:tcPr>
          <w:p>
            <w:pPr>
              <w:spacing w:after="0"/>
              <w:rPr>
                <w:sz w:val="15"/>
                <w:szCs w:val="15"/>
                <w:color w:val="auto"/>
              </w:rPr>
            </w:pPr>
          </w:p>
        </w:tc>
        <w:tc>
          <w:tcPr>
            <w:tcW w:w="220" w:type="dxa"/>
            <w:vAlign w:val="bottom"/>
            <w:tcBorders>
              <w:top w:val="single" w:sz="8" w:color="EAF9E8"/>
            </w:tcBorders>
          </w:tcPr>
          <w:p>
            <w:pPr>
              <w:spacing w:after="0"/>
              <w:rPr>
                <w:sz w:val="15"/>
                <w:szCs w:val="15"/>
                <w:color w:val="auto"/>
              </w:rPr>
            </w:pPr>
          </w:p>
        </w:tc>
        <w:tc>
          <w:tcPr>
            <w:tcW w:w="1160" w:type="dxa"/>
            <w:vAlign w:val="bottom"/>
            <w:tcBorders>
              <w:top w:val="single" w:sz="8" w:color="EAF9E8"/>
            </w:tcBorders>
          </w:tcPr>
          <w:p>
            <w:pPr>
              <w:spacing w:after="0"/>
              <w:rPr>
                <w:sz w:val="15"/>
                <w:szCs w:val="15"/>
                <w:color w:val="auto"/>
              </w:rPr>
            </w:pPr>
          </w:p>
        </w:tc>
        <w:tc>
          <w:tcPr>
            <w:tcW w:w="220" w:type="dxa"/>
            <w:vAlign w:val="bottom"/>
            <w:tcBorders>
              <w:top w:val="single" w:sz="8" w:color="EAF9E8"/>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40" w:type="dxa"/>
            <w:vAlign w:val="bottom"/>
            <w:tcBorders>
              <w:top w:val="single" w:sz="8" w:color="EAF9E8"/>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80" w:type="dxa"/>
            <w:vAlign w:val="bottom"/>
            <w:tcBorders>
              <w:top w:val="single" w:sz="8" w:color="EAF9E8"/>
            </w:tcBorders>
          </w:tcPr>
          <w:p>
            <w:pPr>
              <w:spacing w:after="0"/>
              <w:rPr>
                <w:sz w:val="15"/>
                <w:szCs w:val="15"/>
                <w:color w:val="auto"/>
              </w:rPr>
            </w:pPr>
          </w:p>
        </w:tc>
        <w:tc>
          <w:tcPr>
            <w:tcW w:w="140" w:type="dxa"/>
            <w:vAlign w:val="bottom"/>
            <w:tcBorders>
              <w:top w:val="single" w:sz="8" w:color="EAF9E8"/>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EAF9E8"/>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Other</w:t>
            </w:r>
          </w:p>
        </w:tc>
        <w:tc>
          <w:tcPr>
            <w:tcW w:w="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gridSpan w:val="6"/>
            <w:shd w:val="clear" w:color="auto" w:fill="EAF9E8"/>
          </w:tcPr>
          <w:p>
            <w:pPr>
              <w:spacing w:after="0" w:line="201" w:lineRule="exact"/>
              <w:rPr>
                <w:sz w:val="20"/>
                <w:szCs w:val="20"/>
                <w:color w:val="auto"/>
              </w:rPr>
            </w:pPr>
            <w:r>
              <w:rPr>
                <w:rFonts w:ascii="Arial" w:cs="Arial" w:eastAsia="Arial" w:hAnsi="Arial"/>
                <w:sz w:val="18"/>
                <w:szCs w:val="18"/>
                <w:color w:val="auto"/>
                <w:w w:val="93"/>
              </w:rPr>
              <w:t>Securities sold with an</w:t>
            </w:r>
          </w:p>
        </w:tc>
        <w:tc>
          <w:tcPr>
            <w:tcW w:w="240" w:type="dxa"/>
            <w:vAlign w:val="bottom"/>
            <w:shd w:val="clear" w:color="auto" w:fill="EAF9E8"/>
          </w:tcPr>
          <w:p>
            <w:pPr>
              <w:spacing w:after="0"/>
              <w:rPr>
                <w:sz w:val="17"/>
                <w:szCs w:val="17"/>
                <w:color w:val="auto"/>
              </w:rPr>
            </w:pPr>
          </w:p>
        </w:tc>
        <w:tc>
          <w:tcPr>
            <w:tcW w:w="16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7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40" w:type="dxa"/>
            <w:vAlign w:val="bottom"/>
            <w:gridSpan w:val="5"/>
            <w:shd w:val="clear" w:color="auto" w:fill="EAF9E8"/>
          </w:tcPr>
          <w:p>
            <w:pPr>
              <w:spacing w:after="0"/>
              <w:rPr>
                <w:sz w:val="20"/>
                <w:szCs w:val="20"/>
                <w:color w:val="auto"/>
              </w:rPr>
            </w:pPr>
            <w:r>
              <w:rPr>
                <w:rFonts w:ascii="Arial" w:cs="Arial" w:eastAsia="Arial" w:hAnsi="Arial"/>
                <w:sz w:val="18"/>
                <w:szCs w:val="18"/>
                <w:color w:val="auto"/>
                <w:w w:val="92"/>
              </w:rPr>
              <w:t>option to repurchase</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20"/>
                <w:szCs w:val="20"/>
                <w:color w:val="auto"/>
              </w:rPr>
            </w:pPr>
            <w:r>
              <w:rPr>
                <w:rFonts w:ascii="Arial" w:cs="Arial" w:eastAsia="Arial" w:hAnsi="Arial"/>
                <w:sz w:val="18"/>
                <w:szCs w:val="18"/>
                <w:color w:val="auto"/>
              </w:rPr>
              <w:t>Auction rate</w:t>
            </w: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EAF9E8"/>
          </w:tcPr>
          <w:p>
            <w:pPr>
              <w:spacing w:after="0"/>
              <w:rPr>
                <w:sz w:val="20"/>
                <w:szCs w:val="20"/>
                <w:color w:val="auto"/>
              </w:rPr>
            </w:pPr>
          </w:p>
        </w:tc>
        <w:tc>
          <w:tcPr>
            <w:tcW w:w="6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securities</w:t>
            </w:r>
          </w:p>
        </w:tc>
        <w:tc>
          <w:tcPr>
            <w:tcW w:w="138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0"/>
              </w:rPr>
              <w:t>(4)</w:t>
            </w:r>
          </w:p>
        </w:tc>
        <w:tc>
          <w:tcPr>
            <w:tcW w:w="1600" w:type="dxa"/>
            <w:vAlign w:val="bottom"/>
            <w:gridSpan w:val="3"/>
            <w:shd w:val="clear" w:color="auto" w:fill="EAF9E8"/>
          </w:tcPr>
          <w:p>
            <w:pPr>
              <w:ind w:left="220"/>
              <w:spacing w:after="0"/>
              <w:rPr>
                <w:sz w:val="20"/>
                <w:szCs w:val="20"/>
                <w:color w:val="auto"/>
              </w:rPr>
            </w:pPr>
            <w:r>
              <w:rPr>
                <w:rFonts w:ascii="Arial" w:cs="Arial" w:eastAsia="Arial" w:hAnsi="Arial"/>
                <w:sz w:val="18"/>
                <w:szCs w:val="18"/>
                <w:color w:val="auto"/>
              </w:rPr>
              <w:t>October 2012</w:t>
            </w:r>
          </w:p>
        </w:tc>
        <w:tc>
          <w:tcPr>
            <w:tcW w:w="140" w:type="dxa"/>
            <w:vAlign w:val="bottom"/>
            <w:shd w:val="clear" w:color="auto" w:fill="EAF9E8"/>
          </w:tcPr>
          <w:p>
            <w:pPr>
              <w:spacing w:after="0"/>
              <w:rPr>
                <w:sz w:val="20"/>
                <w:szCs w:val="20"/>
                <w:color w:val="auto"/>
              </w:rPr>
            </w:pPr>
          </w:p>
        </w:tc>
        <w:tc>
          <w:tcPr>
            <w:tcW w:w="1020" w:type="dxa"/>
            <w:vAlign w:val="bottom"/>
            <w:shd w:val="clear" w:color="auto" w:fill="EAF9E8"/>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34,449</w:t>
            </w:r>
          </w:p>
        </w:tc>
        <w:tc>
          <w:tcPr>
            <w:tcW w:w="14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1-Month</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7"/>
          </w:tcPr>
          <w:p>
            <w:pPr>
              <w:spacing w:after="0"/>
              <w:rPr>
                <w:sz w:val="20"/>
                <w:szCs w:val="20"/>
                <w:color w:val="auto"/>
              </w:rPr>
            </w:pPr>
            <w:r>
              <w:rPr>
                <w:rFonts w:ascii="Arial" w:cs="Arial" w:eastAsia="Arial" w:hAnsi="Arial"/>
                <w:sz w:val="18"/>
                <w:szCs w:val="18"/>
                <w:color w:val="auto"/>
              </w:rPr>
              <w:t>Securities sold under</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LIBOR +</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88"/>
              </w:rPr>
              <w:t>an agreement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Auction rate</w:t>
            </w:r>
          </w:p>
        </w:tc>
        <w:tc>
          <w:tcPr>
            <w:tcW w:w="22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135 basis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99"/>
              </w:rPr>
              <w:t>repurchase (5)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points</w:t>
            </w:r>
          </w:p>
        </w:tc>
        <w:tc>
          <w:tcPr>
            <w:tcW w:w="13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21,683</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gridSpan w:val="6"/>
            <w:shd w:val="clear" w:color="auto" w:fill="EAF9E8"/>
          </w:tcPr>
          <w:p>
            <w:pPr>
              <w:spacing w:after="0" w:line="201" w:lineRule="exact"/>
              <w:rPr>
                <w:sz w:val="20"/>
                <w:szCs w:val="20"/>
                <w:color w:val="auto"/>
              </w:rPr>
            </w:pPr>
            <w:r>
              <w:rPr>
                <w:rFonts w:ascii="Arial" w:cs="Arial" w:eastAsia="Arial" w:hAnsi="Arial"/>
                <w:sz w:val="18"/>
                <w:szCs w:val="18"/>
                <w:color w:val="auto"/>
                <w:w w:val="99"/>
              </w:rPr>
              <w:t>Securities sold under</w:t>
            </w:r>
          </w:p>
        </w:tc>
        <w:tc>
          <w:tcPr>
            <w:tcW w:w="240" w:type="dxa"/>
            <w:vAlign w:val="bottom"/>
            <w:shd w:val="clear" w:color="auto" w:fill="EAF9E8"/>
          </w:tcPr>
          <w:p>
            <w:pPr>
              <w:spacing w:after="0"/>
              <w:rPr>
                <w:sz w:val="17"/>
                <w:szCs w:val="17"/>
                <w:color w:val="auto"/>
              </w:rPr>
            </w:pPr>
          </w:p>
        </w:tc>
        <w:tc>
          <w:tcPr>
            <w:tcW w:w="16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Ocwen Real Estate</w:t>
            </w:r>
          </w:p>
        </w:tc>
        <w:tc>
          <w:tcPr>
            <w:tcW w:w="2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7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80" w:type="dxa"/>
            <w:vAlign w:val="bottom"/>
            <w:gridSpan w:val="3"/>
            <w:shd w:val="clear" w:color="auto" w:fill="EAF9E8"/>
          </w:tcPr>
          <w:p>
            <w:pPr>
              <w:spacing w:after="0"/>
              <w:rPr>
                <w:sz w:val="20"/>
                <w:szCs w:val="20"/>
                <w:color w:val="auto"/>
              </w:rPr>
            </w:pPr>
            <w:r>
              <w:rPr>
                <w:rFonts w:ascii="Arial" w:cs="Arial" w:eastAsia="Arial" w:hAnsi="Arial"/>
                <w:sz w:val="18"/>
                <w:szCs w:val="18"/>
                <w:color w:val="auto"/>
                <w:w w:val="88"/>
              </w:rPr>
              <w:t>an agreement to</w:t>
            </w:r>
          </w:p>
        </w:tc>
        <w:tc>
          <w:tcPr>
            <w:tcW w:w="1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Asset Liquidating</w:t>
            </w: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gridSpan w:val="3"/>
            <w:shd w:val="clear" w:color="auto" w:fill="EAF9E8"/>
          </w:tcPr>
          <w:p>
            <w:pPr>
              <w:spacing w:after="0"/>
              <w:rPr>
                <w:sz w:val="20"/>
                <w:szCs w:val="20"/>
                <w:color w:val="auto"/>
              </w:rPr>
            </w:pPr>
            <w:r>
              <w:rPr>
                <w:rFonts w:ascii="Arial" w:cs="Arial" w:eastAsia="Arial" w:hAnsi="Arial"/>
                <w:sz w:val="18"/>
                <w:szCs w:val="18"/>
                <w:color w:val="auto"/>
                <w:w w:val="99"/>
              </w:rPr>
              <w:t>repurchase (6)</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6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w w:val="92"/>
              </w:rPr>
              <w:t>Trust 2007-1 Notes</w:t>
            </w:r>
          </w:p>
        </w:tc>
        <w:tc>
          <w:tcPr>
            <w:tcW w:w="1380" w:type="dxa"/>
            <w:vAlign w:val="bottom"/>
            <w:tcBorders>
              <w:bottom w:val="single" w:sz="8" w:color="EAF9E8"/>
            </w:tcBorders>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0"/>
              </w:rPr>
              <w:t>(6)</w:t>
            </w:r>
          </w:p>
        </w:tc>
        <w:tc>
          <w:tcPr>
            <w:tcW w:w="1380" w:type="dxa"/>
            <w:vAlign w:val="bottom"/>
            <w:tcBorders>
              <w:bottom w:val="single" w:sz="8" w:color="EAF9E8"/>
            </w:tcBorders>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90"/>
              </w:rPr>
              <w:t>(6)</w:t>
            </w:r>
          </w:p>
        </w:tc>
        <w:tc>
          <w:tcPr>
            <w:tcW w:w="2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auto"/>
            </w:tcBorders>
            <w:shd w:val="clear" w:color="auto" w:fill="EAF9E8"/>
          </w:tcPr>
          <w:p>
            <w:pPr>
              <w:spacing w:after="0"/>
              <w:rPr>
                <w:sz w:val="20"/>
                <w:szCs w:val="20"/>
                <w:color w:val="auto"/>
              </w:rPr>
            </w:pPr>
          </w:p>
        </w:tc>
        <w:tc>
          <w:tcPr>
            <w:tcW w:w="1020" w:type="dxa"/>
            <w:vAlign w:val="bottom"/>
            <w:tcBorders>
              <w:bottom w:val="single" w:sz="8" w:color="auto"/>
            </w:tcBorders>
            <w:shd w:val="clear" w:color="auto" w:fill="EAF9E8"/>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auto"/>
            </w:tcBorders>
            <w:shd w:val="clear" w:color="auto" w:fill="EAF9E8"/>
          </w:tcPr>
          <w:p>
            <w:pPr>
              <w:spacing w:after="0"/>
              <w:rPr>
                <w:sz w:val="20"/>
                <w:szCs w:val="20"/>
                <w:color w:val="auto"/>
              </w:rPr>
            </w:pP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8,316</w:t>
            </w:r>
          </w:p>
        </w:tc>
        <w:tc>
          <w:tcPr>
            <w:tcW w:w="18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auto"/>
            </w:tcBorders>
            <w:shd w:val="clear" w:color="auto" w:fill="EAF9E8"/>
          </w:tcPr>
          <w:p>
            <w:pPr>
              <w:spacing w:after="0"/>
              <w:rPr>
                <w:sz w:val="20"/>
                <w:szCs w:val="20"/>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459,298</w:t>
            </w: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4"/>
          </w:tcPr>
          <w:p>
            <w:pPr>
              <w:spacing w:after="0"/>
              <w:rPr>
                <w:sz w:val="20"/>
                <w:szCs w:val="20"/>
                <w:color w:val="auto"/>
              </w:rPr>
            </w:pPr>
            <w:r>
              <w:rPr>
                <w:rFonts w:ascii="Arial" w:cs="Arial" w:eastAsia="Arial" w:hAnsi="Arial"/>
                <w:sz w:val="18"/>
                <w:szCs w:val="18"/>
                <w:color w:val="auto"/>
              </w:rPr>
              <w:t>Discount (1) (2)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(14,799)</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4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6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6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16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16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444,499</w:t>
            </w:r>
          </w:p>
        </w:tc>
        <w:tc>
          <w:tcPr>
            <w:tcW w:w="180" w:type="dxa"/>
            <w:vAlign w:val="bottom"/>
            <w:shd w:val="clear" w:color="auto" w:fill="EAF9E8"/>
          </w:tcPr>
          <w:p>
            <w:pPr>
              <w:spacing w:after="0"/>
              <w:rPr>
                <w:sz w:val="20"/>
                <w:szCs w:val="20"/>
                <w:color w:val="auto"/>
              </w:rPr>
            </w:pPr>
          </w:p>
        </w:tc>
        <w:tc>
          <w:tcPr>
            <w:tcW w:w="9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6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60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40" w:hanging="452"/>
        <w:spacing w:after="0" w:line="290"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July 29, 2010, we entered into a senior secured term loan facility agreement and borrowed $350,000 that was used to fund a portion of the HomEq Acquisition as well as for general corporate purposes. The loan was issued with an original issue discount of $7,000 that we are amortizing over the life of the loans. Borrowings bear interest, at the election of Ocwen, at a rate per annum equal to either (a) the greatest of (i) the prime rate of Barclays Bank PLC in effect on such day, (ii) the federal funds effective rate in effect on such day plus 0.50% and (iii) the one-month Eurodollar rate (1-Month LIBOR), in each case plus the applicable margin of 6.00% and a floor of 3.00% or (b) 1-Month LIBOR, plus the applicable margin of 7.00% with a 1-Month LIBOR floor of 2.00%. We are required to prepay the principal amount in consecutive quarterly installments of $8,750 per quarter commencing September 30, 2010, with the balance becoming due on July 29, 2015. The loan is secured by the pledge of otherwise unencumbered cash, MSRs, advances, receivables, premises and equipment and other assets excluding interest earning collateral and debt service accounts.</w:t>
      </w:r>
    </w:p>
    <w:p>
      <w:pPr>
        <w:spacing w:after="0" w:line="166"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advance is secured by the pledge to the lender of our interest in a $60,000 term note issued by OSAF on March 31, 2009. The OSAF note, in turn, is secured by advances on loans serviced for others, similar to match funded advances and liabilities. The fee reimbursement advance is payable annually in five installments of $12,000. The advance does not carry a stated rate of interest. However, we are compensating the lender for the advance of funds by forgoing the receipt of fees due from the lender over the five-year term of the advance. Accordingly, we recorded the advance as a zero-coupon bond issued at an initial implied discount of $14,627. We used an implicit market rate to compute the discount that we are amortizing to interest expense over the five-year term of the advance.</w:t>
      </w:r>
    </w:p>
    <w:p>
      <w:pPr>
        <w:spacing w:after="0" w:line="193"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note was issued by OSAF and is secured by advances on loans serviced for others, similar to match funded advances and liabilities. The lender has pledged its interest in this note to us as collateral against the $5,600 term note receivable. See Note 11 additional information.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ind w:left="460" w:right="4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October 2009, we entered into a liquidity option related to $92,850 face amount of auction rate securities. Under the terms of this agreement, we have the right to sell specific securities for cash. We also have the right to repurchase the same following the initial sale at the same price. In February 2010, we exercised a portion of our option to sell auction rate securities with a par value of $88,150 and received proceeds of $74,953. We recognized the sale as a secured borrowing because of our ability to repurchase the same securities until the maturity of the liquidity option. In June 2010, we repurchased $46,800 par value of these securities at the initial sale price of $40,504 and reduced the liability. We no longer receive cash interest income on the pledged securities nor do we pay cash interest on the secured borrowing. We continue to retain a liquidity option in respect of $2,000 par value of auction rate securities.</w:t>
      </w:r>
    </w:p>
    <w:p>
      <w:pPr>
        <w:spacing w:after="0" w:line="189"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June 2010, we obtained financing under a repurchase agreement for auction rate securities with a face value of $35,000. This agreement has no stated credit limit and lending is determined for each transaction based on the acceptability of the securities presented as collateral. Borrowings mature and are renewed monthly.</w:t>
      </w:r>
    </w:p>
    <w:p>
      <w:pPr>
        <w:spacing w:after="0" w:line="181" w:lineRule="exact"/>
        <w:rPr>
          <w:rFonts w:ascii="Arial" w:cs="Arial" w:eastAsia="Arial" w:hAnsi="Arial"/>
          <w:sz w:val="18"/>
          <w:szCs w:val="18"/>
          <w:color w:val="auto"/>
        </w:rPr>
      </w:pPr>
    </w:p>
    <w:p>
      <w:pPr>
        <w:ind w:left="460" w:right="20" w:hanging="452"/>
        <w:spacing w:after="0" w:line="30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August 2010, we obtained financing under a repurchase agreement for the Class A-2 and A-3 notes issued by Ocwen Real Estate Asset Liquidating Trust 2007-1 with a face value of $33,605. This agreement has no stated credit limit and lending is determined for each transaction based on the acceptability of the securities presented as collateral. Borrowings mature and are renewed monthly. The borrowings on the Class A-2 notes bear interest at 1-Month LIBOR + 200 basis points and borrowings on the Class A-3 notes bear interest at 1-Month LIBOR + 300 basis points.</w:t>
      </w:r>
    </w:p>
    <w:p>
      <w:pPr>
        <w:spacing w:after="0" w:line="15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INVESTMENT LINE</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investment line term note was secured by our investment in auction rate securities. As disclosed in Note 5, we used proceeds from the sale of auction rate securities and the settlement of a litigation action related to auction rate securities to repay the remaining outstanding balance of the investment line during the first quarter of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NOTE 16</w:t>
            </w:r>
          </w:p>
        </w:tc>
        <w:tc>
          <w:tcPr>
            <w:tcW w:w="5280" w:type="dxa"/>
            <w:vAlign w:val="bottom"/>
          </w:tcPr>
          <w:p>
            <w:pPr>
              <w:ind w:left="320"/>
              <w:spacing w:after="0"/>
              <w:rPr>
                <w:sz w:val="20"/>
                <w:szCs w:val="20"/>
                <w:color w:val="auto"/>
              </w:rPr>
            </w:pPr>
            <w:r>
              <w:rPr>
                <w:rFonts w:ascii="Arial" w:cs="Arial" w:eastAsia="Arial" w:hAnsi="Arial"/>
                <w:sz w:val="18"/>
                <w:szCs w:val="18"/>
                <w:b w:val="1"/>
                <w:bCs w:val="1"/>
                <w:color w:val="auto"/>
              </w:rPr>
              <w:t>DEBT SECURITIES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320" w:type="dxa"/>
            <w:vAlign w:val="bottom"/>
            <w:gridSpan w:val="2"/>
          </w:tcPr>
          <w:p>
            <w:pPr>
              <w:ind w:left="320"/>
              <w:spacing w:after="0"/>
              <w:rPr>
                <w:sz w:val="20"/>
                <w:szCs w:val="20"/>
                <w:color w:val="auto"/>
              </w:rPr>
            </w:pPr>
            <w:r>
              <w:rPr>
                <w:rFonts w:ascii="Arial" w:cs="Arial" w:eastAsia="Arial" w:hAnsi="Arial"/>
                <w:sz w:val="18"/>
                <w:szCs w:val="18"/>
                <w:color w:val="auto"/>
              </w:rPr>
              <w:t>Debt securities consisted of the following at the dates indicated: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September 30, 2010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2009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3.25% Contingent Convertible Unsecured Senior Notes due August 1, 2024</w:t>
            </w: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56,435</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56,435</w:t>
            </w: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10.875% Capital Trust Securities due August 1, 2027</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39,129</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528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82,554</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95,564</w:t>
            </w: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EAF9E8"/>
            </w:tcBorders>
            <w:shd w:val="clear" w:color="auto" w:fill="EAF9E8"/>
          </w:tcPr>
          <w:p>
            <w:pPr>
              <w:spacing w:after="0" w:line="20" w:lineRule="exact"/>
              <w:rPr>
                <w:sz w:val="1"/>
                <w:szCs w:val="1"/>
                <w:color w:val="auto"/>
              </w:rPr>
            </w:pPr>
          </w:p>
        </w:tc>
        <w:tc>
          <w:tcPr>
            <w:tcW w:w="528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right="740" w:firstLine="486"/>
        <w:spacing w:after="0" w:line="342" w:lineRule="auto"/>
        <w:rPr>
          <w:sz w:val="20"/>
          <w:szCs w:val="20"/>
          <w:color w:val="auto"/>
        </w:rPr>
      </w:pPr>
      <w:r>
        <w:rPr>
          <w:rFonts w:ascii="Arial" w:cs="Arial" w:eastAsia="Arial" w:hAnsi="Arial"/>
          <w:sz w:val="16"/>
          <w:szCs w:val="16"/>
          <w:color w:val="auto"/>
        </w:rPr>
        <w:t>In January 2010, we repurchased $12,930 of the Capital Securities and recognized a gain of $717 on these repurchases, net of the write-off of unamortized issuance costs. In June 2010, we repurchased an additional $80 of the Capital Securities and recognized a net gain of $6.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NOTE 17</w:t>
            </w: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200" w:type="dxa"/>
            <w:vAlign w:val="bottom"/>
            <w:gridSpan w:val="2"/>
          </w:tcPr>
          <w:p>
            <w:pPr>
              <w:ind w:left="320"/>
              <w:spacing w:after="0"/>
              <w:rPr>
                <w:sz w:val="20"/>
                <w:szCs w:val="20"/>
                <w:color w:val="auto"/>
              </w:rPr>
            </w:pPr>
            <w:r>
              <w:rPr>
                <w:rFonts w:ascii="Arial" w:cs="Arial" w:eastAsia="Arial" w:hAnsi="Arial"/>
                <w:sz w:val="18"/>
                <w:szCs w:val="18"/>
                <w:color w:val="auto"/>
                <w:w w:val="99"/>
              </w:rPr>
              <w:t>The following table sets forth the components of Other liabilities at the dates indicated:</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September 30, 2010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2009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expenses (1)</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79,273</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21,381</w:t>
            </w: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Fair value of derivatives</w:t>
            </w: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21,852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1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17,765</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12,827</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7"/>
              </w:rPr>
              <w:t>Deferred income</w:t>
            </w: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13,599</w:t>
            </w: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3,922</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3,588</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7"/>
              </w:rPr>
              <w:t>Servicing liability</w:t>
            </w: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2,878</w:t>
            </w: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Payable to Altisource</w:t>
            </w:r>
          </w:p>
        </w:tc>
        <w:tc>
          <w:tcPr>
            <w:tcW w:w="12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3,461</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10,655</w:t>
            </w: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Liability for selected tax items</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15,326</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58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auto"/>
            </w:tcBorders>
            <w:shd w:val="clear" w:color="auto" w:fill="EAF9E8"/>
          </w:tcPr>
          <w:p>
            <w:pPr>
              <w:spacing w:after="0"/>
              <w:rPr>
                <w:sz w:val="19"/>
                <w:szCs w:val="19"/>
                <w:color w:val="auto"/>
              </w:rPr>
            </w:pPr>
          </w:p>
        </w:tc>
        <w:tc>
          <w:tcPr>
            <w:tcW w:w="1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22,536</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166,751</w:t>
            </w:r>
          </w:p>
        </w:tc>
        <w:tc>
          <w:tcPr>
            <w:tcW w:w="2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90,782</w:t>
            </w: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6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balance at September 30, 2010 includes $29,472 of accrued compensation expenses related to HomEq employees, including $20,889 for estimated severance payments. We expect to pay these liabilities during the fourth quarter of 2010. The balance at September 30, 2010 also includes $24,067 of litigation reserves established primarily in connection with the proposed settlement of one legal proceeding and a jury verdict in another case. See Note 25 for additional information regarding these cases.</w:t>
      </w:r>
    </w:p>
    <w:p>
      <w:pPr>
        <w:spacing w:after="0" w:line="186" w:lineRule="exact"/>
        <w:rPr>
          <w:rFonts w:ascii="Arial" w:cs="Arial" w:eastAsia="Arial" w:hAnsi="Arial"/>
          <w:sz w:val="18"/>
          <w:szCs w:val="18"/>
          <w:color w:val="auto"/>
        </w:rPr>
      </w:pPr>
    </w:p>
    <w:p>
      <w:pPr>
        <w:ind w:left="460" w:right="40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December 31, 2009, we recorded a reserve against a tax receivable of $8,489 related to the wind-down and liquidation of an advance financing structure. In connection with the process of finalizing this structure, we reversed this reserve during the second quter of 2010. See Note 21 for additional information on the liability for selected tax items.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0" w:name="page31"/>
    <w:bookmarkEnd w:id="30"/>
    <w:p>
      <w:pPr>
        <w:spacing w:after="0"/>
        <w:tabs>
          <w:tab w:leader="none" w:pos="13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8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our Servicing segment, we have entered into interest rate caps to hedge our exposure to rising interest rates. In connection with our issuance of a match funded variable funding note in December 2007 with a variable rate of interest and a $250,000 maximum borrowing capacity, we entered into interest rate caps with a notional amount of $250,000. We designated this cap as a cash flow hedge but de-designated it as of March 31, 2008 because of ineffectiveness. In connection with our renewal of a match funded variable funding note in February 2008 that carries a variable interest rate and a maximum borrowing capacity of $100,000, we entered into an interest rate cap with an original notional amount of $200,000. This cap began amortizing at the rate of $8,333 per month in February 2009. The notional balance at September 30, 2010 is $33,333. We did not designate this cap as a hedge. Under the terms of these caps, we receive payments when 1-Month LIBOR exceeds 6.5%. We have not received any payments under the terms of these caps.</w:t>
      </w:r>
    </w:p>
    <w:p>
      <w:pPr>
        <w:spacing w:after="0" w:line="16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April 2010, we entered into a $250,000 interest rate swap to hedge against the effects of a change in 1-Month LIBOR on borrowing of $250,000 under a $500,000 advance funding facility that carries a variable interest rate. Under the terms of the swap, we pay a fixed rate of 2.059% and receive a variable rate equal to 1-Month LIBOR. Settlements under the terms of this swap commenced in August 2010. Projected net settlements for the next twelve months total approximately $4,834 of payments to the counterparty. We designated this swap as a cash flow hedge.</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June 2010, we entered into two interest rate swaps with notional amounts totaling $637,200 to hedge against the effect of changes in interest rates on a $1,011,000 advance funding facility in connection with the HomEq Acquisition. The terms of the facility are the lender’s commercial paper rate plus 3.5 – 7.5%. Under the terms of the two swaps, we pay fixed rates of 1.575% and 1.5275%, respectively, and receive a variable rate equal to 1-Month LIBOR. Settlements under the terms of these swaps commenced in September 2010. Projected net settlements for the next twelve months total approximately $3,783 of payments to the counterparty. We designated these swaps as cash flow hedges.</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our Loans and Residuals segment, effective January 1, 2010 we include certain securitization trusts under the provisions of ASC 810, Consolidation, as more fully described in Note 1—Securitizations of Residential Mortgage Loans. As a result, we report in our Loans and Residuals segment the fair value of an interest rate swap that is held by one of the securitization trusts. Under the terms of the swap, the trust pays a fixed rate of 4.935% and receives a variable rate equal to 1-Month LIBOR. This swap is not designated as a hedge.</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also entered into foreign exchange forward contracts during the second quarter of 2010 to hedge against the effect of changes in the value of the India Rupee on amounts payable to our subsidiary in India, OFSPL. We did not designate these contracts as hedges.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use of derivatives during the nine months ended September 30,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Foreign</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Exchange</w:t>
            </w: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Interest Rate</w:t>
            </w:r>
          </w:p>
        </w:tc>
        <w:tc>
          <w:tcPr>
            <w:tcW w:w="2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Forwards</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Caps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Swaps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December 31, 2009</w:t>
            </w:r>
          </w:p>
        </w:tc>
        <w:tc>
          <w:tcPr>
            <w:tcW w:w="2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358,333</w:t>
            </w:r>
          </w:p>
        </w:tc>
        <w:tc>
          <w:tcPr>
            <w:tcW w:w="240" w:type="dxa"/>
            <w:vAlign w:val="bottom"/>
            <w:shd w:val="clear" w:color="auto" w:fill="EAF9E8"/>
          </w:tcPr>
          <w:p>
            <w:pPr>
              <w:spacing w:after="0"/>
              <w:rPr>
                <w:sz w:val="18"/>
                <w:szCs w:val="18"/>
                <w:color w:val="auto"/>
              </w:rPr>
            </w:pP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Opening balance adjustment (1)</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1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19,200</w:t>
            </w:r>
          </w:p>
        </w:tc>
        <w:tc>
          <w:tcPr>
            <w:tcW w:w="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Maturities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(13,565)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6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September 30, 2010 (1)</w:t>
            </w:r>
          </w:p>
        </w:tc>
        <w:tc>
          <w:tcPr>
            <w:tcW w:w="2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11,200</w:t>
            </w: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283,333</w:t>
            </w:r>
          </w:p>
        </w:tc>
        <w:tc>
          <w:tcPr>
            <w:tcW w:w="240" w:type="dxa"/>
            <w:vAlign w:val="bottom"/>
            <w:shd w:val="clear" w:color="auto" w:fill="EAF9E8"/>
          </w:tcPr>
          <w:p>
            <w:pPr>
              <w:spacing w:after="0"/>
              <w:rPr>
                <w:sz w:val="22"/>
                <w:szCs w:val="22"/>
                <w:color w:val="auto"/>
              </w:rPr>
            </w:pP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891,436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EAF9E8"/>
            </w:tcBorders>
          </w:tcPr>
          <w:p>
            <w:pPr>
              <w:spacing w:after="0"/>
              <w:rPr>
                <w:sz w:val="18"/>
                <w:szCs w:val="18"/>
                <w:color w:val="auto"/>
              </w:rPr>
            </w:pPr>
          </w:p>
        </w:tc>
        <w:tc>
          <w:tcPr>
            <w:tcW w:w="192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EAF9E8"/>
          </w:tcPr>
          <w:p>
            <w:pPr>
              <w:spacing w:after="0"/>
              <w:rPr>
                <w:sz w:val="20"/>
                <w:szCs w:val="20"/>
                <w:color w:val="auto"/>
              </w:rPr>
            </w:pPr>
            <w:r>
              <w:rPr>
                <w:rFonts w:ascii="Arial" w:cs="Arial" w:eastAsia="Arial" w:hAnsi="Arial"/>
                <w:sz w:val="18"/>
                <w:szCs w:val="18"/>
                <w:color w:val="auto"/>
              </w:rPr>
              <w:t>Fair value (2):</w:t>
            </w:r>
          </w:p>
        </w:tc>
        <w:tc>
          <w:tcPr>
            <w:tcW w:w="1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September 30, 2010 (1)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377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(21,852)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December 31, 2009 (1)</w:t>
            </w:r>
          </w:p>
        </w:tc>
        <w:tc>
          <w:tcPr>
            <w:tcW w:w="2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781</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EAF9E8"/>
            </w:tcBorders>
          </w:tcPr>
          <w:p>
            <w:pPr>
              <w:spacing w:after="0"/>
              <w:rPr>
                <w:sz w:val="18"/>
                <w:szCs w:val="18"/>
                <w:color w:val="auto"/>
              </w:rPr>
            </w:pPr>
          </w:p>
        </w:tc>
        <w:tc>
          <w:tcPr>
            <w:tcW w:w="192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shd w:val="clear" w:color="auto" w:fill="EAF9E8"/>
          </w:tcPr>
          <w:p>
            <w:pPr>
              <w:spacing w:after="0"/>
              <w:rPr>
                <w:sz w:val="17"/>
                <w:szCs w:val="17"/>
                <w:color w:val="auto"/>
              </w:rPr>
            </w:pPr>
          </w:p>
        </w:tc>
        <w:tc>
          <w:tcPr>
            <w:tcW w:w="19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300" w:type="dxa"/>
            <w:vAlign w:val="bottom"/>
            <w:gridSpan w:val="2"/>
            <w:shd w:val="clear" w:color="auto" w:fill="EAF9E8"/>
          </w:tcPr>
          <w:p>
            <w:pPr>
              <w:jc w:val="center"/>
              <w:ind w:right="340"/>
              <w:spacing w:after="0" w:line="201" w:lineRule="exact"/>
              <w:rPr>
                <w:sz w:val="20"/>
                <w:szCs w:val="20"/>
                <w:color w:val="auto"/>
              </w:rPr>
            </w:pPr>
            <w:r>
              <w:rPr>
                <w:rFonts w:ascii="Arial" w:cs="Arial" w:eastAsia="Arial" w:hAnsi="Arial"/>
                <w:sz w:val="18"/>
                <w:szCs w:val="18"/>
                <w:color w:val="auto"/>
                <w:w w:val="87"/>
              </w:rPr>
              <w:t>January 2011</w:t>
            </w: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AF9E8"/>
          </w:tcPr>
          <w:p>
            <w:pPr>
              <w:spacing w:after="0"/>
              <w:rPr>
                <w:sz w:val="18"/>
                <w:szCs w:val="18"/>
                <w:color w:val="auto"/>
              </w:rPr>
            </w:pPr>
          </w:p>
        </w:tc>
        <w:tc>
          <w:tcPr>
            <w:tcW w:w="1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center"/>
              <w:ind w:right="320"/>
              <w:spacing w:after="0"/>
              <w:rPr>
                <w:sz w:val="20"/>
                <w:szCs w:val="20"/>
                <w:color w:val="auto"/>
              </w:rPr>
            </w:pPr>
            <w:r>
              <w:rPr>
                <w:rFonts w:ascii="Arial" w:cs="Arial" w:eastAsia="Arial" w:hAnsi="Arial"/>
                <w:sz w:val="18"/>
                <w:szCs w:val="18"/>
                <w:color w:val="auto"/>
                <w:w w:val="86"/>
              </w:rPr>
              <w:t>and</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center"/>
              <w:ind w:right="260"/>
              <w:spacing w:after="0"/>
              <w:rPr>
                <w:sz w:val="20"/>
                <w:szCs w:val="20"/>
                <w:color w:val="auto"/>
              </w:rPr>
            </w:pPr>
            <w:r>
              <w:rPr>
                <w:rFonts w:ascii="Arial" w:cs="Arial" w:eastAsia="Arial" w:hAnsi="Arial"/>
                <w:sz w:val="18"/>
                <w:szCs w:val="18"/>
                <w:color w:val="auto"/>
                <w:w w:val="91"/>
              </w:rPr>
              <w:t>November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AF9E8"/>
          </w:tcPr>
          <w:p>
            <w:pPr>
              <w:spacing w:after="0"/>
              <w:rPr>
                <w:sz w:val="18"/>
                <w:szCs w:val="18"/>
                <w:color w:val="auto"/>
              </w:rPr>
            </w:pPr>
          </w:p>
        </w:tc>
        <w:tc>
          <w:tcPr>
            <w:tcW w:w="1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center"/>
              <w:ind w:right="540"/>
              <w:spacing w:after="0"/>
              <w:rPr>
                <w:sz w:val="20"/>
                <w:szCs w:val="20"/>
                <w:color w:val="auto"/>
              </w:rPr>
            </w:pPr>
            <w:r>
              <w:rPr>
                <w:rFonts w:ascii="Arial" w:cs="Arial" w:eastAsia="Arial" w:hAnsi="Arial"/>
                <w:sz w:val="18"/>
                <w:szCs w:val="18"/>
                <w:color w:val="auto"/>
                <w:w w:val="89"/>
              </w:rPr>
              <w:t>October 2010</w:t>
            </w:r>
          </w:p>
        </w:tc>
        <w:tc>
          <w:tcPr>
            <w:tcW w:w="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center"/>
              <w:ind w:right="320"/>
              <w:spacing w:after="0"/>
              <w:rPr>
                <w:sz w:val="20"/>
                <w:szCs w:val="20"/>
                <w:color w:val="auto"/>
              </w:rPr>
            </w:pPr>
            <w:r>
              <w:rPr>
                <w:rFonts w:ascii="Arial" w:cs="Arial" w:eastAsia="Arial" w:hAnsi="Arial"/>
                <w:sz w:val="18"/>
                <w:szCs w:val="18"/>
                <w:color w:val="auto"/>
                <w:w w:val="89"/>
              </w:rPr>
              <w:t>December</w:t>
            </w:r>
          </w:p>
        </w:tc>
        <w:tc>
          <w:tcPr>
            <w:tcW w:w="200" w:type="dxa"/>
            <w:vAlign w:val="bottom"/>
            <w:shd w:val="clear" w:color="auto" w:fill="EAF9E8"/>
          </w:tcPr>
          <w:p>
            <w:pPr>
              <w:spacing w:after="0"/>
              <w:rPr>
                <w:sz w:val="18"/>
                <w:szCs w:val="18"/>
                <w:color w:val="auto"/>
              </w:rPr>
            </w:pPr>
          </w:p>
        </w:tc>
        <w:tc>
          <w:tcPr>
            <w:tcW w:w="1240" w:type="dxa"/>
            <w:vAlign w:val="bottom"/>
            <w:gridSpan w:val="3"/>
            <w:shd w:val="clear" w:color="auto" w:fill="EAF9E8"/>
          </w:tcPr>
          <w:p>
            <w:pPr>
              <w:ind w:left="20"/>
              <w:spacing w:after="0"/>
              <w:rPr>
                <w:sz w:val="20"/>
                <w:szCs w:val="20"/>
                <w:color w:val="auto"/>
              </w:rPr>
            </w:pPr>
            <w:r>
              <w:rPr>
                <w:rFonts w:ascii="Arial" w:cs="Arial" w:eastAsia="Arial" w:hAnsi="Arial"/>
                <w:sz w:val="18"/>
                <w:szCs w:val="18"/>
                <w:color w:val="auto"/>
                <w:w w:val="99"/>
              </w:rPr>
              <w:t>2011 to August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EAF9E8"/>
          </w:tcPr>
          <w:p>
            <w:pPr>
              <w:spacing w:after="0"/>
              <w:rPr>
                <w:sz w:val="20"/>
                <w:szCs w:val="20"/>
                <w:color w:val="auto"/>
              </w:rPr>
            </w:pPr>
            <w:r>
              <w:rPr>
                <w:rFonts w:ascii="Arial" w:cs="Arial" w:eastAsia="Arial" w:hAnsi="Arial"/>
                <w:sz w:val="18"/>
                <w:szCs w:val="18"/>
                <w:color w:val="auto"/>
              </w:rPr>
              <w:t>Maturity</w:t>
            </w:r>
          </w:p>
        </w:tc>
        <w:tc>
          <w:tcPr>
            <w:tcW w:w="19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center"/>
              <w:ind w:right="540"/>
              <w:spacing w:after="0"/>
              <w:rPr>
                <w:sz w:val="20"/>
                <w:szCs w:val="20"/>
                <w:color w:val="auto"/>
              </w:rPr>
            </w:pPr>
            <w:r>
              <w:rPr>
                <w:rFonts w:ascii="Arial" w:cs="Arial" w:eastAsia="Arial" w:hAnsi="Arial"/>
                <w:sz w:val="18"/>
                <w:szCs w:val="18"/>
                <w:color w:val="auto"/>
                <w:w w:val="96"/>
              </w:rPr>
              <w:t>to April 2011</w:t>
            </w:r>
          </w:p>
        </w:tc>
        <w:tc>
          <w:tcPr>
            <w:tcW w:w="80" w:type="dxa"/>
            <w:vAlign w:val="bottom"/>
            <w:shd w:val="clear" w:color="auto" w:fill="EAF9E8"/>
          </w:tcPr>
          <w:p>
            <w:pPr>
              <w:spacing w:after="0"/>
              <w:rPr>
                <w:sz w:val="20"/>
                <w:szCs w:val="20"/>
                <w:color w:val="auto"/>
              </w:rPr>
            </w:pPr>
          </w:p>
        </w:tc>
        <w:tc>
          <w:tcPr>
            <w:tcW w:w="1060" w:type="dxa"/>
            <w:vAlign w:val="bottom"/>
            <w:shd w:val="clear" w:color="auto" w:fill="EAF9E8"/>
          </w:tcPr>
          <w:p>
            <w:pPr>
              <w:jc w:val="center"/>
              <w:ind w:right="10"/>
              <w:spacing w:after="0"/>
              <w:rPr>
                <w:sz w:val="20"/>
                <w:szCs w:val="20"/>
                <w:color w:val="auto"/>
              </w:rPr>
            </w:pPr>
            <w:r>
              <w:rPr>
                <w:rFonts w:ascii="Arial" w:cs="Arial" w:eastAsia="Arial" w:hAnsi="Arial"/>
                <w:sz w:val="18"/>
                <w:szCs w:val="18"/>
                <w:color w:val="auto"/>
                <w:w w:val="89"/>
              </w:rPr>
              <w:t>2013</w:t>
            </w:r>
          </w:p>
        </w:tc>
        <w:tc>
          <w:tcPr>
            <w:tcW w:w="2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000" w:type="dxa"/>
            <w:vAlign w:val="bottom"/>
            <w:shd w:val="clear" w:color="auto" w:fill="EAF9E8"/>
          </w:tcPr>
          <w:p>
            <w:pPr>
              <w:jc w:val="center"/>
              <w:ind w:right="70"/>
              <w:spacing w:after="0"/>
              <w:rPr>
                <w:sz w:val="20"/>
                <w:szCs w:val="20"/>
                <w:color w:val="auto"/>
              </w:rPr>
            </w:pPr>
            <w:r>
              <w:rPr>
                <w:rFonts w:ascii="Arial" w:cs="Arial" w:eastAsia="Arial" w:hAnsi="Arial"/>
                <w:sz w:val="18"/>
                <w:szCs w:val="18"/>
                <w:color w:val="auto"/>
                <w:w w:val="89"/>
              </w:rPr>
              <w:t>2013</w:t>
            </w: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32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result of including four securitization trusts in our consolidated financial statements under the provisions of ASC 810, Consolidations, as more fully described in Note 1—Securitizations of Residential Mortgage Loans, we recognized opening balance adjustments as of January 1, 2010 that included the $(826) fair value of the interest swap held by one of the trusts. This swap, which had a notional amount of $11,700 and a fair value of $(463) at September 30, 2010, was not designated as a hedge.</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values of derivatives are reported in Other assets or in Other liabilities.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1" w:name="page32"/>
    <w:bookmarkEnd w:id="31"/>
    <w:p>
      <w:pPr>
        <w:ind w:right="80" w:firstLine="324"/>
        <w:spacing w:after="0" w:line="255" w:lineRule="auto"/>
        <w:rPr>
          <w:sz w:val="20"/>
          <w:szCs w:val="20"/>
          <w:color w:val="auto"/>
        </w:rPr>
      </w:pPr>
      <w:r>
        <w:rPr>
          <w:rFonts w:ascii="Arial" w:cs="Arial" w:eastAsia="Arial" w:hAnsi="Arial"/>
          <w:sz w:val="18"/>
          <w:szCs w:val="18"/>
          <w:color w:val="auto"/>
        </w:rPr>
        <w:t>Net realized and unrealized gains (losses) included in Other income (expense), net related to derivative financial instruments were $13 and $(74) for the third quarter of 2010 and 2009, respectively, including $458 of expense in the third quarter of 2010 arising from ineffectiveness of the interest rate swaps that we designated as a cash flow hedge. Year to date, the net realized and unrealized gains were $(575) and $690 for 2010 and 2009, respectively. Included in Other comprehensive loss during the third quarter of 2010 were $20,556 of deferred unrealized losses, before taxes of $7,606, on the swaps that we designated as cash flow hedges. There were no accumulated gains or losses on cash flow hedges included in Accumulated other comprehensive loss at December 31, 2009.</w:t>
      </w:r>
    </w:p>
    <w:p>
      <w:pPr>
        <w:spacing w:after="0" w:line="18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SERVICING AND SUBSERVICING FEES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 for the periods ended September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8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57,836</w:t>
            </w:r>
          </w:p>
        </w:tc>
        <w:tc>
          <w:tcPr>
            <w:tcW w:w="8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41,315</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151,097</w:t>
            </w:r>
          </w:p>
        </w:tc>
        <w:tc>
          <w:tcPr>
            <w:tcW w:w="220" w:type="dxa"/>
            <w:vAlign w:val="bottom"/>
            <w:shd w:val="clear" w:color="auto" w:fill="EAF9E8"/>
          </w:tcPr>
          <w:p>
            <w:pPr>
              <w:spacing w:after="0"/>
              <w:rPr>
                <w:sz w:val="18"/>
                <w:szCs w:val="18"/>
                <w:color w:val="auto"/>
              </w:rPr>
            </w:pPr>
          </w:p>
        </w:tc>
        <w:tc>
          <w:tcPr>
            <w:tcW w:w="5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129,931</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Home Affordable Modification Program (HAMP)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11,616</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22,655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Late charges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8,711</w:t>
            </w: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5,361</w:t>
            </w:r>
          </w:p>
        </w:tc>
        <w:tc>
          <w:tcPr>
            <w:tcW w:w="2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24,126</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21,441</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Loan collection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1,815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5,732</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Custodial accounts (float earnings) (1)</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632</w:t>
            </w: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866</w:t>
            </w: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2,080</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3,907</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Receivables management and recovery fees (2)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4,347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29,207</w:t>
            </w:r>
          </w:p>
        </w:tc>
      </w:tr>
      <w:tr>
        <w:trPr>
          <w:trHeight w:val="223"/>
        </w:trPr>
        <w:tc>
          <w:tcPr>
            <w:tcW w:w="20" w:type="dxa"/>
            <w:vAlign w:val="bottom"/>
          </w:tcPr>
          <w:p>
            <w:pPr>
              <w:spacing w:after="0"/>
              <w:rPr>
                <w:sz w:val="19"/>
                <w:szCs w:val="19"/>
                <w:color w:val="auto"/>
              </w:rPr>
            </w:pPr>
          </w:p>
        </w:tc>
        <w:tc>
          <w:tcPr>
            <w:tcW w:w="53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EAF9E8"/>
          </w:tcPr>
          <w:p>
            <w:pPr>
              <w:spacing w:after="0"/>
              <w:rPr>
                <w:sz w:val="19"/>
                <w:szCs w:val="19"/>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5,438</w:t>
            </w:r>
          </w:p>
        </w:tc>
        <w:tc>
          <w:tcPr>
            <w:tcW w:w="48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auto"/>
            </w:tcBorders>
            <w:shd w:val="clear" w:color="auto" w:fill="EAF9E8"/>
          </w:tcPr>
          <w:p>
            <w:pPr>
              <w:spacing w:after="0"/>
              <w:rPr>
                <w:sz w:val="19"/>
                <w:szCs w:val="19"/>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3,053</w:t>
            </w:r>
          </w:p>
        </w:tc>
        <w:tc>
          <w:tcPr>
            <w:tcW w:w="4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12,434</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10,837</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86,424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57,534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218,840</w:t>
            </w: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201,832</w:t>
            </w: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8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three months ended September 30, 2010 and 2009, float earnings included $138 and $921, respectively, of interest income from our investment in auction rate securities. For the nine-month periods, interest income from auction rate securities included in float earnings was $757 and $3,855 for 2010 and 2009, respectively.</w:t>
      </w:r>
    </w:p>
    <w:p>
      <w:pPr>
        <w:spacing w:after="0" w:line="181" w:lineRule="exact"/>
        <w:rPr>
          <w:rFonts w:ascii="Arial" w:cs="Arial" w:eastAsia="Arial" w:hAnsi="Arial"/>
          <w:sz w:val="18"/>
          <w:szCs w:val="18"/>
          <w:color w:val="auto"/>
        </w:rPr>
      </w:pPr>
    </w:p>
    <w:p>
      <w:pPr>
        <w:ind w:left="460" w:right="54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fees were earned by the Financial Services segment which we distributed as part of the Separation. See Note 23 for additional information regarding this former business segment.</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components of Interest expense for each category of our interest-bearing liabilities for the periods ended September 30: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8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16,187</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9,909</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38,646</w:t>
            </w:r>
          </w:p>
        </w:tc>
        <w:tc>
          <w:tcPr>
            <w:tcW w:w="5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28,613</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6,512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3,182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11,390</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Investment line</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1,941</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3,439</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Capital Trust Securities</w:t>
            </w: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1,451</w:t>
            </w: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2,244</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4,354</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36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24,187</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16,145</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50,017</w:t>
            </w:r>
          </w:p>
        </w:tc>
        <w:tc>
          <w:tcPr>
            <w:tcW w:w="5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50,108</w:t>
            </w:r>
          </w:p>
        </w:tc>
      </w:tr>
      <w:tr>
        <w:trPr>
          <w:trHeight w:val="574"/>
        </w:trPr>
        <w:tc>
          <w:tcPr>
            <w:tcW w:w="20" w:type="dxa"/>
            <w:vAlign w:val="bottom"/>
          </w:tcPr>
          <w:p>
            <w:pPr>
              <w:spacing w:after="0"/>
              <w:rPr>
                <w:sz w:val="24"/>
                <w:szCs w:val="24"/>
                <w:color w:val="auto"/>
              </w:rPr>
            </w:pPr>
          </w:p>
        </w:tc>
        <w:tc>
          <w:tcPr>
            <w:tcW w:w="5360" w:type="dxa"/>
            <w:vAlign w:val="bottom"/>
            <w:tcBorders>
              <w:top w:val="single" w:sz="8" w:color="EAF9E8"/>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EAF9E8"/>
            </w:tcBorders>
          </w:tcPr>
          <w:p>
            <w:pPr>
              <w:spacing w:after="0"/>
              <w:rPr>
                <w:sz w:val="24"/>
                <w:szCs w:val="24"/>
                <w:color w:val="auto"/>
              </w:rPr>
            </w:pPr>
          </w:p>
        </w:tc>
        <w:tc>
          <w:tcPr>
            <w:tcW w:w="240" w:type="dxa"/>
            <w:vAlign w:val="bottom"/>
            <w:tcBorders>
              <w:top w:val="single" w:sz="8" w:color="EAF9E8"/>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Borders>
              <w:top w:val="single" w:sz="8" w:color="EAF9E8"/>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NOTE 21</w:t>
            </w:r>
          </w:p>
        </w:tc>
        <w:tc>
          <w:tcPr>
            <w:tcW w:w="4320" w:type="dxa"/>
            <w:vAlign w:val="bottom"/>
          </w:tcPr>
          <w:p>
            <w:pPr>
              <w:ind w:left="320"/>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60" w:type="dxa"/>
            <w:vAlign w:val="bottom"/>
            <w:gridSpan w:val="12"/>
          </w:tcPr>
          <w:p>
            <w:pPr>
              <w:ind w:left="320"/>
              <w:spacing w:after="0"/>
              <w:rPr>
                <w:sz w:val="20"/>
                <w:szCs w:val="20"/>
                <w:color w:val="auto"/>
              </w:rPr>
            </w:pPr>
            <w:r>
              <w:rPr>
                <w:rFonts w:ascii="Arial" w:cs="Arial" w:eastAsia="Arial" w:hAnsi="Arial"/>
                <w:sz w:val="18"/>
                <w:szCs w:val="18"/>
                <w:color w:val="auto"/>
                <w:w w:val="94"/>
              </w:rPr>
              <w:t>The components of income tax expense (benefit) on continuing operations were as follows for the periods ended September 30: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8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4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Arial" w:cs="Arial" w:eastAsia="Arial" w:hAnsi="Arial"/>
                <w:sz w:val="18"/>
                <w:szCs w:val="18"/>
                <w:color w:val="auto"/>
              </w:rPr>
              <w:t>Federal</w:t>
            </w:r>
          </w:p>
        </w:tc>
        <w:tc>
          <w:tcPr>
            <w:tcW w:w="4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5,992</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29,537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387</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w:t>
            </w:r>
          </w:p>
        </w:tc>
        <w:tc>
          <w:tcPr>
            <w:tcW w:w="4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1,077</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Arial" w:cs="Arial" w:eastAsia="Arial" w:hAnsi="Arial"/>
                <w:sz w:val="18"/>
                <w:szCs w:val="18"/>
                <w:color w:val="auto"/>
              </w:rPr>
              <w:t>Foreign</w:t>
            </w: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1,326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43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7,711</w:t>
            </w:r>
          </w:p>
        </w:tc>
        <w:tc>
          <w:tcPr>
            <w:tcW w:w="2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30,719</w:t>
            </w: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2,738</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Deferred:</w:t>
            </w:r>
          </w:p>
        </w:tc>
        <w:tc>
          <w:tcPr>
            <w:tcW w:w="43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Federal</w:t>
            </w:r>
          </w:p>
        </w:tc>
        <w:tc>
          <w:tcPr>
            <w:tcW w:w="4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(14,933)</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30,231</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(3,018)</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Arial" w:cs="Arial" w:eastAsia="Arial" w:hAnsi="Arial"/>
                <w:sz w:val="18"/>
                <w:szCs w:val="18"/>
                <w:color w:val="auto"/>
              </w:rPr>
              <w:t>State</w:t>
            </w: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4,132</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w:t>
            </w:r>
          </w:p>
        </w:tc>
        <w:tc>
          <w:tcPr>
            <w:tcW w:w="4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Provision for valuation allowance on deferred tax assets</w:t>
            </w: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(15,198)</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34,575</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(2,428)</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43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Total</w:t>
            </w:r>
          </w:p>
        </w:tc>
        <w:tc>
          <w:tcPr>
            <w:tcW w:w="4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(7,487)</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65,294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82,803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Income tax expense (benefit) differs from the amounts computed by applying the U.S. Federal corporate income tax rate of 35% as follows for the periods ended September 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8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Expected income tax expense (benefit) at statutory rate</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(7,249)</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8,210</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8,398</w:t>
            </w:r>
          </w:p>
        </w:tc>
        <w:tc>
          <w:tcPr>
            <w:tcW w:w="240" w:type="dxa"/>
            <w:vAlign w:val="bottom"/>
            <w:shd w:val="clear" w:color="auto" w:fill="EAF9E8"/>
          </w:tcPr>
          <w:p>
            <w:pPr>
              <w:spacing w:after="0"/>
              <w:rPr>
                <w:sz w:val="18"/>
                <w:szCs w:val="18"/>
                <w:color w:val="auto"/>
              </w:rPr>
            </w:pP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25,573</w:t>
            </w:r>
          </w:p>
        </w:tc>
      </w:tr>
      <w:tr>
        <w:trPr>
          <w:trHeight w:val="202"/>
        </w:trPr>
        <w:tc>
          <w:tcPr>
            <w:tcW w:w="2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Differences between expected and actual income tax expense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(benefit):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Indefinite deferral on earnings of non-U.S. affiliates</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(1,519)</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(1,503)</w:t>
            </w: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State tax (after Federal tax benefit)</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4,832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6,465</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Provision for (reversal of) liability for selected tax items</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(1,674)</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2,520</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(10,022)</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2,520</w:t>
            </w: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Foreign tax</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1,658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 effect of Altisource Separation</w:t>
            </w:r>
          </w:p>
        </w:tc>
        <w:tc>
          <w:tcPr>
            <w:tcW w:w="1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50,631</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50,631</w:t>
            </w: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(802)</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Actual income tax expense (benefit)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(7,487)</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65,294</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310</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82,803</w:t>
            </w:r>
          </w:p>
        </w:tc>
      </w:tr>
      <w:tr>
        <w:trPr>
          <w:trHeight w:val="574"/>
        </w:trPr>
        <w:tc>
          <w:tcPr>
            <w:tcW w:w="20" w:type="dxa"/>
            <w:vAlign w:val="bottom"/>
          </w:tcPr>
          <w:p>
            <w:pPr>
              <w:spacing w:after="0"/>
              <w:rPr>
                <w:sz w:val="24"/>
                <w:szCs w:val="24"/>
                <w:color w:val="auto"/>
              </w:rPr>
            </w:pPr>
          </w:p>
        </w:tc>
        <w:tc>
          <w:tcPr>
            <w:tcW w:w="5360" w:type="dxa"/>
            <w:vAlign w:val="bottom"/>
            <w:tcBorders>
              <w:top w:val="single" w:sz="8" w:color="EAF9E8"/>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EAF9E8"/>
            </w:tcBorders>
          </w:tcPr>
          <w:p>
            <w:pPr>
              <w:spacing w:after="0"/>
              <w:rPr>
                <w:sz w:val="24"/>
                <w:szCs w:val="24"/>
                <w:color w:val="auto"/>
              </w:rPr>
            </w:pPr>
          </w:p>
        </w:tc>
        <w:tc>
          <w:tcPr>
            <w:tcW w:w="200" w:type="dxa"/>
            <w:vAlign w:val="bottom"/>
            <w:tcBorders>
              <w:top w:val="single" w:sz="8" w:color="EAF9E8"/>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Borders>
              <w:top w:val="single" w:sz="8" w:color="EAF9E8"/>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EAF9E8"/>
            </w:tcBorders>
          </w:tcPr>
          <w:p>
            <w:pPr>
              <w:spacing w:after="0"/>
              <w:rPr>
                <w:sz w:val="24"/>
                <w:szCs w:val="24"/>
                <w:color w:val="auto"/>
              </w:rPr>
            </w:pPr>
          </w:p>
        </w:tc>
        <w:tc>
          <w:tcPr>
            <w:tcW w:w="200" w:type="dxa"/>
            <w:vAlign w:val="bottom"/>
            <w:tcBorders>
              <w:top w:val="single" w:sz="8" w:color="EAF9E8"/>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Net deferred tax assets were comprised of the following at the dates indicated:</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2009</w:t>
            </w: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Borders>
              <w:top w:val="single" w:sz="8" w:color="auto"/>
            </w:tcBorders>
            <w:shd w:val="clear" w:color="auto" w:fill="EAF9E8"/>
          </w:tcPr>
          <w:p>
            <w:pPr>
              <w:spacing w:after="0"/>
              <w:rPr>
                <w:sz w:val="18"/>
                <w:szCs w:val="18"/>
                <w:color w:val="auto"/>
              </w:rPr>
            </w:pPr>
          </w:p>
        </w:tc>
        <w:tc>
          <w:tcPr>
            <w:tcW w:w="17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6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Tax residuals and deferred income on tax residuals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3,365</w:t>
            </w:r>
          </w:p>
        </w:tc>
        <w:tc>
          <w:tcPr>
            <w:tcW w:w="2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 taxes</w:t>
            </w:r>
          </w:p>
        </w:tc>
        <w:tc>
          <w:tcPr>
            <w:tcW w:w="12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3,314</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3,311</w:t>
            </w: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Accrued incentive compensation</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3,739</w:t>
            </w: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other liabilities</w:t>
            </w:r>
          </w:p>
        </w:tc>
        <w:tc>
          <w:tcPr>
            <w:tcW w:w="1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18,172</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Valuation allowance on real estate</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Bad debt and allowance for loan losses</w:t>
            </w:r>
          </w:p>
        </w:tc>
        <w:tc>
          <w:tcPr>
            <w:tcW w:w="12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5,067</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7,220</w:t>
            </w: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Mortgage servicing rights amortization</w:t>
            </w: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40,153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50,065</w:t>
            </w: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operating loss carryforward</w:t>
            </w:r>
          </w:p>
        </w:tc>
        <w:tc>
          <w:tcPr>
            <w:tcW w:w="1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20,590</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22,098</w:t>
            </w: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Partnership losses</w:t>
            </w: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10,868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10,245</w:t>
            </w: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deferred assets</w:t>
            </w:r>
          </w:p>
        </w:tc>
        <w:tc>
          <w:tcPr>
            <w:tcW w:w="12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2,612</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3,211</w:t>
            </w: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Net unrealized gains and losses on securities</w:t>
            </w: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12,509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16,742</w:t>
            </w: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income or loss on service advance receivables</w:t>
            </w:r>
          </w:p>
        </w:tc>
        <w:tc>
          <w:tcPr>
            <w:tcW w:w="12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1,697</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basis differences</w:t>
            </w:r>
          </w:p>
        </w:tc>
        <w:tc>
          <w:tcPr>
            <w:tcW w:w="1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8,489</w:t>
            </w:r>
          </w:p>
        </w:tc>
      </w:tr>
      <w:tr>
        <w:trPr>
          <w:trHeight w:val="223"/>
        </w:trPr>
        <w:tc>
          <w:tcPr>
            <w:tcW w:w="20" w:type="dxa"/>
            <w:vAlign w:val="bottom"/>
          </w:tcPr>
          <w:p>
            <w:pPr>
              <w:spacing w:after="0"/>
              <w:rPr>
                <w:sz w:val="19"/>
                <w:szCs w:val="19"/>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133,857</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132,758</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Deferred interest income on loans</w:t>
            </w:r>
          </w:p>
        </w:tc>
        <w:tc>
          <w:tcPr>
            <w:tcW w:w="120" w:type="dxa"/>
            <w:vAlign w:val="bottom"/>
            <w:tcBorders>
              <w:bottom w:val="single" w:sz="8" w:color="auto"/>
            </w:tcBorders>
            <w:shd w:val="clear" w:color="auto" w:fill="EAF9E8"/>
          </w:tcPr>
          <w:p>
            <w:pPr>
              <w:spacing w:after="0"/>
              <w:rPr>
                <w:sz w:val="19"/>
                <w:szCs w:val="19"/>
                <w:color w:val="auto"/>
              </w:rPr>
            </w:pPr>
          </w:p>
        </w:tc>
        <w:tc>
          <w:tcPr>
            <w:tcW w:w="1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133,782</w:t>
            </w:r>
          </w:p>
        </w:tc>
        <w:tc>
          <w:tcPr>
            <w:tcW w:w="2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132,683</w:t>
            </w: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may be implemented if warranted.</w:t>
      </w:r>
    </w:p>
    <w:p>
      <w:pPr>
        <w:spacing w:after="0" w:line="18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adopted ASC 740 effective January 1, 2007. We recognized total interest and penalties of $1,266 through September 30, 2010. We classify interest and penalties as a component of income tax expense. As of September 30, 2010, we had a total liability for selected tax items of approximately $3,216. The total decrease reflected in the year to date amount is predominantly related to the wind down and liquidation of an advance financing structure and statute expirations.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beginning and ending amount of the liability for selected tax items is as follows for the nine months ended September 30, 2010:</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shd w:val="clear" w:color="auto" w:fill="EAF9E8"/>
          </w:tcPr>
          <w:p>
            <w:pPr>
              <w:spacing w:after="0"/>
              <w:rPr>
                <w:sz w:val="20"/>
                <w:szCs w:val="20"/>
                <w:color w:val="auto"/>
              </w:rPr>
            </w:pPr>
            <w:r>
              <w:rPr>
                <w:rFonts w:ascii="Arial" w:cs="Arial" w:eastAsia="Arial" w:hAnsi="Arial"/>
                <w:sz w:val="18"/>
                <w:szCs w:val="18"/>
                <w:color w:val="auto"/>
              </w:rPr>
              <w:t>Balance at January 1, 2010</w:t>
            </w:r>
          </w:p>
        </w:tc>
        <w:tc>
          <w:tcPr>
            <w:tcW w:w="38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Additions for tax positions of prior years</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Reductions for tax positions of prior years</w:t>
            </w:r>
          </w:p>
        </w:tc>
        <w:tc>
          <w:tcPr>
            <w:tcW w:w="3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80" w:type="dxa"/>
            <w:vAlign w:val="bottom"/>
            <w:shd w:val="clear" w:color="auto" w:fill="EAF9E8"/>
          </w:tcPr>
          <w:p>
            <w:pPr>
              <w:spacing w:after="0"/>
              <w:rPr>
                <w:sz w:val="20"/>
                <w:szCs w:val="20"/>
                <w:color w:val="auto"/>
              </w:rPr>
            </w:pPr>
            <w:r>
              <w:rPr>
                <w:rFonts w:ascii="Arial" w:cs="Arial" w:eastAsia="Arial" w:hAnsi="Arial"/>
                <w:sz w:val="18"/>
                <w:szCs w:val="18"/>
                <w:color w:val="auto"/>
              </w:rPr>
              <w:t>Balance at September 30, 2010</w:t>
            </w:r>
          </w:p>
        </w:tc>
        <w:tc>
          <w:tcPr>
            <w:tcW w:w="38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EAF9E8"/>
            </w:tcBorders>
            <w:shd w:val="clear" w:color="auto" w:fill="EAF9E8"/>
          </w:tcPr>
          <w:p>
            <w:pPr>
              <w:spacing w:after="0" w:line="20" w:lineRule="exact"/>
              <w:rPr>
                <w:sz w:val="1"/>
                <w:szCs w:val="1"/>
                <w:color w:val="auto"/>
              </w:rPr>
            </w:pPr>
          </w:p>
        </w:tc>
        <w:tc>
          <w:tcPr>
            <w:tcW w:w="348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7"/>
          <w:szCs w:val="17"/>
          <w:b w:val="1"/>
          <w:bCs w:val="1"/>
          <w:color w:val="auto"/>
        </w:rPr>
        <w:t>BASIC AND DILUTED EARNINGS PER SHARE</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Basic EPS excludes common stock equivalents and is calculated by dividing net income (loss) attributable to OCN by the weighted average number of common shares outstanding during the year. We calculate diluted EPS by dividing net income attributable to OCN, as adjusted to add back interest expense net of income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periods indicated: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The following is a reconciliation of the calculation of basic EPS to diluted EPS for the three and nine months ended September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8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Nine months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Basic EPS:</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(loss) attributable to OCN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(8,835)</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(42,031)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28,063</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(9,092)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100,329,915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82,614,456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100,159,547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70,966,393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EPS (1):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Net income (loss) attributable to OCN</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(8,835)</w:t>
            </w:r>
          </w:p>
        </w:tc>
        <w:tc>
          <w:tcPr>
            <w:tcW w:w="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(42,031)</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28,063</w:t>
            </w:r>
          </w:p>
        </w:tc>
        <w:tc>
          <w:tcPr>
            <w:tcW w:w="5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expense on Convertible Notes, net of income tax (2)</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Adjusted net income (loss) attributable to OCN</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(8,835)</w:t>
            </w:r>
          </w:p>
        </w:tc>
        <w:tc>
          <w:tcPr>
            <w:tcW w:w="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(42,031)</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28,990</w:t>
            </w:r>
          </w:p>
        </w:tc>
        <w:tc>
          <w:tcPr>
            <w:tcW w:w="5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(9,092)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5"/>
              </w:rPr>
              <w:t>100,329,915</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w w:val="90"/>
              </w:rPr>
              <w:t>82,614,456</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100,159,547</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0"/>
              </w:rPr>
              <w:t>70,966,393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 of dilutive elements: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Convertible Notes (2)</w:t>
            </w: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4,637,224</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Stock options (3) (4)</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2,581,104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Common stock awards</w:t>
            </w: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1,850</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Dilutive weighted average shares of common stock</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100,329,915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82,614,456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107,379,725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70,966,393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Stock options excluded from the computation of diluted EPS: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Anti-dilutive (3)</w:t>
            </w: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12,391</w:t>
            </w: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Market-based (4)</w:t>
            </w:r>
          </w:p>
        </w:tc>
        <w:tc>
          <w:tcPr>
            <w:tcW w:w="1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1,770,000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24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three months ended September 30, 2010 and the three and nine months ended September 30, 2009, we have excluded the effect of the Convertible Notes, stock options and common stock awards from the computation of diluted EPS because of the anti-dilutive impact on our reported net loss.</w:t>
      </w:r>
    </w:p>
    <w:p>
      <w:pPr>
        <w:spacing w:after="0" w:line="181" w:lineRule="exact"/>
        <w:rPr>
          <w:rFonts w:ascii="Arial" w:cs="Arial" w:eastAsia="Arial" w:hAnsi="Arial"/>
          <w:sz w:val="18"/>
          <w:szCs w:val="18"/>
          <w:color w:val="auto"/>
        </w:rPr>
      </w:pPr>
    </w:p>
    <w:p>
      <w:pPr>
        <w:ind w:left="460" w:right="20" w:hanging="452"/>
        <w:spacing w:after="0" w:line="279"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effect of our Convertible Notes on diluted EPS is computed using the if-converted method. Interest expense and related amortization costs applicable to the Convertible Notes, net of income tax, are added back to net income. Conversion of the Convertible Notes into shares of common stock is assumed for purposes of computing diluted EPS unless the effect would be anti-dilutive. The effect is anti-dilutive whenever interest expense on the Convertible Notes, net of income tax, per common share obtainable on conversion exceeds basic EPS.</w:t>
      </w:r>
    </w:p>
    <w:p>
      <w:pPr>
        <w:spacing w:after="0" w:line="171" w:lineRule="exact"/>
        <w:rPr>
          <w:rFonts w:ascii="Arial" w:cs="Arial" w:eastAsia="Arial" w:hAnsi="Arial"/>
          <w:sz w:val="17"/>
          <w:szCs w:val="17"/>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225"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OCN’s stock price and an annualized rate of return to investors. On August 10, 2009, the market performance criterion was met for 3,420,000 of these options.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7"/>
          <w:szCs w:val="17"/>
          <w:b w:val="1"/>
          <w:bCs w:val="1"/>
          <w:color w:val="auto"/>
        </w:rPr>
        <w:t>BUSINESS SEGMENT REPORTING</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Prior to the Separation on August 10, 2009, we managed our business through two distinct lines of business, Ocwen Asset Management and Ocwen Solutions. Ocwen Asset Management includes our core residential servicing business, equity investments in asset management vehicles and our remaining investments in subprime loans and residual securities. Ocwen Solutions, our knowledge-based business process outsourcing (BPO) operation, included our residential fee-based loan processing businesses, all of our technology platforms, our unsecured collections business and our equity interest in BMS Holdings. Due to the Separation, as of August 10, 2009, neither the assets and liabilities, nor the subsequent operations of the Ocwen Solutions line of business comprising the Mortgage Services, Financial Services and Technology Products segments, except fo r BMS Holdings and GSS, are included in our results.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5" w:name="page36"/>
    <w:bookmarkEnd w:id="35"/>
    <w:p>
      <w:pPr>
        <w:ind w:right="140" w:firstLine="324"/>
        <w:spacing w:after="0" w:line="264" w:lineRule="auto"/>
        <w:rPr>
          <w:sz w:val="20"/>
          <w:szCs w:val="20"/>
          <w:color w:val="auto"/>
        </w:rPr>
      </w:pPr>
      <w:r>
        <w:rPr>
          <w:rFonts w:ascii="Arial" w:cs="Arial" w:eastAsia="Arial" w:hAnsi="Arial"/>
          <w:sz w:val="18"/>
          <w:szCs w:val="18"/>
          <w:color w:val="auto"/>
        </w:rPr>
        <w:t>Our business segments reflect the internal reporting that we have used to evaluate operating performance and to assess the allocation of our resources. Our segments are based upon our organizational structure that focuses primarily on the products and services offered. Segment results for prior periods have been restated to conform to the current segment structure.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brief description of our current and former business segments is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 Asset Management</w:t>
      </w:r>
    </w:p>
    <w:p>
      <w:pPr>
        <w:spacing w:after="0" w:line="225" w:lineRule="exact"/>
        <w:rPr>
          <w:sz w:val="20"/>
          <w:szCs w:val="20"/>
          <w:color w:val="auto"/>
        </w:rPr>
      </w:pPr>
    </w:p>
    <w:p>
      <w:pPr>
        <w:ind w:left="1160" w:right="40" w:hanging="693"/>
        <w:spacing w:after="0" w:line="255"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This segment provides loan servicing for a fee, including asset management and resolution services, primarily to owners of</w:t>
      </w:r>
      <w:r>
        <w:rPr>
          <w:rFonts w:ascii="Arial" w:cs="Arial" w:eastAsia="Arial" w:hAnsi="Arial"/>
          <w:sz w:val="18"/>
          <w:szCs w:val="18"/>
          <w:i w:val="1"/>
          <w:iCs w:val="1"/>
          <w:color w:val="auto"/>
        </w:rPr>
        <w:t xml:space="preserve"> </w:t>
      </w:r>
      <w:r>
        <w:rPr>
          <w:rFonts w:ascii="Arial" w:cs="Arial" w:eastAsia="Arial" w:hAnsi="Arial"/>
          <w:sz w:val="18"/>
          <w:szCs w:val="18"/>
          <w:color w:val="auto"/>
        </w:rPr>
        <w:t>subprime residential mortgages. Subprime loans represent residential loans we service that were made to borrowers who generally did not qualify under guidelines of Fannie Mae and Freddie Mac (nonconforming loans) or have subsequently become delinquent. This segment is primarily comprised of our core residential servicing business. As disclosed in Note 3, on September 1, 2010, Ocwen closed on the acquisition of HomEq Servicing which included 134,000 residential loans with an aggregate unpaid principal balance of $22,400,000. Ocwen immediately boarded the HomEq Servicing loans on its platform and is in the process of shutting down the HomEq platform and terminating the HomEq employees that initially transferred to Ocwen.</w:t>
      </w:r>
    </w:p>
    <w:p>
      <w:pPr>
        <w:spacing w:after="0" w:line="189" w:lineRule="exact"/>
        <w:rPr>
          <w:rFonts w:ascii="Arial" w:cs="Arial" w:eastAsia="Arial" w:hAnsi="Arial"/>
          <w:sz w:val="18"/>
          <w:szCs w:val="18"/>
          <w:color w:val="auto"/>
        </w:rPr>
      </w:pPr>
    </w:p>
    <w:p>
      <w:pPr>
        <w:ind w:left="1160" w:right="60" w:hanging="693"/>
        <w:spacing w:after="0" w:line="279" w:lineRule="auto"/>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Loans and Residuals. </w:t>
      </w:r>
      <w:r>
        <w:rPr>
          <w:rFonts w:ascii="Arial" w:cs="Arial" w:eastAsia="Arial" w:hAnsi="Arial"/>
          <w:sz w:val="17"/>
          <w:szCs w:val="17"/>
          <w:color w:val="auto"/>
        </w:rPr>
        <w:t>This segment includes our trading and investing activities and our former subprime loan origination operation.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and investing activities include our investments in subprime residual mortgage backed trading securities as well as the results of our whole loan purchase and securitization activities. Effective January 1, 2010, the Loans and Residuals segment includes the four securitization trusts that we include in our consolidated financial statements under the provisions of ASC 810, Consolidation.</w:t>
      </w:r>
    </w:p>
    <w:p>
      <w:pPr>
        <w:spacing w:after="0" w:line="171" w:lineRule="exact"/>
        <w:rPr>
          <w:rFonts w:ascii="Arial" w:cs="Arial" w:eastAsia="Arial" w:hAnsi="Arial"/>
          <w:sz w:val="17"/>
          <w:szCs w:val="17"/>
          <w:color w:val="auto"/>
        </w:rPr>
      </w:pPr>
    </w:p>
    <w:p>
      <w:pPr>
        <w:ind w:left="1160" w:right="120" w:hanging="693"/>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Asset Management Vehicles. </w:t>
      </w:r>
      <w:r>
        <w:rPr>
          <w:rFonts w:ascii="Arial" w:cs="Arial" w:eastAsia="Arial" w:hAnsi="Arial"/>
          <w:sz w:val="18"/>
          <w:szCs w:val="18"/>
          <w:color w:val="auto"/>
        </w:rPr>
        <w:t>This segment is comprised of our 25% equity investment in OSI and approximately a 25%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ONL and affiliates, unconsolidated entities engaged in the management of residential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 Solutions (distributed as part of the Separation, except for BMS Holdings and GSS)</w:t>
      </w:r>
    </w:p>
    <w:p>
      <w:pPr>
        <w:spacing w:after="0" w:line="225" w:lineRule="exact"/>
        <w:rPr>
          <w:sz w:val="20"/>
          <w:szCs w:val="20"/>
          <w:color w:val="auto"/>
        </w:rPr>
      </w:pPr>
    </w:p>
    <w:p>
      <w:pPr>
        <w:ind w:left="1160" w:hanging="693"/>
        <w:spacing w:after="0" w:line="279" w:lineRule="auto"/>
        <w:tabs>
          <w:tab w:leader="none" w:pos="11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Mortgage Services. </w:t>
      </w:r>
      <w:r>
        <w:rPr>
          <w:rFonts w:ascii="Arial" w:cs="Arial" w:eastAsia="Arial" w:hAnsi="Arial"/>
          <w:sz w:val="17"/>
          <w:szCs w:val="17"/>
          <w:color w:val="auto"/>
        </w:rPr>
        <w:t>This segment provided due diligence, valuation, real estate sales, default processing services, property inspection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preservation services, homeowner outreach, closing and title services and knowledge process outsourcing services. Services provided spanned the lifecycle of a mortgage loan from origination through the disposition of real estate properties. Prior to August 10, 2009, this segment also includes international servicing for commercial loans which we conducted through GSS.</w:t>
      </w:r>
    </w:p>
    <w:p>
      <w:pPr>
        <w:spacing w:after="0" w:line="171" w:lineRule="exact"/>
        <w:rPr>
          <w:rFonts w:ascii="Arial" w:cs="Arial" w:eastAsia="Arial" w:hAnsi="Arial"/>
          <w:sz w:val="17"/>
          <w:szCs w:val="17"/>
          <w:color w:val="auto"/>
        </w:rPr>
      </w:pPr>
    </w:p>
    <w:p>
      <w:pPr>
        <w:ind w:left="1160" w:right="40" w:hanging="693"/>
        <w:spacing w:after="0" w:line="276" w:lineRule="auto"/>
        <w:tabs>
          <w:tab w:leader="none" w:pos="11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Financial Services. </w:t>
      </w:r>
      <w:r>
        <w:rPr>
          <w:rFonts w:ascii="Arial" w:cs="Arial" w:eastAsia="Arial" w:hAnsi="Arial"/>
          <w:sz w:val="17"/>
          <w:szCs w:val="17"/>
          <w:color w:val="auto"/>
        </w:rPr>
        <w:t>This segment comprised our asset recovery management and customer relationship management offerings to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consumer products, telecommunications and utilities industries. The primary sources of revenues for this segment were contingency collections and customer relationship management for credit card issuers and other consumer credit providers. Effective June 6, 2007, this segment included the operations of NCI, a receivables management company specializing in contingency collections and customer relationship management for credit card issuers and other consumer and credit providers.</w:t>
      </w:r>
    </w:p>
    <w:p>
      <w:pPr>
        <w:spacing w:after="0" w:line="172" w:lineRule="exact"/>
        <w:rPr>
          <w:rFonts w:ascii="Arial" w:cs="Arial" w:eastAsia="Arial" w:hAnsi="Arial"/>
          <w:sz w:val="17"/>
          <w:szCs w:val="17"/>
          <w:color w:val="auto"/>
        </w:rPr>
      </w:pPr>
    </w:p>
    <w:p>
      <w:pPr>
        <w:ind w:left="1160" w:right="80" w:hanging="693"/>
        <w:spacing w:after="0" w:line="273"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Technology Products. </w:t>
      </w:r>
      <w:r>
        <w:rPr>
          <w:rFonts w:ascii="Arial" w:cs="Arial" w:eastAsia="Arial" w:hAnsi="Arial"/>
          <w:sz w:val="16"/>
          <w:szCs w:val="16"/>
          <w:color w:val="auto"/>
        </w:rPr>
        <w:t>This segment included revenues from the REAL suite of applications that support our Servicing business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and origination businesses of external customers. These products include REALServicing™, REALResolution™, REALTrans</w:t>
      </w:r>
      <w:r>
        <w:rPr>
          <w:rFonts w:ascii="Arial" w:cs="Arial" w:eastAsia="Arial" w:hAnsi="Arial"/>
          <w:sz w:val="22"/>
          <w:szCs w:val="22"/>
          <w:color w:val="auto"/>
          <w:vertAlign w:val="superscript"/>
        </w:rPr>
        <w:t>SM</w:t>
      </w:r>
      <w:r>
        <w:rPr>
          <w:rFonts w:ascii="Arial" w:cs="Arial" w:eastAsia="Arial" w:hAnsi="Arial"/>
          <w:sz w:val="16"/>
          <w:szCs w:val="16"/>
          <w:color w:val="auto"/>
        </w:rPr>
        <w:t>, REALSynergy™ and REALRemit™. REALServicing is the core residential loan servicing application used by OCN. This segment also earned fees from provi ding technology support services to OCN that cover IT enablement, call center services and third-party applications. Prior to August 10, 2009, the results of our 45% equity investment in BMS Holdings, which provides technology-based case management solutions to trustees, law firms and debtor companies that administer cases in the federal bankruptcy system, is also included in this segment.</w:t>
      </w:r>
    </w:p>
    <w:p>
      <w:pPr>
        <w:spacing w:after="0" w:line="178"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We report items of revenue and expense that are not directly related to a business, business activities that are individually</w:t>
      </w:r>
      <w:r>
        <w:rPr>
          <w:rFonts w:ascii="Arial" w:cs="Arial" w:eastAsia="Arial" w:hAnsi="Arial"/>
          <w:sz w:val="17"/>
          <w:szCs w:val="17"/>
          <w:i w:val="1"/>
          <w:iCs w:val="1"/>
          <w:color w:val="auto"/>
        </w:rPr>
        <w:t xml:space="preserve"> </w:t>
      </w:r>
      <w:r>
        <w:rPr>
          <w:rFonts w:ascii="Arial" w:cs="Arial" w:eastAsia="Arial" w:hAnsi="Arial"/>
          <w:sz w:val="17"/>
          <w:szCs w:val="17"/>
          <w:color w:val="auto"/>
        </w:rPr>
        <w:t>insignificant, interest income on short-term investments of cash and the related costs of financing these investments and certain other corporate expenses in Corporate Items and Other. Our Convertible Notes and Capital Trust Securities are also included in Corporate Items and Other. Beginning August 10, 2009, the results of BMS Holdings and GSS are also included in Corporate Items and Other.</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We also allocate expenses generated by corporate support services to each business segment.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jc w:val="center"/>
              <w:ind w:right="408"/>
              <w:spacing w:after="0"/>
              <w:rPr>
                <w:sz w:val="20"/>
                <w:szCs w:val="20"/>
                <w:color w:val="auto"/>
              </w:rPr>
            </w:pPr>
            <w:r>
              <w:rPr>
                <w:rFonts w:ascii="Arial" w:cs="Arial" w:eastAsia="Arial" w:hAnsi="Arial"/>
                <w:sz w:val="14"/>
                <w:szCs w:val="14"/>
                <w:b w:val="1"/>
                <w:bCs w:val="1"/>
                <w:color w:val="auto"/>
                <w:w w:val="92"/>
              </w:rPr>
              <w:t>Ocwen Asset Management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Ocwen Solutions</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5"/>
                <w:szCs w:val="15"/>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5"/>
                <w:szCs w:val="1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Business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Loans and</w:t>
            </w:r>
          </w:p>
        </w:tc>
        <w:tc>
          <w:tcPr>
            <w:tcW w:w="100" w:type="dxa"/>
            <w:vAlign w:val="bottom"/>
          </w:tcPr>
          <w:p>
            <w:pPr>
              <w:spacing w:after="0"/>
              <w:rPr>
                <w:sz w:val="10"/>
                <w:szCs w:val="10"/>
                <w:color w:val="auto"/>
              </w:rPr>
            </w:pPr>
          </w:p>
        </w:tc>
        <w:tc>
          <w:tcPr>
            <w:tcW w:w="700" w:type="dxa"/>
            <w:vAlign w:val="bottom"/>
          </w:tcPr>
          <w:p>
            <w:pPr>
              <w:jc w:val="right"/>
              <w:ind w:right="168"/>
              <w:spacing w:after="0" w:line="126" w:lineRule="exact"/>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Mortgage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Financial</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Technology</w:t>
            </w:r>
          </w:p>
        </w:tc>
        <w:tc>
          <w:tcPr>
            <w:tcW w:w="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1"/>
              </w:rPr>
              <w:t>Servicing</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Management</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Elimina</w:t>
            </w:r>
            <w:r>
              <w:rPr>
                <w:rFonts w:ascii="MS PGothic" w:cs="MS PGothic" w:eastAsia="MS PGothic" w:hAnsi="MS PGothic"/>
                <w:sz w:val="14"/>
                <w:szCs w:val="14"/>
                <w:b w:val="1"/>
                <w:bCs w:val="1"/>
                <w:color w:val="auto"/>
                <w:w w:val="94"/>
              </w:rPr>
              <w:t>‐</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Residuals</w:t>
            </w:r>
          </w:p>
        </w:tc>
        <w:tc>
          <w:tcPr>
            <w:tcW w:w="10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Vehicles</w:t>
            </w:r>
          </w:p>
        </w:tc>
        <w:tc>
          <w:tcPr>
            <w:tcW w:w="10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Products</w:t>
            </w:r>
          </w:p>
        </w:tc>
        <w:tc>
          <w:tcPr>
            <w:tcW w:w="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100" w:type="dxa"/>
            <w:vAlign w:val="bottom"/>
            <w:tcBorders>
              <w:top w:val="single" w:sz="8" w:color="auto"/>
            </w:tcBorders>
            <w:shd w:val="clear" w:color="auto" w:fill="EAF9E8"/>
          </w:tcPr>
          <w:p>
            <w:pPr>
              <w:spacing w:after="0"/>
              <w:rPr>
                <w:sz w:val="12"/>
                <w:szCs w:val="12"/>
                <w:color w:val="auto"/>
              </w:rPr>
            </w:pPr>
          </w:p>
        </w:tc>
        <w:tc>
          <w:tcPr>
            <w:tcW w:w="380" w:type="dxa"/>
            <w:vAlign w:val="bottom"/>
            <w:tcBorders>
              <w:top w:val="single" w:sz="8" w:color="auto"/>
            </w:tcBorders>
            <w:shd w:val="clear" w:color="auto" w:fill="EAF9E8"/>
          </w:tcPr>
          <w:p>
            <w:pPr>
              <w:spacing w:after="0"/>
              <w:rPr>
                <w:sz w:val="12"/>
                <w:szCs w:val="12"/>
                <w:color w:val="auto"/>
              </w:rPr>
            </w:pPr>
          </w:p>
        </w:tc>
        <w:tc>
          <w:tcPr>
            <w:tcW w:w="340" w:type="dxa"/>
            <w:vAlign w:val="bottom"/>
            <w:tcBorders>
              <w:top w:val="single" w:sz="8" w:color="auto"/>
            </w:tcBorders>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68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gridSpan w:val="3"/>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gridSpan w:val="5"/>
            <w:shd w:val="clear" w:color="auto" w:fill="EAF9E8"/>
          </w:tcPr>
          <w:p>
            <w:pPr>
              <w:spacing w:after="0" w:line="135" w:lineRule="exact"/>
              <w:rPr>
                <w:sz w:val="20"/>
                <w:szCs w:val="20"/>
                <w:color w:val="auto"/>
              </w:rPr>
            </w:pPr>
            <w:r>
              <w:rPr>
                <w:rFonts w:ascii="Arial" w:cs="Arial" w:eastAsia="Arial" w:hAnsi="Arial"/>
                <w:sz w:val="14"/>
                <w:szCs w:val="14"/>
                <w:color w:val="auto"/>
              </w:rPr>
              <w:t>For the three months ended September 30, 2010</w:t>
            </w: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40" w:type="dxa"/>
            <w:vAlign w:val="bottom"/>
            <w:tcBorders>
              <w:left w:val="single" w:sz="8" w:color="EAF9E8"/>
            </w:tcBorders>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6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70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70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68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Revenue (1) (2)</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95,369</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166</w:t>
            </w: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EAF9E8"/>
          </w:tcPr>
          <w:p>
            <w:pPr>
              <w:ind w:left="580"/>
              <w:spacing w:after="0" w:line="149" w:lineRule="exact"/>
              <w:rPr>
                <w:sz w:val="20"/>
                <w:szCs w:val="20"/>
                <w:color w:val="auto"/>
              </w:rPr>
            </w:pPr>
            <w:r>
              <w:rPr>
                <w:rFonts w:ascii="Arial" w:cs="Arial" w:eastAsia="Arial" w:hAnsi="Arial"/>
                <w:sz w:val="14"/>
                <w:szCs w:val="14"/>
                <w:color w:val="auto"/>
                <w:w w:val="71"/>
              </w:rPr>
              <w:t>—</w:t>
            </w:r>
          </w:p>
        </w:tc>
        <w:tc>
          <w:tcPr>
            <w:tcW w:w="320" w:type="dxa"/>
            <w:vAlign w:val="bottom"/>
            <w:tcBorders>
              <w:left w:val="single" w:sz="8" w:color="EAF9E8"/>
            </w:tcBorders>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369</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(335)</w:t>
            </w:r>
          </w:p>
        </w:tc>
        <w:tc>
          <w:tcPr>
            <w:tcW w:w="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95,569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Operating expenses (1) (3)</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69,012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71"/>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23,166</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(216)</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93,374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EAF9E8"/>
          </w:tcPr>
          <w:p>
            <w:pPr>
              <w:spacing w:after="0"/>
              <w:rPr>
                <w:sz w:val="13"/>
                <w:szCs w:val="13"/>
                <w:color w:val="auto"/>
              </w:rPr>
            </w:pPr>
          </w:p>
        </w:tc>
        <w:tc>
          <w:tcPr>
            <w:tcW w:w="7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26,357</w:t>
            </w:r>
          </w:p>
        </w:tc>
        <w:tc>
          <w:tcPr>
            <w:tcW w:w="24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98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(819)</w:t>
            </w:r>
          </w:p>
        </w:tc>
        <w:tc>
          <w:tcPr>
            <w:tcW w:w="10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(427)</w:t>
            </w:r>
          </w:p>
        </w:tc>
        <w:tc>
          <w:tcPr>
            <w:tcW w:w="100" w:type="dxa"/>
            <w:vAlign w:val="bottom"/>
            <w:shd w:val="clear" w:color="auto" w:fill="EAF9E8"/>
          </w:tcPr>
          <w:p>
            <w:pPr>
              <w:spacing w:after="0"/>
              <w:rPr>
                <w:sz w:val="13"/>
                <w:szCs w:val="13"/>
                <w:color w:val="auto"/>
              </w:rPr>
            </w:pPr>
          </w:p>
        </w:tc>
        <w:tc>
          <w:tcPr>
            <w:tcW w:w="720" w:type="dxa"/>
            <w:vAlign w:val="bottom"/>
            <w:shd w:val="clear" w:color="auto" w:fill="EAF9E8"/>
          </w:tcPr>
          <w:p>
            <w:pPr>
              <w:ind w:left="580"/>
              <w:spacing w:after="0" w:line="149" w:lineRule="exact"/>
              <w:rPr>
                <w:sz w:val="20"/>
                <w:szCs w:val="20"/>
                <w:color w:val="auto"/>
              </w:rPr>
            </w:pPr>
            <w:r>
              <w:rPr>
                <w:rFonts w:ascii="Arial" w:cs="Arial" w:eastAsia="Arial" w:hAnsi="Arial"/>
                <w:sz w:val="14"/>
                <w:szCs w:val="14"/>
                <w:color w:val="auto"/>
                <w:w w:val="71"/>
              </w:rPr>
              <w:t>—</w:t>
            </w:r>
          </w:p>
        </w:tc>
        <w:tc>
          <w:tcPr>
            <w:tcW w:w="240" w:type="dxa"/>
            <w:vAlign w:val="bottom"/>
            <w:tcBorders>
              <w:left w:val="single" w:sz="8" w:color="EAF9E8"/>
            </w:tcBorders>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920" w:type="dxa"/>
            <w:vAlign w:val="bottom"/>
            <w:gridSpan w:val="2"/>
            <w:shd w:val="clear" w:color="auto" w:fill="EAF9E8"/>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900" w:type="dxa"/>
            <w:vAlign w:val="bottom"/>
            <w:gridSpan w:val="2"/>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(22,797)</w:t>
            </w:r>
          </w:p>
        </w:tc>
        <w:tc>
          <w:tcPr>
            <w:tcW w:w="6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(119)</w:t>
            </w:r>
          </w:p>
        </w:tc>
        <w:tc>
          <w:tcPr>
            <w:tcW w:w="80" w:type="dxa"/>
            <w:vAlign w:val="bottom"/>
            <w:shd w:val="clear" w:color="auto" w:fill="EAF9E8"/>
          </w:tcPr>
          <w:p>
            <w:pPr>
              <w:spacing w:after="0"/>
              <w:rPr>
                <w:sz w:val="13"/>
                <w:szCs w:val="13"/>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EAF9E8"/>
            </w:tcBorders>
          </w:tcPr>
          <w:p>
            <w:pPr>
              <w:spacing w:after="0" w:line="149" w:lineRule="exact"/>
              <w:rPr>
                <w:sz w:val="20"/>
                <w:szCs w:val="20"/>
                <w:color w:val="auto"/>
              </w:rPr>
            </w:pPr>
            <w:r>
              <w:rPr>
                <w:rFonts w:ascii="Arial" w:cs="Arial" w:eastAsia="Arial" w:hAnsi="Arial"/>
                <w:sz w:val="14"/>
                <w:szCs w:val="14"/>
                <w:color w:val="auto"/>
              </w:rPr>
              <w:t>Other income (expense), net:</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EAF9E8"/>
          </w:tcPr>
          <w:p>
            <w:pPr>
              <w:spacing w:after="0"/>
              <w:rPr>
                <w:sz w:val="12"/>
                <w:szCs w:val="12"/>
                <w:color w:val="auto"/>
              </w:rPr>
            </w:pPr>
          </w:p>
        </w:tc>
        <w:tc>
          <w:tcPr>
            <w:tcW w:w="7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51</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2,552</w:t>
            </w:r>
          </w:p>
        </w:tc>
        <w:tc>
          <w:tcPr>
            <w:tcW w:w="1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ind w:left="580"/>
              <w:spacing w:after="0" w:line="149" w:lineRule="exact"/>
              <w:rPr>
                <w:sz w:val="20"/>
                <w:szCs w:val="20"/>
                <w:color w:val="auto"/>
              </w:rPr>
            </w:pPr>
            <w:r>
              <w:rPr>
                <w:rFonts w:ascii="Arial" w:cs="Arial" w:eastAsia="Arial" w:hAnsi="Arial"/>
                <w:sz w:val="14"/>
                <w:szCs w:val="14"/>
                <w:color w:val="auto"/>
                <w:w w:val="71"/>
              </w:rPr>
              <w:t>—</w:t>
            </w: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20" w:type="dxa"/>
            <w:vAlign w:val="bottom"/>
            <w:gridSpan w:val="2"/>
            <w:shd w:val="clear" w:color="auto" w:fill="EAF9E8"/>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359</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2,962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(20,619)</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(180)</w:t>
            </w: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71"/>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(3,388)</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Other (1) (2)</w:t>
            </w:r>
          </w:p>
        </w:tc>
        <w:tc>
          <w:tcPr>
            <w:tcW w:w="100" w:type="dxa"/>
            <w:vAlign w:val="bottom"/>
            <w:shd w:val="clear" w:color="auto" w:fill="EAF9E8"/>
          </w:tcPr>
          <w:p>
            <w:pPr>
              <w:spacing w:after="0"/>
              <w:rPr>
                <w:sz w:val="12"/>
                <w:szCs w:val="12"/>
                <w:color w:val="auto"/>
              </w:rPr>
            </w:pPr>
          </w:p>
        </w:tc>
        <w:tc>
          <w:tcPr>
            <w:tcW w:w="960" w:type="dxa"/>
            <w:vAlign w:val="bottom"/>
            <w:gridSpan w:val="3"/>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(361)</w:t>
            </w:r>
          </w:p>
        </w:tc>
        <w:tc>
          <w:tcPr>
            <w:tcW w:w="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(368)</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147</w:t>
            </w: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ind w:left="580"/>
              <w:spacing w:after="0" w:line="149" w:lineRule="exact"/>
              <w:rPr>
                <w:sz w:val="20"/>
                <w:szCs w:val="20"/>
                <w:color w:val="auto"/>
              </w:rPr>
            </w:pPr>
            <w:r>
              <w:rPr>
                <w:rFonts w:ascii="Arial" w:cs="Arial" w:eastAsia="Arial" w:hAnsi="Arial"/>
                <w:sz w:val="14"/>
                <w:szCs w:val="14"/>
                <w:color w:val="auto"/>
                <w:w w:val="71"/>
              </w:rPr>
              <w:t>—</w:t>
            </w: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20" w:type="dxa"/>
            <w:vAlign w:val="bottom"/>
            <w:gridSpan w:val="2"/>
            <w:shd w:val="clear" w:color="auto" w:fill="EAF9E8"/>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(1,219)</w:t>
            </w:r>
          </w:p>
        </w:tc>
        <w:tc>
          <w:tcPr>
            <w:tcW w:w="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119</w:t>
            </w:r>
          </w:p>
        </w:tc>
        <w:tc>
          <w:tcPr>
            <w:tcW w:w="8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(1,682)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left w:val="single" w:sz="8" w:color="EAF9E8"/>
            </w:tcBorders>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Other income (expense), net</w:t>
            </w:r>
          </w:p>
        </w:tc>
        <w:tc>
          <w:tcPr>
            <w:tcW w:w="100" w:type="dxa"/>
            <w:vAlign w:val="bottom"/>
          </w:tcPr>
          <w:p>
            <w:pPr>
              <w:spacing w:after="0"/>
              <w:rPr>
                <w:sz w:val="13"/>
                <w:szCs w:val="13"/>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(20,929)</w:t>
            </w:r>
          </w:p>
        </w:tc>
        <w:tc>
          <w:tcPr>
            <w:tcW w:w="80" w:type="dxa"/>
            <w:vAlign w:val="bottom"/>
          </w:tcPr>
          <w:p>
            <w:pPr>
              <w:spacing w:after="0"/>
              <w:rPr>
                <w:sz w:val="13"/>
                <w:szCs w:val="13"/>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71"/>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(4,248)</w:t>
            </w:r>
          </w:p>
        </w:tc>
        <w:tc>
          <w:tcPr>
            <w:tcW w:w="60" w:type="dxa"/>
            <w:vAlign w:val="bottom"/>
          </w:tcPr>
          <w:p>
            <w:pPr>
              <w:spacing w:after="0"/>
              <w:rPr>
                <w:sz w:val="13"/>
                <w:szCs w:val="13"/>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3"/>
                <w:szCs w:val="13"/>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(22,907)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EAF9E8"/>
          </w:tcPr>
          <w:p>
            <w:pPr>
              <w:ind w:left="160"/>
              <w:spacing w:after="0" w:line="130" w:lineRule="exact"/>
              <w:rPr>
                <w:sz w:val="20"/>
                <w:szCs w:val="20"/>
                <w:color w:val="auto"/>
              </w:rPr>
            </w:pPr>
            <w:r>
              <w:rPr>
                <w:rFonts w:ascii="Arial" w:cs="Arial" w:eastAsia="Arial" w:hAnsi="Arial"/>
                <w:sz w:val="14"/>
                <w:szCs w:val="14"/>
                <w:color w:val="auto"/>
              </w:rPr>
              <w:t>Income (loss) from continuing</w:t>
            </w:r>
          </w:p>
        </w:tc>
        <w:tc>
          <w:tcPr>
            <w:tcW w:w="100" w:type="dxa"/>
            <w:vAlign w:val="bottom"/>
            <w:tcBorders>
              <w:top w:val="single" w:sz="8" w:color="auto"/>
            </w:tcBorders>
            <w:shd w:val="clear" w:color="auto" w:fill="EAF9E8"/>
          </w:tcPr>
          <w:p>
            <w:pPr>
              <w:spacing w:after="0"/>
              <w:rPr>
                <w:sz w:val="11"/>
                <w:szCs w:val="11"/>
                <w:color w:val="auto"/>
              </w:rPr>
            </w:pPr>
          </w:p>
        </w:tc>
        <w:tc>
          <w:tcPr>
            <w:tcW w:w="380" w:type="dxa"/>
            <w:vAlign w:val="bottom"/>
            <w:tcBorders>
              <w:top w:val="single" w:sz="8" w:color="auto"/>
            </w:tcBorders>
            <w:shd w:val="clear" w:color="auto" w:fill="EAF9E8"/>
          </w:tcPr>
          <w:p>
            <w:pPr>
              <w:spacing w:after="0"/>
              <w:rPr>
                <w:sz w:val="11"/>
                <w:szCs w:val="11"/>
                <w:color w:val="auto"/>
              </w:rPr>
            </w:pPr>
          </w:p>
        </w:tc>
        <w:tc>
          <w:tcPr>
            <w:tcW w:w="34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40" w:type="dxa"/>
            <w:vAlign w:val="bottom"/>
            <w:tcBorders>
              <w:left w:val="single" w:sz="8" w:color="EAF9E8"/>
            </w:tcBorders>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8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shd w:val="clear" w:color="auto" w:fill="EAF9E8"/>
          </w:tcPr>
          <w:p>
            <w:pPr>
              <w:ind w:left="320"/>
              <w:spacing w:after="0"/>
              <w:rPr>
                <w:sz w:val="20"/>
                <w:szCs w:val="20"/>
                <w:color w:val="auto"/>
              </w:rPr>
            </w:pPr>
            <w:r>
              <w:rPr>
                <w:rFonts w:ascii="Arial" w:cs="Arial" w:eastAsia="Arial" w:hAnsi="Arial"/>
                <w:sz w:val="14"/>
                <w:szCs w:val="14"/>
                <w:color w:val="auto"/>
                <w:w w:val="99"/>
              </w:rPr>
              <w:t>operations before income taxes</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5,428</w:t>
            </w:r>
          </w:p>
        </w:tc>
        <w:tc>
          <w:tcPr>
            <w:tcW w:w="240" w:type="dxa"/>
            <w:vAlign w:val="bottom"/>
            <w:shd w:val="clear" w:color="auto" w:fill="EAF9E8"/>
          </w:tcPr>
          <w:p>
            <w:pPr>
              <w:spacing w:after="0"/>
              <w:rPr>
                <w:sz w:val="16"/>
                <w:szCs w:val="16"/>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EAF9E8"/>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EAF9E8"/>
          </w:tcPr>
          <w:p>
            <w:pPr>
              <w:ind w:left="580"/>
              <w:spacing w:after="0"/>
              <w:rPr>
                <w:sz w:val="20"/>
                <w:szCs w:val="20"/>
                <w:color w:val="auto"/>
              </w:rPr>
            </w:pPr>
            <w:r>
              <w:rPr>
                <w:rFonts w:ascii="Arial" w:cs="Arial" w:eastAsia="Arial" w:hAnsi="Arial"/>
                <w:sz w:val="14"/>
                <w:szCs w:val="14"/>
                <w:color w:val="auto"/>
                <w:w w:val="71"/>
              </w:rPr>
              <w:t>—</w:t>
            </w:r>
          </w:p>
        </w:tc>
        <w:tc>
          <w:tcPr>
            <w:tcW w:w="320" w:type="dxa"/>
            <w:vAlign w:val="bottom"/>
            <w:tcBorders>
              <w:left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EAF9E8"/>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(27,045)</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(20,712)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left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-1148715</wp:posOffset>
            </wp:positionV>
            <wp:extent cx="228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 the three months ended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shd w:val="clear" w:color="auto" w:fill="EAF9E8"/>
          </w:tcPr>
          <w:p>
            <w:pPr>
              <w:spacing w:after="0"/>
              <w:rPr>
                <w:sz w:val="20"/>
                <w:szCs w:val="20"/>
                <w:color w:val="auto"/>
              </w:rPr>
            </w:pPr>
            <w:r>
              <w:rPr>
                <w:rFonts w:ascii="Arial" w:cs="Arial" w:eastAsia="Arial" w:hAnsi="Arial"/>
                <w:sz w:val="14"/>
                <w:szCs w:val="14"/>
                <w:color w:val="auto"/>
              </w:rPr>
              <w:t>Revenue (1) (2)</w:t>
            </w:r>
          </w:p>
        </w:tc>
        <w:tc>
          <w:tcPr>
            <w:tcW w:w="220" w:type="dxa"/>
            <w:vAlign w:val="bottom"/>
            <w:shd w:val="clear" w:color="auto" w:fill="EAF9E8"/>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62,977</w:t>
            </w:r>
          </w:p>
        </w:tc>
        <w:tc>
          <w:tcPr>
            <w:tcW w:w="280" w:type="dxa"/>
            <w:vAlign w:val="bottom"/>
            <w:shd w:val="clear" w:color="auto" w:fill="EAF9E8"/>
          </w:tcPr>
          <w:p>
            <w:pPr>
              <w:jc w:val="right"/>
              <w:ind w:right="16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432</w:t>
            </w:r>
          </w:p>
        </w:tc>
        <w:tc>
          <w:tcPr>
            <w:tcW w:w="240" w:type="dxa"/>
            <w:vAlign w:val="bottom"/>
            <w:shd w:val="clear" w:color="auto" w:fill="EAF9E8"/>
          </w:tcPr>
          <w:p>
            <w:pPr>
              <w:spacing w:after="0"/>
              <w:rPr>
                <w:sz w:val="14"/>
                <w:szCs w:val="14"/>
                <w:color w:val="auto"/>
              </w:rPr>
            </w:pPr>
          </w:p>
        </w:tc>
        <w:tc>
          <w:tcPr>
            <w:tcW w:w="260" w:type="dxa"/>
            <w:vAlign w:val="bottom"/>
            <w:shd w:val="clear" w:color="auto" w:fill="EAF9E8"/>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11,869</w:t>
            </w:r>
          </w:p>
        </w:tc>
        <w:tc>
          <w:tcPr>
            <w:tcW w:w="240" w:type="dxa"/>
            <w:vAlign w:val="bottom"/>
            <w:shd w:val="clear" w:color="auto" w:fill="EAF9E8"/>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6,506</w:t>
            </w:r>
          </w:p>
        </w:tc>
        <w:tc>
          <w:tcPr>
            <w:tcW w:w="260" w:type="dxa"/>
            <w:vAlign w:val="bottom"/>
            <w:shd w:val="clear" w:color="auto" w:fill="EAF9E8"/>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5,648</w:t>
            </w:r>
          </w:p>
        </w:tc>
        <w:tc>
          <w:tcPr>
            <w:tcW w:w="240" w:type="dxa"/>
            <w:vAlign w:val="bottom"/>
            <w:shd w:val="clear" w:color="auto" w:fill="EAF9E8"/>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319</w:t>
            </w:r>
          </w:p>
        </w:tc>
        <w:tc>
          <w:tcPr>
            <w:tcW w:w="220" w:type="dxa"/>
            <w:vAlign w:val="bottom"/>
            <w:shd w:val="clear" w:color="auto" w:fill="EAF9E8"/>
          </w:tcPr>
          <w:p>
            <w:pPr>
              <w:spacing w:after="0"/>
              <w:rPr>
                <w:sz w:val="14"/>
                <w:szCs w:val="14"/>
                <w:color w:val="auto"/>
              </w:rPr>
            </w:pPr>
          </w:p>
        </w:tc>
        <w:tc>
          <w:tcPr>
            <w:tcW w:w="240" w:type="dxa"/>
            <w:vAlign w:val="bottom"/>
            <w:shd w:val="clear" w:color="auto" w:fill="EAF9E8"/>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(3,540)</w:t>
            </w:r>
          </w:p>
        </w:tc>
        <w:tc>
          <w:tcPr>
            <w:tcW w:w="200" w:type="dxa"/>
            <w:vAlign w:val="bottom"/>
            <w:shd w:val="clear" w:color="auto" w:fill="EAF9E8"/>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84,211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Operating expenses (1) (3)</w:t>
            </w: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31,608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891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8,131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9,295</w:t>
            </w: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3,343</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3,555</w:t>
            </w:r>
          </w:p>
        </w:tc>
        <w:tc>
          <w:tcPr>
            <w:tcW w:w="2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(3,344)</w:t>
            </w:r>
          </w:p>
        </w:tc>
        <w:tc>
          <w:tcPr>
            <w:tcW w:w="2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Income (loss) from operations</w:t>
            </w:r>
          </w:p>
        </w:tc>
        <w:tc>
          <w:tcPr>
            <w:tcW w:w="220" w:type="dxa"/>
            <w:vAlign w:val="bottom"/>
            <w:shd w:val="clear" w:color="auto" w:fill="EAF9E8"/>
          </w:tcPr>
          <w:p>
            <w:pPr>
              <w:spacing w:after="0"/>
              <w:rPr>
                <w:sz w:val="13"/>
                <w:szCs w:val="13"/>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31,369</w:t>
            </w:r>
          </w:p>
        </w:tc>
        <w:tc>
          <w:tcPr>
            <w:tcW w:w="240" w:type="dxa"/>
            <w:vAlign w:val="bottom"/>
            <w:shd w:val="clear" w:color="auto" w:fill="EAF9E8"/>
          </w:tcPr>
          <w:p>
            <w:pPr>
              <w:spacing w:after="0"/>
              <w:rPr>
                <w:sz w:val="13"/>
                <w:szCs w:val="13"/>
                <w:color w:val="auto"/>
              </w:rPr>
            </w:pPr>
          </w:p>
        </w:tc>
        <w:tc>
          <w:tcPr>
            <w:tcW w:w="280" w:type="dxa"/>
            <w:vAlign w:val="bottom"/>
            <w:shd w:val="clear" w:color="auto" w:fill="EAF9E8"/>
          </w:tcPr>
          <w:p>
            <w:pPr>
              <w:spacing w:after="0"/>
              <w:rPr>
                <w:sz w:val="13"/>
                <w:szCs w:val="13"/>
                <w:color w:val="auto"/>
              </w:rPr>
            </w:pPr>
          </w:p>
        </w:tc>
        <w:tc>
          <w:tcPr>
            <w:tcW w:w="78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(891)</w:t>
            </w:r>
          </w:p>
        </w:tc>
        <w:tc>
          <w:tcPr>
            <w:tcW w:w="240" w:type="dxa"/>
            <w:vAlign w:val="bottom"/>
            <w:shd w:val="clear" w:color="auto" w:fill="EAF9E8"/>
          </w:tcPr>
          <w:p>
            <w:pPr>
              <w:spacing w:after="0"/>
              <w:rPr>
                <w:sz w:val="13"/>
                <w:szCs w:val="13"/>
                <w:color w:val="auto"/>
              </w:rPr>
            </w:pPr>
          </w:p>
        </w:tc>
        <w:tc>
          <w:tcPr>
            <w:tcW w:w="80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(321)</w:t>
            </w:r>
          </w:p>
        </w:tc>
        <w:tc>
          <w:tcPr>
            <w:tcW w:w="260" w:type="dxa"/>
            <w:vAlign w:val="bottom"/>
            <w:shd w:val="clear" w:color="auto" w:fill="EAF9E8"/>
          </w:tcPr>
          <w:p>
            <w:pPr>
              <w:spacing w:after="0"/>
              <w:rPr>
                <w:sz w:val="13"/>
                <w:szCs w:val="13"/>
                <w:color w:val="auto"/>
              </w:rPr>
            </w:pPr>
          </w:p>
        </w:tc>
        <w:tc>
          <w:tcPr>
            <w:tcW w:w="8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3,738</w:t>
            </w:r>
          </w:p>
        </w:tc>
        <w:tc>
          <w:tcPr>
            <w:tcW w:w="240" w:type="dxa"/>
            <w:vAlign w:val="bottom"/>
            <w:shd w:val="clear" w:color="auto" w:fill="EAF9E8"/>
          </w:tcPr>
          <w:p>
            <w:pPr>
              <w:spacing w:after="0"/>
              <w:rPr>
                <w:sz w:val="13"/>
                <w:szCs w:val="13"/>
                <w:color w:val="auto"/>
              </w:rPr>
            </w:pPr>
          </w:p>
        </w:tc>
        <w:tc>
          <w:tcPr>
            <w:tcW w:w="76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(2,789)</w:t>
            </w:r>
          </w:p>
        </w:tc>
        <w:tc>
          <w:tcPr>
            <w:tcW w:w="260" w:type="dxa"/>
            <w:vAlign w:val="bottom"/>
            <w:shd w:val="clear" w:color="auto" w:fill="EAF9E8"/>
          </w:tcPr>
          <w:p>
            <w:pPr>
              <w:spacing w:after="0"/>
              <w:rPr>
                <w:sz w:val="13"/>
                <w:szCs w:val="13"/>
                <w:color w:val="auto"/>
              </w:rPr>
            </w:pPr>
          </w:p>
        </w:tc>
        <w:tc>
          <w:tcPr>
            <w:tcW w:w="7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2,305</w:t>
            </w:r>
          </w:p>
        </w:tc>
        <w:tc>
          <w:tcPr>
            <w:tcW w:w="240" w:type="dxa"/>
            <w:vAlign w:val="bottom"/>
            <w:shd w:val="clear" w:color="auto" w:fill="EAF9E8"/>
          </w:tcPr>
          <w:p>
            <w:pPr>
              <w:spacing w:after="0"/>
              <w:rPr>
                <w:sz w:val="13"/>
                <w:szCs w:val="13"/>
                <w:color w:val="auto"/>
              </w:rPr>
            </w:pPr>
          </w:p>
        </w:tc>
        <w:tc>
          <w:tcPr>
            <w:tcW w:w="76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(3,236)</w:t>
            </w:r>
          </w:p>
        </w:tc>
        <w:tc>
          <w:tcPr>
            <w:tcW w:w="240" w:type="dxa"/>
            <w:vAlign w:val="bottom"/>
            <w:shd w:val="clear" w:color="auto" w:fill="EAF9E8"/>
          </w:tcPr>
          <w:p>
            <w:pPr>
              <w:spacing w:after="0"/>
              <w:rPr>
                <w:sz w:val="13"/>
                <w:szCs w:val="13"/>
                <w:color w:val="auto"/>
              </w:rPr>
            </w:pPr>
          </w:p>
        </w:tc>
        <w:tc>
          <w:tcPr>
            <w:tcW w:w="76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(196)</w:t>
            </w:r>
          </w:p>
        </w:tc>
        <w:tc>
          <w:tcPr>
            <w:tcW w:w="200" w:type="dxa"/>
            <w:vAlign w:val="bottom"/>
            <w:shd w:val="clear" w:color="auto" w:fill="EAF9E8"/>
          </w:tcPr>
          <w:p>
            <w:pPr>
              <w:spacing w:after="0"/>
              <w:rPr>
                <w:sz w:val="13"/>
                <w:szCs w:val="13"/>
                <w:color w:val="auto"/>
              </w:rPr>
            </w:pPr>
          </w:p>
        </w:tc>
        <w:tc>
          <w:tcPr>
            <w:tcW w:w="7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29,979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EAF9E8"/>
            </w:tcBorders>
          </w:tcPr>
          <w:p>
            <w:pPr>
              <w:spacing w:after="0" w:line="149" w:lineRule="exact"/>
              <w:rPr>
                <w:sz w:val="20"/>
                <w:szCs w:val="20"/>
                <w:color w:val="auto"/>
              </w:rPr>
            </w:pPr>
            <w:r>
              <w:rPr>
                <w:rFonts w:ascii="Arial" w:cs="Arial" w:eastAsia="Arial" w:hAnsi="Arial"/>
                <w:sz w:val="14"/>
                <w:szCs w:val="14"/>
                <w:color w:val="auto"/>
              </w:rPr>
              <w:t>Other income (expense), net:</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EAF9E8"/>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22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126</w:t>
            </w:r>
          </w:p>
        </w:tc>
        <w:tc>
          <w:tcPr>
            <w:tcW w:w="2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1,377</w:t>
            </w:r>
          </w:p>
        </w:tc>
        <w:tc>
          <w:tcPr>
            <w:tcW w:w="24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489</w:t>
            </w:r>
          </w:p>
        </w:tc>
        <w:tc>
          <w:tcPr>
            <w:tcW w:w="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7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(15,344)</w:t>
            </w:r>
          </w:p>
        </w:tc>
        <w:tc>
          <w:tcPr>
            <w:tcW w:w="2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(288)</w:t>
            </w:r>
          </w:p>
        </w:tc>
        <w:tc>
          <w:tcPr>
            <w:tcW w:w="2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w:t>
            </w:r>
          </w:p>
        </w:tc>
        <w:tc>
          <w:tcPr>
            <w:tcW w:w="2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w:t>
            </w:r>
          </w:p>
        </w:tc>
        <w:tc>
          <w:tcPr>
            <w:tcW w:w="2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(322)</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Other (1) (2)</w:t>
            </w:r>
          </w:p>
        </w:tc>
        <w:tc>
          <w:tcPr>
            <w:tcW w:w="22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1,530</w:t>
            </w:r>
          </w:p>
        </w:tc>
        <w:tc>
          <w:tcPr>
            <w:tcW w:w="2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(280)</w:t>
            </w:r>
          </w:p>
        </w:tc>
        <w:tc>
          <w:tcPr>
            <w:tcW w:w="24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(1,317)</w:t>
            </w:r>
          </w:p>
        </w:tc>
        <w:tc>
          <w:tcPr>
            <w:tcW w:w="260" w:type="dxa"/>
            <w:vAlign w:val="bottom"/>
            <w:shd w:val="clear" w:color="auto" w:fill="EAF9E8"/>
          </w:tcPr>
          <w:p>
            <w:pPr>
              <w:spacing w:after="0"/>
              <w:rPr>
                <w:sz w:val="12"/>
                <w:szCs w:val="12"/>
                <w:color w:val="auto"/>
              </w:rPr>
            </w:pPr>
          </w:p>
        </w:tc>
        <w:tc>
          <w:tcPr>
            <w:tcW w:w="5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86</w:t>
            </w:r>
          </w:p>
        </w:tc>
        <w:tc>
          <w:tcPr>
            <w:tcW w:w="24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5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65</w:t>
            </w:r>
          </w:p>
        </w:tc>
        <w:tc>
          <w:tcPr>
            <w:tcW w:w="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7,351</w:t>
            </w:r>
          </w:p>
        </w:tc>
        <w:tc>
          <w:tcPr>
            <w:tcW w:w="24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196</w:t>
            </w:r>
          </w:p>
        </w:tc>
        <w:tc>
          <w:tcPr>
            <w:tcW w:w="2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7,632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Other income (expense), net</w:t>
            </w:r>
          </w:p>
        </w:tc>
        <w:tc>
          <w:tcPr>
            <w:tcW w:w="220" w:type="dxa"/>
            <w:vAlign w:val="bottom"/>
          </w:tcPr>
          <w:p>
            <w:pPr>
              <w:spacing w:after="0"/>
              <w:rPr>
                <w:sz w:val="13"/>
                <w:szCs w:val="13"/>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(13,688)</w:t>
            </w:r>
          </w:p>
        </w:tc>
        <w:tc>
          <w:tcPr>
            <w:tcW w:w="28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809</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(1,317)</w:t>
            </w:r>
          </w:p>
        </w:tc>
        <w:tc>
          <w:tcPr>
            <w:tcW w:w="26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(146)</w:t>
            </w:r>
          </w:p>
        </w:tc>
        <w:tc>
          <w:tcPr>
            <w:tcW w:w="26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7,518</w:t>
            </w:r>
          </w:p>
        </w:tc>
        <w:tc>
          <w:tcPr>
            <w:tcW w:w="24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Income (loss) from continuing</w:t>
            </w:r>
          </w:p>
        </w:tc>
        <w:tc>
          <w:tcPr>
            <w:tcW w:w="22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80" w:type="dxa"/>
            <w:vAlign w:val="bottom"/>
            <w:tcBorders>
              <w:top w:val="single" w:sz="8" w:color="auto"/>
            </w:tcBorders>
            <w:shd w:val="clear" w:color="auto" w:fill="EAF9E8"/>
          </w:tcPr>
          <w:p>
            <w:pPr>
              <w:spacing w:after="0"/>
              <w:rPr>
                <w:sz w:val="11"/>
                <w:szCs w:val="11"/>
                <w:color w:val="auto"/>
              </w:rPr>
            </w:pPr>
          </w:p>
        </w:tc>
        <w:tc>
          <w:tcPr>
            <w:tcW w:w="520" w:type="dxa"/>
            <w:vAlign w:val="bottom"/>
            <w:tcBorders>
              <w:top w:val="single" w:sz="8" w:color="auto"/>
            </w:tcBorders>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240" w:type="dxa"/>
            <w:vAlign w:val="bottom"/>
            <w:tcBorders>
              <w:top w:val="single" w:sz="8" w:color="auto"/>
            </w:tcBorders>
            <w:shd w:val="clear" w:color="auto" w:fill="EAF9E8"/>
          </w:tcPr>
          <w:p>
            <w:pPr>
              <w:spacing w:after="0"/>
              <w:rPr>
                <w:sz w:val="11"/>
                <w:szCs w:val="11"/>
                <w:color w:val="auto"/>
              </w:rPr>
            </w:pPr>
          </w:p>
        </w:tc>
        <w:tc>
          <w:tcPr>
            <w:tcW w:w="56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60" w:type="dxa"/>
            <w:vAlign w:val="bottom"/>
            <w:tcBorders>
              <w:top w:val="single" w:sz="8" w:color="auto"/>
            </w:tcBorders>
            <w:shd w:val="clear" w:color="auto" w:fill="EAF9E8"/>
          </w:tcPr>
          <w:p>
            <w:pPr>
              <w:spacing w:after="0"/>
              <w:rPr>
                <w:sz w:val="11"/>
                <w:szCs w:val="11"/>
                <w:color w:val="auto"/>
              </w:rPr>
            </w:pPr>
          </w:p>
        </w:tc>
        <w:tc>
          <w:tcPr>
            <w:tcW w:w="56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40" w:type="dxa"/>
            <w:vAlign w:val="bottom"/>
            <w:tcBorders>
              <w:top w:val="single" w:sz="8" w:color="auto"/>
            </w:tcBorders>
            <w:shd w:val="clear" w:color="auto" w:fill="EAF9E8"/>
          </w:tcPr>
          <w:p>
            <w:pPr>
              <w:spacing w:after="0"/>
              <w:rPr>
                <w:sz w:val="11"/>
                <w:szCs w:val="11"/>
                <w:color w:val="auto"/>
              </w:rPr>
            </w:pPr>
          </w:p>
        </w:tc>
        <w:tc>
          <w:tcPr>
            <w:tcW w:w="5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260" w:type="dxa"/>
            <w:vAlign w:val="bottom"/>
            <w:tcBorders>
              <w:top w:val="single" w:sz="8" w:color="auto"/>
            </w:tcBorders>
            <w:shd w:val="clear" w:color="auto" w:fill="EAF9E8"/>
          </w:tcPr>
          <w:p>
            <w:pPr>
              <w:spacing w:after="0"/>
              <w:rPr>
                <w:sz w:val="11"/>
                <w:szCs w:val="11"/>
                <w:color w:val="auto"/>
              </w:rPr>
            </w:pPr>
          </w:p>
        </w:tc>
        <w:tc>
          <w:tcPr>
            <w:tcW w:w="52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240" w:type="dxa"/>
            <w:vAlign w:val="bottom"/>
            <w:tcBorders>
              <w:top w:val="single" w:sz="8" w:color="auto"/>
            </w:tcBorders>
            <w:shd w:val="clear" w:color="auto" w:fill="EAF9E8"/>
          </w:tcPr>
          <w:p>
            <w:pPr>
              <w:spacing w:after="0"/>
              <w:rPr>
                <w:sz w:val="11"/>
                <w:szCs w:val="11"/>
                <w:color w:val="auto"/>
              </w:rPr>
            </w:pPr>
          </w:p>
        </w:tc>
        <w:tc>
          <w:tcPr>
            <w:tcW w:w="5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240" w:type="dxa"/>
            <w:vAlign w:val="bottom"/>
            <w:tcBorders>
              <w:top w:val="single" w:sz="8" w:color="auto"/>
            </w:tcBorders>
            <w:shd w:val="clear" w:color="auto" w:fill="EAF9E8"/>
          </w:tcPr>
          <w:p>
            <w:pPr>
              <w:spacing w:after="0"/>
              <w:rPr>
                <w:sz w:val="11"/>
                <w:szCs w:val="11"/>
                <w:color w:val="auto"/>
              </w:rPr>
            </w:pPr>
          </w:p>
        </w:tc>
        <w:tc>
          <w:tcPr>
            <w:tcW w:w="5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20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operations before income taxes</w:t>
            </w:r>
          </w:p>
        </w:tc>
        <w:tc>
          <w:tcPr>
            <w:tcW w:w="220" w:type="dxa"/>
            <w:vAlign w:val="bottom"/>
            <w:shd w:val="clear" w:color="auto" w:fill="EAF9E8"/>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17,681</w:t>
            </w:r>
          </w:p>
        </w:tc>
        <w:tc>
          <w:tcPr>
            <w:tcW w:w="240" w:type="dxa"/>
            <w:vAlign w:val="bottom"/>
            <w:shd w:val="clear" w:color="auto" w:fill="EAF9E8"/>
          </w:tcPr>
          <w:p>
            <w:pPr>
              <w:spacing w:after="0"/>
              <w:rPr>
                <w:sz w:val="16"/>
                <w:szCs w:val="16"/>
                <w:color w:val="auto"/>
              </w:rPr>
            </w:pPr>
          </w:p>
        </w:tc>
        <w:tc>
          <w:tcPr>
            <w:tcW w:w="280" w:type="dxa"/>
            <w:vAlign w:val="bottom"/>
            <w:shd w:val="clear" w:color="auto" w:fill="EAF9E8"/>
          </w:tcPr>
          <w:p>
            <w:pPr>
              <w:jc w:val="right"/>
              <w:ind w:right="16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(82)</w:t>
            </w:r>
          </w:p>
        </w:tc>
        <w:tc>
          <w:tcPr>
            <w:tcW w:w="240" w:type="dxa"/>
            <w:vAlign w:val="bottom"/>
            <w:shd w:val="clear" w:color="auto" w:fill="EAF9E8"/>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(1,638)</w:t>
            </w:r>
          </w:p>
        </w:tc>
        <w:tc>
          <w:tcPr>
            <w:tcW w:w="260" w:type="dxa"/>
            <w:vAlign w:val="bottom"/>
            <w:shd w:val="clear" w:color="auto" w:fill="EAF9E8"/>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3,819</w:t>
            </w:r>
          </w:p>
        </w:tc>
        <w:tc>
          <w:tcPr>
            <w:tcW w:w="240" w:type="dxa"/>
            <w:vAlign w:val="bottom"/>
            <w:shd w:val="clear" w:color="auto" w:fill="EAF9E8"/>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(2,935)</w:t>
            </w:r>
          </w:p>
        </w:tc>
        <w:tc>
          <w:tcPr>
            <w:tcW w:w="260" w:type="dxa"/>
            <w:vAlign w:val="bottom"/>
            <w:shd w:val="clear" w:color="auto" w:fill="EAF9E8"/>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2,331</w:t>
            </w:r>
          </w:p>
        </w:tc>
        <w:tc>
          <w:tcPr>
            <w:tcW w:w="240" w:type="dxa"/>
            <w:vAlign w:val="bottom"/>
            <w:shd w:val="clear" w:color="auto" w:fill="EAF9E8"/>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4,282</w:t>
            </w:r>
          </w:p>
        </w:tc>
        <w:tc>
          <w:tcPr>
            <w:tcW w:w="240" w:type="dxa"/>
            <w:vAlign w:val="bottom"/>
            <w:shd w:val="clear" w:color="auto" w:fill="EAF9E8"/>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23,458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8"/>
          </w:tcPr>
          <w:p>
            <w:pPr>
              <w:jc w:val="center"/>
              <w:ind w:right="680"/>
              <w:spacing w:after="0"/>
              <w:rPr>
                <w:sz w:val="20"/>
                <w:szCs w:val="20"/>
                <w:color w:val="auto"/>
              </w:rPr>
            </w:pPr>
            <w:r>
              <w:rPr>
                <w:rFonts w:ascii="Arial" w:cs="Arial" w:eastAsia="Arial" w:hAnsi="Arial"/>
                <w:sz w:val="14"/>
                <w:szCs w:val="14"/>
                <w:b w:val="1"/>
                <w:bCs w:val="1"/>
                <w:color w:val="auto"/>
                <w:w w:val="92"/>
              </w:rPr>
              <w:t>Ocwen Asset Management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Ocwen Solutions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28"/>
              <w:spacing w:after="0" w:line="126" w:lineRule="exact"/>
              <w:rPr>
                <w:sz w:val="20"/>
                <w:szCs w:val="20"/>
                <w:color w:val="auto"/>
              </w:rPr>
            </w:pPr>
            <w:r>
              <w:rPr>
                <w:rFonts w:ascii="Arial" w:cs="Arial" w:eastAsia="Arial" w:hAnsi="Arial"/>
                <w:sz w:val="14"/>
                <w:szCs w:val="14"/>
                <w:b w:val="1"/>
                <w:bCs w:val="1"/>
                <w:color w:val="auto"/>
                <w:w w:val="83"/>
              </w:rPr>
              <w:t>Asset</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Business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Loans and</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Manage-</w:t>
            </w:r>
          </w:p>
        </w:tc>
        <w:tc>
          <w:tcPr>
            <w:tcW w:w="10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Mortgage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Financial</w:t>
            </w:r>
          </w:p>
        </w:tc>
        <w:tc>
          <w:tcPr>
            <w:tcW w:w="10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1"/>
              </w:rPr>
              <w:t>Technology</w:t>
            </w: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1"/>
              </w:rPr>
              <w:t>Servicing</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ment</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Elimina-</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Residuals</w:t>
            </w:r>
          </w:p>
        </w:tc>
        <w:tc>
          <w:tcPr>
            <w:tcW w:w="10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Vehicles</w:t>
            </w:r>
          </w:p>
        </w:tc>
        <w:tc>
          <w:tcPr>
            <w:tcW w:w="1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Services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Services</w:t>
            </w: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Products</w:t>
            </w:r>
          </w:p>
        </w:tc>
        <w:tc>
          <w:tcPr>
            <w:tcW w:w="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100" w:type="dxa"/>
            <w:vAlign w:val="bottom"/>
            <w:tcBorders>
              <w:top w:val="single" w:sz="8" w:color="auto"/>
            </w:tcBorders>
            <w:shd w:val="clear" w:color="auto" w:fill="EAF9E8"/>
          </w:tcPr>
          <w:p>
            <w:pPr>
              <w:spacing w:after="0"/>
              <w:rPr>
                <w:sz w:val="12"/>
                <w:szCs w:val="12"/>
                <w:color w:val="auto"/>
              </w:rPr>
            </w:pPr>
          </w:p>
        </w:tc>
        <w:tc>
          <w:tcPr>
            <w:tcW w:w="340" w:type="dxa"/>
            <w:vAlign w:val="bottom"/>
            <w:tcBorders>
              <w:top w:val="single" w:sz="8" w:color="auto"/>
            </w:tcBorders>
            <w:shd w:val="clear" w:color="auto" w:fill="EAF9E8"/>
          </w:tcPr>
          <w:p>
            <w:pPr>
              <w:spacing w:after="0"/>
              <w:rPr>
                <w:sz w:val="12"/>
                <w:szCs w:val="12"/>
                <w:color w:val="auto"/>
              </w:rPr>
            </w:pPr>
          </w:p>
        </w:tc>
        <w:tc>
          <w:tcPr>
            <w:tcW w:w="380" w:type="dxa"/>
            <w:vAlign w:val="bottom"/>
            <w:tcBorders>
              <w:top w:val="single" w:sz="8" w:color="auto"/>
            </w:tcBorders>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68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gridSpan w:val="3"/>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gridSpan w:val="5"/>
            <w:shd w:val="clear" w:color="auto" w:fill="EAF9E8"/>
          </w:tcPr>
          <w:p>
            <w:pPr>
              <w:spacing w:after="0" w:line="135" w:lineRule="exact"/>
              <w:rPr>
                <w:sz w:val="20"/>
                <w:szCs w:val="20"/>
                <w:color w:val="auto"/>
              </w:rPr>
            </w:pPr>
            <w:r>
              <w:rPr>
                <w:rFonts w:ascii="Arial" w:cs="Arial" w:eastAsia="Arial" w:hAnsi="Arial"/>
                <w:sz w:val="14"/>
                <w:szCs w:val="14"/>
                <w:color w:val="auto"/>
              </w:rPr>
              <w:t>For the nine months ended September 30, 2010</w:t>
            </w: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40" w:type="dxa"/>
            <w:vAlign w:val="bottom"/>
            <w:tcBorders>
              <w:left w:val="single" w:sz="8" w:color="EAF9E8"/>
            </w:tcBorders>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6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70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70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68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Revenue (1) (2)</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246,581</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530</w:t>
            </w: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left w:val="single" w:sz="8" w:color="EAF9E8"/>
            </w:tcBorders>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1,143</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(1,146)</w:t>
            </w:r>
          </w:p>
        </w:tc>
        <w:tc>
          <w:tcPr>
            <w:tcW w:w="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247,108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Operating expenses (1) (3) (4)</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141,039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3,381</w:t>
            </w: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1,505</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27,904</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(620)</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EAF9E8"/>
          </w:tcPr>
          <w:p>
            <w:pPr>
              <w:spacing w:after="0"/>
              <w:rPr>
                <w:sz w:val="13"/>
                <w:szCs w:val="13"/>
                <w:color w:val="auto"/>
              </w:rPr>
            </w:pPr>
          </w:p>
        </w:tc>
        <w:tc>
          <w:tcPr>
            <w:tcW w:w="7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105,542</w:t>
            </w:r>
          </w:p>
        </w:tc>
        <w:tc>
          <w:tcPr>
            <w:tcW w:w="24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98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(3,381)</w:t>
            </w:r>
          </w:p>
        </w:tc>
        <w:tc>
          <w:tcPr>
            <w:tcW w:w="10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(975)</w:t>
            </w:r>
          </w:p>
        </w:tc>
        <w:tc>
          <w:tcPr>
            <w:tcW w:w="100" w:type="dxa"/>
            <w:vAlign w:val="bottom"/>
            <w:shd w:val="clear" w:color="auto" w:fill="EAF9E8"/>
          </w:tcPr>
          <w:p>
            <w:pPr>
              <w:spacing w:after="0"/>
              <w:rPr>
                <w:sz w:val="13"/>
                <w:szCs w:val="13"/>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EAF9E8"/>
            </w:tcBorders>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9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(26,761)</w:t>
            </w:r>
          </w:p>
        </w:tc>
        <w:tc>
          <w:tcPr>
            <w:tcW w:w="6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(526)</w:t>
            </w:r>
          </w:p>
        </w:tc>
        <w:tc>
          <w:tcPr>
            <w:tcW w:w="80" w:type="dxa"/>
            <w:vAlign w:val="bottom"/>
            <w:shd w:val="clear" w:color="auto" w:fill="EAF9E8"/>
          </w:tcPr>
          <w:p>
            <w:pPr>
              <w:spacing w:after="0"/>
              <w:rPr>
                <w:sz w:val="13"/>
                <w:szCs w:val="13"/>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73,899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EAF9E8"/>
            </w:tcBorders>
          </w:tcPr>
          <w:p>
            <w:pPr>
              <w:spacing w:after="0" w:line="149" w:lineRule="exact"/>
              <w:rPr>
                <w:sz w:val="20"/>
                <w:szCs w:val="20"/>
                <w:color w:val="auto"/>
              </w:rPr>
            </w:pPr>
            <w:r>
              <w:rPr>
                <w:rFonts w:ascii="Arial" w:cs="Arial" w:eastAsia="Arial" w:hAnsi="Arial"/>
                <w:sz w:val="14"/>
                <w:szCs w:val="14"/>
                <w:color w:val="auto"/>
              </w:rPr>
              <w:t>Other income (expense), net:</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EAF9E8"/>
          </w:tcPr>
          <w:p>
            <w:pPr>
              <w:spacing w:after="0"/>
              <w:rPr>
                <w:sz w:val="12"/>
                <w:szCs w:val="12"/>
                <w:color w:val="auto"/>
              </w:rPr>
            </w:pPr>
          </w:p>
        </w:tc>
        <w:tc>
          <w:tcPr>
            <w:tcW w:w="7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161</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7,501</w:t>
            </w:r>
          </w:p>
        </w:tc>
        <w:tc>
          <w:tcPr>
            <w:tcW w:w="1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845</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8,507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(44,772)</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(408)</w:t>
            </w: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(4,837)</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Other (1) (2)</w:t>
            </w:r>
          </w:p>
        </w:tc>
        <w:tc>
          <w:tcPr>
            <w:tcW w:w="100" w:type="dxa"/>
            <w:vAlign w:val="bottom"/>
            <w:shd w:val="clear" w:color="auto" w:fill="EAF9E8"/>
          </w:tcPr>
          <w:p>
            <w:pPr>
              <w:spacing w:after="0"/>
              <w:rPr>
                <w:sz w:val="12"/>
                <w:szCs w:val="12"/>
                <w:color w:val="auto"/>
              </w:rPr>
            </w:pPr>
          </w:p>
        </w:tc>
        <w:tc>
          <w:tcPr>
            <w:tcW w:w="960" w:type="dxa"/>
            <w:vAlign w:val="bottom"/>
            <w:gridSpan w:val="3"/>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(1,570)</w:t>
            </w:r>
          </w:p>
        </w:tc>
        <w:tc>
          <w:tcPr>
            <w:tcW w:w="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(3,574)</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818</w:t>
            </w: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(4,594)</w:t>
            </w: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526</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(8,394)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left w:val="single" w:sz="8" w:color="EAF9E8"/>
            </w:tcBorders>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Other income (expense), net</w:t>
            </w:r>
          </w:p>
        </w:tc>
        <w:tc>
          <w:tcPr>
            <w:tcW w:w="100" w:type="dxa"/>
            <w:vAlign w:val="bottom"/>
          </w:tcPr>
          <w:p>
            <w:pPr>
              <w:spacing w:after="0"/>
              <w:rPr>
                <w:sz w:val="13"/>
                <w:szCs w:val="13"/>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(46,181)</w:t>
            </w:r>
          </w:p>
        </w:tc>
        <w:tc>
          <w:tcPr>
            <w:tcW w:w="80" w:type="dxa"/>
            <w:vAlign w:val="bottom"/>
          </w:tcPr>
          <w:p>
            <w:pPr>
              <w:spacing w:after="0"/>
              <w:rPr>
                <w:sz w:val="13"/>
                <w:szCs w:val="13"/>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3,519</w:t>
            </w:r>
          </w:p>
        </w:tc>
        <w:tc>
          <w:tcPr>
            <w:tcW w:w="10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(8,586)</w:t>
            </w:r>
          </w:p>
        </w:tc>
        <w:tc>
          <w:tcPr>
            <w:tcW w:w="6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(49,904)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Income (loss) from continuing</w:t>
            </w:r>
          </w:p>
        </w:tc>
        <w:tc>
          <w:tcPr>
            <w:tcW w:w="100" w:type="dxa"/>
            <w:vAlign w:val="bottom"/>
            <w:tcBorders>
              <w:top w:val="single" w:sz="8" w:color="auto"/>
            </w:tcBorders>
            <w:shd w:val="clear" w:color="auto" w:fill="EAF9E8"/>
          </w:tcPr>
          <w:p>
            <w:pPr>
              <w:spacing w:after="0"/>
              <w:rPr>
                <w:sz w:val="11"/>
                <w:szCs w:val="11"/>
                <w:color w:val="auto"/>
              </w:rPr>
            </w:pPr>
          </w:p>
        </w:tc>
        <w:tc>
          <w:tcPr>
            <w:tcW w:w="340" w:type="dxa"/>
            <w:vAlign w:val="bottom"/>
            <w:tcBorders>
              <w:top w:val="single" w:sz="8" w:color="auto"/>
            </w:tcBorders>
            <w:shd w:val="clear" w:color="auto" w:fill="EAF9E8"/>
          </w:tcPr>
          <w:p>
            <w:pPr>
              <w:spacing w:after="0"/>
              <w:rPr>
                <w:sz w:val="11"/>
                <w:szCs w:val="11"/>
                <w:color w:val="auto"/>
              </w:rPr>
            </w:pPr>
          </w:p>
        </w:tc>
        <w:tc>
          <w:tcPr>
            <w:tcW w:w="38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40" w:type="dxa"/>
            <w:vAlign w:val="bottom"/>
            <w:tcBorders>
              <w:left w:val="single" w:sz="8" w:color="EAF9E8"/>
            </w:tcBorders>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8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operations before income taxes</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59,361</w:t>
            </w:r>
          </w:p>
        </w:tc>
        <w:tc>
          <w:tcPr>
            <w:tcW w:w="240" w:type="dxa"/>
            <w:vAlign w:val="bottom"/>
            <w:shd w:val="clear" w:color="auto" w:fill="EAF9E8"/>
          </w:tcPr>
          <w:p>
            <w:pPr>
              <w:spacing w:after="0"/>
              <w:rPr>
                <w:sz w:val="18"/>
                <w:szCs w:val="18"/>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138</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left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(35,347)</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23,995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EAF9E8"/>
            </w:tcBorders>
          </w:tcPr>
          <w:p>
            <w:pPr>
              <w:spacing w:after="0"/>
              <w:rPr>
                <w:sz w:val="12"/>
                <w:szCs w:val="12"/>
                <w:color w:val="auto"/>
              </w:rPr>
            </w:pPr>
          </w:p>
        </w:tc>
        <w:tc>
          <w:tcPr>
            <w:tcW w:w="440" w:type="dxa"/>
            <w:vAlign w:val="bottom"/>
            <w:tcBorders>
              <w:top w:val="single" w:sz="8" w:color="auto"/>
            </w:tcBorders>
            <w:gridSpan w:val="2"/>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gridSpan w:val="5"/>
            <w:shd w:val="clear" w:color="auto" w:fill="EAF9E8"/>
          </w:tcPr>
          <w:p>
            <w:pPr>
              <w:spacing w:after="0" w:line="135" w:lineRule="exact"/>
              <w:rPr>
                <w:sz w:val="20"/>
                <w:szCs w:val="20"/>
                <w:color w:val="auto"/>
              </w:rPr>
            </w:pPr>
            <w:r>
              <w:rPr>
                <w:rFonts w:ascii="Arial" w:cs="Arial" w:eastAsia="Arial" w:hAnsi="Arial"/>
                <w:sz w:val="14"/>
                <w:szCs w:val="14"/>
                <w:color w:val="auto"/>
              </w:rPr>
              <w:t>For the nine months ended September 30, 2009</w:t>
            </w: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40" w:type="dxa"/>
            <w:vAlign w:val="bottom"/>
            <w:tcBorders>
              <w:left w:val="single" w:sz="8" w:color="EAF9E8"/>
            </w:tcBorders>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6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70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70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68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72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Revenue (1) (2)</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200,398</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1,429</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54,052</w:t>
            </w:r>
          </w:p>
        </w:tc>
        <w:tc>
          <w:tcPr>
            <w:tcW w:w="320" w:type="dxa"/>
            <w:vAlign w:val="bottom"/>
            <w:tcBorders>
              <w:left w:val="single" w:sz="8" w:color="EAF9E8"/>
            </w:tcBorders>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40,293</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28,331</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681</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(17,204)</w:t>
            </w:r>
          </w:p>
        </w:tc>
        <w:tc>
          <w:tcPr>
            <w:tcW w:w="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307,980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Operating expenses (1) (3) (4)</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98,781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2,202</w:t>
            </w: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2,530</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37,039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45,001</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18,638</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11,367</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(16,410)</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EAF9E8"/>
          </w:tcPr>
          <w:p>
            <w:pPr>
              <w:spacing w:after="0"/>
              <w:rPr>
                <w:sz w:val="13"/>
                <w:szCs w:val="13"/>
                <w:color w:val="auto"/>
              </w:rPr>
            </w:pPr>
          </w:p>
        </w:tc>
        <w:tc>
          <w:tcPr>
            <w:tcW w:w="7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101,617</w:t>
            </w:r>
          </w:p>
        </w:tc>
        <w:tc>
          <w:tcPr>
            <w:tcW w:w="24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98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(2,202)</w:t>
            </w:r>
          </w:p>
        </w:tc>
        <w:tc>
          <w:tcPr>
            <w:tcW w:w="10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(1,101)</w:t>
            </w:r>
          </w:p>
        </w:tc>
        <w:tc>
          <w:tcPr>
            <w:tcW w:w="100" w:type="dxa"/>
            <w:vAlign w:val="bottom"/>
            <w:shd w:val="clear" w:color="auto" w:fill="EAF9E8"/>
          </w:tcPr>
          <w:p>
            <w:pPr>
              <w:spacing w:after="0"/>
              <w:rPr>
                <w:sz w:val="13"/>
                <w:szCs w:val="13"/>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17,013</w:t>
            </w:r>
          </w:p>
        </w:tc>
        <w:tc>
          <w:tcPr>
            <w:tcW w:w="240" w:type="dxa"/>
            <w:vAlign w:val="bottom"/>
            <w:tcBorders>
              <w:left w:val="single" w:sz="8" w:color="EAF9E8"/>
            </w:tcBorders>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92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(4,708)</w:t>
            </w:r>
          </w:p>
        </w:tc>
        <w:tc>
          <w:tcPr>
            <w:tcW w:w="100" w:type="dxa"/>
            <w:vAlign w:val="bottom"/>
            <w:shd w:val="clear" w:color="auto" w:fill="EAF9E8"/>
          </w:tcPr>
          <w:p>
            <w:pPr>
              <w:spacing w:after="0"/>
              <w:rPr>
                <w:sz w:val="13"/>
                <w:szCs w:val="13"/>
                <w:color w:val="auto"/>
              </w:rPr>
            </w:pPr>
          </w:p>
        </w:tc>
        <w:tc>
          <w:tcPr>
            <w:tcW w:w="9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9,693</w:t>
            </w:r>
          </w:p>
        </w:tc>
        <w:tc>
          <w:tcPr>
            <w:tcW w:w="6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(10,686)</w:t>
            </w:r>
          </w:p>
        </w:tc>
        <w:tc>
          <w:tcPr>
            <w:tcW w:w="6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(794)</w:t>
            </w:r>
          </w:p>
        </w:tc>
        <w:tc>
          <w:tcPr>
            <w:tcW w:w="80" w:type="dxa"/>
            <w:vAlign w:val="bottom"/>
            <w:shd w:val="clear" w:color="auto" w:fill="EAF9E8"/>
          </w:tcPr>
          <w:p>
            <w:pPr>
              <w:spacing w:after="0"/>
              <w:rPr>
                <w:sz w:val="13"/>
                <w:szCs w:val="13"/>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108,832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EAF9E8"/>
            </w:tcBorders>
          </w:tcPr>
          <w:p>
            <w:pPr>
              <w:spacing w:after="0" w:line="149" w:lineRule="exact"/>
              <w:rPr>
                <w:sz w:val="20"/>
                <w:szCs w:val="20"/>
                <w:color w:val="auto"/>
              </w:rPr>
            </w:pPr>
            <w:r>
              <w:rPr>
                <w:rFonts w:ascii="Arial" w:cs="Arial" w:eastAsia="Arial" w:hAnsi="Arial"/>
                <w:sz w:val="14"/>
                <w:szCs w:val="14"/>
                <w:color w:val="auto"/>
              </w:rPr>
              <w:t>Other income (expense), net:</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EAF9E8"/>
          </w:tcPr>
          <w:p>
            <w:pPr>
              <w:spacing w:after="0"/>
              <w:rPr>
                <w:sz w:val="12"/>
                <w:szCs w:val="12"/>
                <w:color w:val="auto"/>
              </w:rPr>
            </w:pPr>
          </w:p>
        </w:tc>
        <w:tc>
          <w:tcPr>
            <w:tcW w:w="7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205</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5,253</w:t>
            </w:r>
          </w:p>
        </w:tc>
        <w:tc>
          <w:tcPr>
            <w:tcW w:w="1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951</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6,411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(46,829)</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(1,437)</w:t>
            </w: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(1,285)</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(289)</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(240)</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Other (1) (2)</w:t>
            </w:r>
          </w:p>
        </w:tc>
        <w:tc>
          <w:tcPr>
            <w:tcW w:w="100" w:type="dxa"/>
            <w:vAlign w:val="bottom"/>
            <w:shd w:val="clear" w:color="auto" w:fill="EAF9E8"/>
          </w:tcPr>
          <w:p>
            <w:pPr>
              <w:spacing w:after="0"/>
              <w:rPr>
                <w:sz w:val="12"/>
                <w:szCs w:val="12"/>
                <w:color w:val="auto"/>
              </w:rPr>
            </w:pPr>
          </w:p>
        </w:tc>
        <w:tc>
          <w:tcPr>
            <w:tcW w:w="7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3,388</w:t>
            </w: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(8,677)</w:t>
            </w:r>
          </w:p>
        </w:tc>
        <w:tc>
          <w:tcPr>
            <w:tcW w:w="1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(2,466)</w:t>
            </w: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828</w:t>
            </w: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186</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13,855</w:t>
            </w: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794</w:t>
            </w: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7,932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left w:val="single" w:sz="8" w:color="EAF9E8"/>
            </w:tcBorders>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Other income (expense), net</w:t>
            </w:r>
          </w:p>
        </w:tc>
        <w:tc>
          <w:tcPr>
            <w:tcW w:w="100" w:type="dxa"/>
            <w:vAlign w:val="bottom"/>
          </w:tcPr>
          <w:p>
            <w:pPr>
              <w:spacing w:after="0"/>
              <w:rPr>
                <w:sz w:val="13"/>
                <w:szCs w:val="13"/>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(43,236)</w:t>
            </w:r>
          </w:p>
        </w:tc>
        <w:tc>
          <w:tcPr>
            <w:tcW w:w="80" w:type="dxa"/>
            <w:vAlign w:val="bottom"/>
          </w:tcPr>
          <w:p>
            <w:pPr>
              <w:spacing w:after="0"/>
              <w:rPr>
                <w:sz w:val="13"/>
                <w:szCs w:val="13"/>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(4,861)</w:t>
            </w:r>
          </w:p>
        </w:tc>
        <w:tc>
          <w:tcPr>
            <w:tcW w:w="100" w:type="dxa"/>
            <w:vAlign w:val="bottom"/>
          </w:tcPr>
          <w:p>
            <w:pPr>
              <w:spacing w:after="0"/>
              <w:rPr>
                <w:sz w:val="13"/>
                <w:szCs w:val="13"/>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(2,466)</w:t>
            </w:r>
          </w:p>
        </w:tc>
        <w:tc>
          <w:tcPr>
            <w:tcW w:w="10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(1,261)</w:t>
            </w:r>
          </w:p>
        </w:tc>
        <w:tc>
          <w:tcPr>
            <w:tcW w:w="100" w:type="dxa"/>
            <w:vAlign w:val="bottom"/>
          </w:tcPr>
          <w:p>
            <w:pPr>
              <w:spacing w:after="0"/>
              <w:rPr>
                <w:sz w:val="13"/>
                <w:szCs w:val="13"/>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w:t>
            </w:r>
          </w:p>
        </w:tc>
        <w:tc>
          <w:tcPr>
            <w:tcW w:w="60" w:type="dxa"/>
            <w:vAlign w:val="bottom"/>
          </w:tcPr>
          <w:p>
            <w:pPr>
              <w:spacing w:after="0"/>
              <w:rPr>
                <w:sz w:val="13"/>
                <w:szCs w:val="13"/>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14,566</w:t>
            </w:r>
          </w:p>
        </w:tc>
        <w:tc>
          <w:tcPr>
            <w:tcW w:w="6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(35,765)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Income (loss) from continuing</w:t>
            </w:r>
          </w:p>
        </w:tc>
        <w:tc>
          <w:tcPr>
            <w:tcW w:w="100" w:type="dxa"/>
            <w:vAlign w:val="bottom"/>
            <w:tcBorders>
              <w:top w:val="single" w:sz="8" w:color="auto"/>
            </w:tcBorders>
            <w:shd w:val="clear" w:color="auto" w:fill="EAF9E8"/>
          </w:tcPr>
          <w:p>
            <w:pPr>
              <w:spacing w:after="0"/>
              <w:rPr>
                <w:sz w:val="11"/>
                <w:szCs w:val="11"/>
                <w:color w:val="auto"/>
              </w:rPr>
            </w:pPr>
          </w:p>
        </w:tc>
        <w:tc>
          <w:tcPr>
            <w:tcW w:w="340" w:type="dxa"/>
            <w:vAlign w:val="bottom"/>
            <w:tcBorders>
              <w:top w:val="single" w:sz="8" w:color="auto"/>
            </w:tcBorders>
            <w:shd w:val="clear" w:color="auto" w:fill="EAF9E8"/>
          </w:tcPr>
          <w:p>
            <w:pPr>
              <w:spacing w:after="0"/>
              <w:rPr>
                <w:sz w:val="11"/>
                <w:szCs w:val="11"/>
                <w:color w:val="auto"/>
              </w:rPr>
            </w:pPr>
          </w:p>
        </w:tc>
        <w:tc>
          <w:tcPr>
            <w:tcW w:w="38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40" w:type="dxa"/>
            <w:vAlign w:val="bottom"/>
            <w:tcBorders>
              <w:left w:val="single" w:sz="8" w:color="EAF9E8"/>
            </w:tcBorders>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8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operations before income taxes</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EAF9E8"/>
          </w:tcPr>
          <w:p>
            <w:pPr>
              <w:jc w:val="right"/>
              <w:ind w:right="240"/>
              <w:spacing w:after="0"/>
              <w:rPr>
                <w:sz w:val="20"/>
                <w:szCs w:val="20"/>
                <w:color w:val="auto"/>
              </w:rPr>
            </w:pPr>
            <w:r>
              <w:rPr>
                <w:rFonts w:ascii="Arial" w:cs="Arial" w:eastAsia="Arial" w:hAnsi="Arial"/>
                <w:sz w:val="14"/>
                <w:szCs w:val="14"/>
                <w:color w:val="auto"/>
              </w:rPr>
              <w:t>58,381</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(7,063)</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(3,567)</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17,815</w:t>
            </w:r>
          </w:p>
        </w:tc>
        <w:tc>
          <w:tcPr>
            <w:tcW w:w="320" w:type="dxa"/>
            <w:vAlign w:val="bottom"/>
            <w:tcBorders>
              <w:left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(5,969)</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9,590</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3,880</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73,067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September 30, 2010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2,698,023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109,903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12,309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435,539</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3,255,774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December 31, 2009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1,191,212</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48,690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15,271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514,177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40" w:type="dxa"/>
            <w:vAlign w:val="bottom"/>
            <w:tcBorders>
              <w:left w:val="single" w:sz="8" w:color="EAF9E8"/>
            </w:tcBorders>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September 30, 2009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1,197,215</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53,191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19,053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605,594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1,875,053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-3159760</wp:posOffset>
            </wp:positionV>
            <wp:extent cx="228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86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-1830070</wp:posOffset>
            </wp:positionV>
            <wp:extent cx="2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48" w:lineRule="exact"/>
        <w:rPr>
          <w:sz w:val="20"/>
          <w:szCs w:val="20"/>
          <w:color w:val="auto"/>
        </w:rPr>
      </w:pPr>
    </w:p>
    <w:p>
      <w:pPr>
        <w:ind w:left="460" w:right="16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 Intersegment billings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1"/>
              </w:rPr>
              <w:t>Asset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Management</w:t>
            </w: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Mortgage</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Technology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4"/>
              </w:rPr>
              <w:t>Vehicles</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Services</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For the three months ended September 30,</w:t>
            </w:r>
          </w:p>
        </w:tc>
        <w:tc>
          <w:tcPr>
            <w:tcW w:w="1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EAF9E8"/>
          </w:tcPr>
          <w:p>
            <w:pPr>
              <w:jc w:val="right"/>
              <w:ind w:right="3150"/>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308</w:t>
            </w: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27</w:t>
            </w:r>
          </w:p>
        </w:tc>
        <w:tc>
          <w:tcPr>
            <w:tcW w:w="1580" w:type="dxa"/>
            <w:vAlign w:val="bottom"/>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For the three months ended September 30,</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jc w:val="right"/>
              <w:ind w:right="315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109</w:t>
            </w:r>
          </w:p>
        </w:tc>
        <w:tc>
          <w:tcPr>
            <w:tcW w:w="1580" w:type="dxa"/>
            <w:vAlign w:val="bottom"/>
            <w:gridSpan w:val="2"/>
          </w:tcPr>
          <w:p>
            <w:pPr>
              <w:ind w:left="9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w w:val="97"/>
              </w:rPr>
              <w:t>For the nine months ended September 30, 2010</w:t>
            </w: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1,028</w:t>
            </w: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118</w:t>
            </w:r>
          </w:p>
        </w:tc>
        <w:tc>
          <w:tcPr>
            <w:tcW w:w="1580" w:type="dxa"/>
            <w:vAlign w:val="bottom"/>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7"/>
              </w:rPr>
              <w:t>For the nine months ended September 30, 2009</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365</w:t>
            </w:r>
          </w:p>
        </w:tc>
        <w:tc>
          <w:tcPr>
            <w:tcW w:w="1580" w:type="dxa"/>
            <w:vAlign w:val="bottom"/>
            <w:gridSpan w:val="2"/>
          </w:tcPr>
          <w:p>
            <w:pPr>
              <w:ind w:left="9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20,462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26,274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320" w:hanging="452"/>
        <w:spacing w:after="0" w:line="31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146" w:lineRule="exact"/>
        <w:rPr>
          <w:rFonts w:ascii="Arial" w:cs="Arial" w:eastAsia="Arial" w:hAnsi="Arial"/>
          <w:sz w:val="16"/>
          <w:szCs w:val="16"/>
          <w:color w:val="auto"/>
        </w:rPr>
      </w:pPr>
    </w:p>
    <w:p>
      <w:pPr>
        <w:ind w:left="460" w:right="40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three and nine month periods ended September 30, 2010, operating expenses of the Servicing segment include one-time transaction related expenses associated with the HomEq Acquisition of $33,902 and $36,652, respectively.</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6"/>
              </w:rPr>
              <w:t>Mortgage</w:t>
            </w:r>
          </w:p>
        </w:tc>
        <w:tc>
          <w:tcPr>
            <w:tcW w:w="16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Financial</w:t>
            </w: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Technology</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Items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Services</w:t>
            </w:r>
          </w:p>
        </w:tc>
        <w:tc>
          <w:tcPr>
            <w:tcW w:w="16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Services</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60" w:type="dxa"/>
            <w:vAlign w:val="bottom"/>
            <w:tcBorders>
              <w:bottom w:val="single" w:sz="8" w:color="auto"/>
            </w:tcBorders>
            <w:gridSpan w:val="4"/>
            <w:shd w:val="clear" w:color="auto" w:fill="EAF9E8"/>
          </w:tcPr>
          <w:p>
            <w:pPr>
              <w:spacing w:after="0" w:line="176" w:lineRule="exact"/>
              <w:rPr>
                <w:sz w:val="20"/>
                <w:szCs w:val="20"/>
                <w:color w:val="auto"/>
              </w:rPr>
            </w:pPr>
            <w:r>
              <w:rPr>
                <w:rFonts w:ascii="Arial" w:cs="Arial" w:eastAsia="Arial" w:hAnsi="Arial"/>
                <w:sz w:val="18"/>
                <w:szCs w:val="18"/>
                <w:color w:val="auto"/>
                <w:w w:val="87"/>
              </w:rPr>
              <w:t>For the three months ended</w:t>
            </w:r>
          </w:p>
        </w:tc>
        <w:tc>
          <w:tcPr>
            <w:tcW w:w="560" w:type="dxa"/>
            <w:vAlign w:val="bottom"/>
            <w:tcBorders>
              <w:bottom w:val="single" w:sz="8" w:color="EAF9E8"/>
            </w:tcBorders>
            <w:shd w:val="clear" w:color="auto" w:fill="EAF9E8"/>
          </w:tcPr>
          <w:p>
            <w:pPr>
              <w:spacing w:after="0"/>
              <w:rPr>
                <w:sz w:val="15"/>
                <w:szCs w:val="15"/>
                <w:color w:val="auto"/>
              </w:rPr>
            </w:pPr>
          </w:p>
        </w:tc>
        <w:tc>
          <w:tcPr>
            <w:tcW w:w="20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spacing w:after="0"/>
              <w:rPr>
                <w:sz w:val="15"/>
                <w:szCs w:val="15"/>
                <w:color w:val="auto"/>
              </w:rPr>
            </w:pPr>
          </w:p>
        </w:tc>
        <w:tc>
          <w:tcPr>
            <w:tcW w:w="1020" w:type="dxa"/>
            <w:vAlign w:val="bottom"/>
            <w:tcBorders>
              <w:bottom w:val="single" w:sz="8" w:color="EAF9E8"/>
            </w:tcBorders>
            <w:shd w:val="clear" w:color="auto" w:fill="EAF9E8"/>
          </w:tcPr>
          <w:p>
            <w:pPr>
              <w:spacing w:after="0"/>
              <w:rPr>
                <w:sz w:val="15"/>
                <w:szCs w:val="15"/>
                <w:color w:val="auto"/>
              </w:rPr>
            </w:pPr>
          </w:p>
        </w:tc>
        <w:tc>
          <w:tcPr>
            <w:tcW w:w="34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spacing w:after="0"/>
              <w:rPr>
                <w:sz w:val="15"/>
                <w:szCs w:val="15"/>
                <w:color w:val="auto"/>
              </w:rPr>
            </w:pPr>
          </w:p>
        </w:tc>
        <w:tc>
          <w:tcPr>
            <w:tcW w:w="1000" w:type="dxa"/>
            <w:vAlign w:val="bottom"/>
            <w:tcBorders>
              <w:bottom w:val="single" w:sz="8" w:color="EAF9E8"/>
            </w:tcBorders>
            <w:shd w:val="clear" w:color="auto" w:fill="EAF9E8"/>
          </w:tcPr>
          <w:p>
            <w:pPr>
              <w:spacing w:after="0"/>
              <w:rPr>
                <w:sz w:val="15"/>
                <w:szCs w:val="15"/>
                <w:color w:val="auto"/>
              </w:rPr>
            </w:pPr>
          </w:p>
        </w:tc>
        <w:tc>
          <w:tcPr>
            <w:tcW w:w="36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spacing w:after="0"/>
              <w:rPr>
                <w:sz w:val="15"/>
                <w:szCs w:val="15"/>
                <w:color w:val="auto"/>
              </w:rPr>
            </w:pPr>
          </w:p>
        </w:tc>
        <w:tc>
          <w:tcPr>
            <w:tcW w:w="1000" w:type="dxa"/>
            <w:vAlign w:val="bottom"/>
            <w:tcBorders>
              <w:bottom w:val="single" w:sz="8" w:color="EAF9E8"/>
            </w:tcBorders>
            <w:shd w:val="clear" w:color="auto" w:fill="EAF9E8"/>
          </w:tcPr>
          <w:p>
            <w:pPr>
              <w:spacing w:after="0"/>
              <w:rPr>
                <w:sz w:val="15"/>
                <w:szCs w:val="15"/>
                <w:color w:val="auto"/>
              </w:rPr>
            </w:pPr>
          </w:p>
        </w:tc>
        <w:tc>
          <w:tcPr>
            <w:tcW w:w="320" w:type="dxa"/>
            <w:vAlign w:val="bottom"/>
            <w:tcBorders>
              <w:bottom w:val="single" w:sz="8" w:color="EAF9E8"/>
            </w:tcBorders>
            <w:shd w:val="clear" w:color="auto" w:fill="EAF9E8"/>
          </w:tcPr>
          <w:p>
            <w:pPr>
              <w:spacing w:after="0"/>
              <w:rPr>
                <w:sz w:val="15"/>
                <w:szCs w:val="15"/>
                <w:color w:val="auto"/>
              </w:rPr>
            </w:pPr>
          </w:p>
        </w:tc>
        <w:tc>
          <w:tcPr>
            <w:tcW w:w="120" w:type="dxa"/>
            <w:vAlign w:val="bottom"/>
            <w:tcBorders>
              <w:bottom w:val="single" w:sz="8" w:color="EAF9E8"/>
            </w:tcBorders>
            <w:shd w:val="clear" w:color="auto" w:fill="EAF9E8"/>
          </w:tcPr>
          <w:p>
            <w:pPr>
              <w:spacing w:after="0"/>
              <w:rPr>
                <w:sz w:val="15"/>
                <w:szCs w:val="15"/>
                <w:color w:val="auto"/>
              </w:rPr>
            </w:pPr>
          </w:p>
        </w:tc>
        <w:tc>
          <w:tcPr>
            <w:tcW w:w="1020" w:type="dxa"/>
            <w:vAlign w:val="bottom"/>
            <w:tcBorders>
              <w:bottom w:val="single" w:sz="8" w:color="EAF9E8"/>
            </w:tcBorders>
            <w:shd w:val="clear" w:color="auto" w:fill="EAF9E8"/>
          </w:tcPr>
          <w:p>
            <w:pPr>
              <w:spacing w:after="0"/>
              <w:rPr>
                <w:sz w:val="15"/>
                <w:szCs w:val="15"/>
                <w:color w:val="auto"/>
              </w:rPr>
            </w:pPr>
          </w:p>
        </w:tc>
        <w:tc>
          <w:tcPr>
            <w:tcW w:w="320" w:type="dxa"/>
            <w:vAlign w:val="bottom"/>
            <w:tcBorders>
              <w:bottom w:val="single" w:sz="8" w:color="EAF9E8"/>
            </w:tcBorders>
            <w:shd w:val="clear" w:color="auto" w:fill="EAF9E8"/>
          </w:tcPr>
          <w:p>
            <w:pPr>
              <w:spacing w:after="0"/>
              <w:rPr>
                <w:sz w:val="15"/>
                <w:szCs w:val="15"/>
                <w:color w:val="auto"/>
              </w:rPr>
            </w:pPr>
          </w:p>
        </w:tc>
        <w:tc>
          <w:tcPr>
            <w:tcW w:w="120" w:type="dxa"/>
            <w:vAlign w:val="bottom"/>
            <w:tcBorders>
              <w:bottom w:val="single" w:sz="8" w:color="EAF9E8"/>
            </w:tcBorders>
            <w:shd w:val="clear" w:color="auto" w:fill="EAF9E8"/>
          </w:tcPr>
          <w:p>
            <w:pPr>
              <w:spacing w:after="0"/>
              <w:rPr>
                <w:sz w:val="15"/>
                <w:szCs w:val="15"/>
                <w:color w:val="auto"/>
              </w:rPr>
            </w:pPr>
          </w:p>
        </w:tc>
        <w:tc>
          <w:tcPr>
            <w:tcW w:w="102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spacing w:after="0"/>
              <w:rPr>
                <w:sz w:val="15"/>
                <w:szCs w:val="15"/>
                <w:color w:val="auto"/>
              </w:rPr>
            </w:pPr>
          </w:p>
        </w:tc>
        <w:tc>
          <w:tcPr>
            <w:tcW w:w="140" w:type="dxa"/>
            <w:vAlign w:val="bottom"/>
            <w:tcBorders>
              <w:bottom w:val="single" w:sz="8" w:color="EAF9E8"/>
            </w:tcBorders>
            <w:shd w:val="clear" w:color="auto" w:fill="EAF9E8"/>
          </w:tcPr>
          <w:p>
            <w:pPr>
              <w:spacing w:after="0"/>
              <w:rPr>
                <w:sz w:val="15"/>
                <w:szCs w:val="15"/>
                <w:color w:val="auto"/>
              </w:rPr>
            </w:pPr>
          </w:p>
        </w:tc>
        <w:tc>
          <w:tcPr>
            <w:tcW w:w="1000" w:type="dxa"/>
            <w:vAlign w:val="bottom"/>
            <w:tcBorders>
              <w:bottom w:val="single" w:sz="8" w:color="EAF9E8"/>
            </w:tcBorders>
            <w:shd w:val="clear" w:color="auto" w:fill="EAF9E8"/>
          </w:tcPr>
          <w:p>
            <w:pPr>
              <w:spacing w:after="0"/>
              <w:rPr>
                <w:sz w:val="15"/>
                <w:szCs w:val="15"/>
                <w:color w:val="auto"/>
              </w:rPr>
            </w:pPr>
          </w:p>
        </w:tc>
        <w:tc>
          <w:tcPr>
            <w:tcW w:w="100" w:type="dxa"/>
            <w:vAlign w:val="bottom"/>
            <w:tcBorders>
              <w:bottom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360" w:type="dxa"/>
            <w:vAlign w:val="bottom"/>
            <w:gridSpan w:val="4"/>
            <w:shd w:val="clear" w:color="auto" w:fill="EAF9E8"/>
          </w:tcPr>
          <w:p>
            <w:pPr>
              <w:spacing w:after="0" w:line="196" w:lineRule="exact"/>
              <w:rPr>
                <w:sz w:val="20"/>
                <w:szCs w:val="20"/>
                <w:color w:val="auto"/>
              </w:rPr>
            </w:pPr>
            <w:r>
              <w:rPr>
                <w:rFonts w:ascii="Arial" w:cs="Arial" w:eastAsia="Arial" w:hAnsi="Arial"/>
                <w:sz w:val="18"/>
                <w:szCs w:val="18"/>
                <w:color w:val="auto"/>
              </w:rPr>
              <w:t>September 30, 2010:</w:t>
            </w: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480" w:type="dxa"/>
            <w:vAlign w:val="bottom"/>
            <w:tcBorders>
              <w:top w:val="single" w:sz="8" w:color="auto"/>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60" w:type="dxa"/>
            <w:vAlign w:val="bottom"/>
            <w:tcBorders>
              <w:top w:val="single" w:sz="8" w:color="EAF9E8"/>
            </w:tcBorders>
            <w:shd w:val="clear" w:color="auto" w:fill="EAF9E8"/>
          </w:tcPr>
          <w:p>
            <w:pPr>
              <w:spacing w:after="0" w:line="20" w:lineRule="exact"/>
              <w:rPr>
                <w:sz w:val="1"/>
                <w:szCs w:val="1"/>
                <w:color w:val="auto"/>
              </w:rPr>
            </w:pPr>
          </w:p>
        </w:tc>
        <w:tc>
          <w:tcPr>
            <w:tcW w:w="5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3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7,874</w:t>
            </w: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60" w:type="dxa"/>
            <w:vAlign w:val="bottom"/>
            <w:tcBorders>
              <w:bottom w:val="single" w:sz="8" w:color="auto"/>
            </w:tcBorders>
            <w:gridSpan w:val="4"/>
          </w:tcPr>
          <w:p>
            <w:pPr>
              <w:spacing w:after="0" w:line="176" w:lineRule="exact"/>
              <w:rPr>
                <w:sz w:val="20"/>
                <w:szCs w:val="20"/>
                <w:color w:val="auto"/>
              </w:rPr>
            </w:pPr>
            <w:r>
              <w:rPr>
                <w:rFonts w:ascii="Arial" w:cs="Arial" w:eastAsia="Arial" w:hAnsi="Arial"/>
                <w:sz w:val="18"/>
                <w:szCs w:val="18"/>
                <w:color w:val="auto"/>
                <w:w w:val="87"/>
              </w:rPr>
              <w:t>For the three months ended</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4"/>
          </w:tcPr>
          <w:p>
            <w:pPr>
              <w:spacing w:after="0" w:line="196" w:lineRule="exact"/>
              <w:rPr>
                <w:sz w:val="20"/>
                <w:szCs w:val="20"/>
                <w:color w:val="auto"/>
              </w:rPr>
            </w:pPr>
            <w:r>
              <w:rPr>
                <w:rFonts w:ascii="Arial" w:cs="Arial" w:eastAsia="Arial" w:hAnsi="Arial"/>
                <w:sz w:val="18"/>
                <w:szCs w:val="18"/>
                <w:color w:val="auto"/>
              </w:rPr>
              <w:t>September 30, 2009: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3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Depreciation expense</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236</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Amortization of MSRs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7,159</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3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1,146</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gridSpan w:val="5"/>
          </w:tcPr>
          <w:p>
            <w:pPr>
              <w:spacing w:after="0" w:line="176" w:lineRule="exact"/>
              <w:rPr>
                <w:sz w:val="20"/>
                <w:szCs w:val="20"/>
                <w:color w:val="auto"/>
              </w:rPr>
            </w:pPr>
            <w:r>
              <w:rPr>
                <w:rFonts w:ascii="Arial" w:cs="Arial" w:eastAsia="Arial" w:hAnsi="Arial"/>
                <w:sz w:val="18"/>
                <w:szCs w:val="18"/>
                <w:color w:val="auto"/>
              </w:rPr>
              <w:t>For the nine months ended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September 30, 2010:</w:t>
            </w:r>
          </w:p>
        </w:tc>
        <w:tc>
          <w:tcPr>
            <w:tcW w:w="6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3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Depreciation expense</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1,045</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Amortization of MSRs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22,103</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3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debt discount</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3,218</w:t>
            </w: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rPr>
              <w:t>For the nine months ended</w:t>
            </w:r>
          </w:p>
        </w:tc>
        <w:tc>
          <w:tcPr>
            <w:tcW w:w="20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00" w:type="dxa"/>
            <w:vAlign w:val="bottom"/>
            <w:shd w:val="clear" w:color="auto" w:fill="EAF9E8"/>
          </w:tcPr>
          <w:p>
            <w:pPr>
              <w:spacing w:after="0"/>
              <w:rPr>
                <w:sz w:val="15"/>
                <w:szCs w:val="15"/>
                <w:color w:val="auto"/>
              </w:rPr>
            </w:pPr>
          </w:p>
        </w:tc>
        <w:tc>
          <w:tcPr>
            <w:tcW w:w="36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00" w:type="dxa"/>
            <w:vAlign w:val="bottom"/>
            <w:shd w:val="clear" w:color="auto" w:fill="EAF9E8"/>
          </w:tcPr>
          <w:p>
            <w:pPr>
              <w:spacing w:after="0"/>
              <w:rPr>
                <w:sz w:val="15"/>
                <w:szCs w:val="15"/>
                <w:color w:val="auto"/>
              </w:rPr>
            </w:pPr>
          </w:p>
        </w:tc>
        <w:tc>
          <w:tcPr>
            <w:tcW w:w="3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3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0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1740" w:type="dxa"/>
            <w:vAlign w:val="bottom"/>
            <w:tcBorders>
              <w:top w:val="single" w:sz="8" w:color="auto"/>
            </w:tcBorders>
            <w:gridSpan w:val="2"/>
            <w:shd w:val="clear" w:color="auto" w:fill="EAF9E8"/>
          </w:tcPr>
          <w:p>
            <w:pPr>
              <w:spacing w:after="0" w:line="196" w:lineRule="exact"/>
              <w:rPr>
                <w:sz w:val="20"/>
                <w:szCs w:val="20"/>
                <w:color w:val="auto"/>
              </w:rPr>
            </w:pPr>
            <w:r>
              <w:rPr>
                <w:rFonts w:ascii="Arial" w:cs="Arial" w:eastAsia="Arial" w:hAnsi="Arial"/>
                <w:sz w:val="18"/>
                <w:szCs w:val="18"/>
                <w:color w:val="auto"/>
              </w:rPr>
              <w:t>September 30, 2009:</w:t>
            </w:r>
          </w:p>
        </w:tc>
        <w:tc>
          <w:tcPr>
            <w:tcW w:w="620" w:type="dxa"/>
            <w:vAlign w:val="bottom"/>
            <w:tcBorders>
              <w:top w:val="single" w:sz="8" w:color="EAF9E8"/>
            </w:tcBorders>
            <w:gridSpan w:val="2"/>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02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000" w:type="dxa"/>
            <w:vAlign w:val="bottom"/>
            <w:tcBorders>
              <w:top w:val="single" w:sz="8" w:color="EAF9E8"/>
            </w:tcBorders>
            <w:shd w:val="clear" w:color="auto" w:fill="EAF9E8"/>
          </w:tcPr>
          <w:p>
            <w:pPr>
              <w:spacing w:after="0"/>
              <w:rPr>
                <w:sz w:val="17"/>
                <w:szCs w:val="17"/>
                <w:color w:val="auto"/>
              </w:rPr>
            </w:pPr>
          </w:p>
        </w:tc>
        <w:tc>
          <w:tcPr>
            <w:tcW w:w="3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000" w:type="dxa"/>
            <w:vAlign w:val="bottom"/>
            <w:tcBorders>
              <w:top w:val="single" w:sz="8" w:color="EAF9E8"/>
            </w:tcBorders>
            <w:shd w:val="clear" w:color="auto" w:fill="EAF9E8"/>
          </w:tcPr>
          <w:p>
            <w:pPr>
              <w:spacing w:after="0"/>
              <w:rPr>
                <w:sz w:val="17"/>
                <w:szCs w:val="17"/>
                <w:color w:val="auto"/>
              </w:rPr>
            </w:pPr>
          </w:p>
        </w:tc>
        <w:tc>
          <w:tcPr>
            <w:tcW w:w="3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20" w:type="dxa"/>
            <w:vAlign w:val="bottom"/>
            <w:tcBorders>
              <w:top w:val="single" w:sz="8" w:color="EAF9E8"/>
            </w:tcBorders>
            <w:shd w:val="clear" w:color="auto" w:fill="EAF9E8"/>
          </w:tcPr>
          <w:p>
            <w:pPr>
              <w:spacing w:after="0"/>
              <w:rPr>
                <w:sz w:val="17"/>
                <w:szCs w:val="17"/>
                <w:color w:val="auto"/>
              </w:rPr>
            </w:pPr>
          </w:p>
        </w:tc>
        <w:tc>
          <w:tcPr>
            <w:tcW w:w="3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2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100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480" w:type="dxa"/>
            <w:vAlign w:val="bottom"/>
            <w:tcBorders>
              <w:top w:val="single" w:sz="8" w:color="auto"/>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60" w:type="dxa"/>
            <w:vAlign w:val="bottom"/>
            <w:tcBorders>
              <w:top w:val="single" w:sz="8" w:color="EAF9E8"/>
            </w:tcBorders>
            <w:shd w:val="clear" w:color="auto" w:fill="EAF9E8"/>
          </w:tcPr>
          <w:p>
            <w:pPr>
              <w:spacing w:after="0" w:line="20" w:lineRule="exact"/>
              <w:rPr>
                <w:sz w:val="1"/>
                <w:szCs w:val="1"/>
                <w:color w:val="auto"/>
              </w:rPr>
            </w:pPr>
          </w:p>
        </w:tc>
        <w:tc>
          <w:tcPr>
            <w:tcW w:w="5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3,150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3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25,743</w:t>
            </w: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3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debt discount</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2,291</w:t>
            </w: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For purposes of governing certain of the ongoing relationships between Ocwen and Altisource after the Separation, and to provide for an orderly transition to the status of two independent companies, we entered into certain agreements with Altisource. A brief description of these agreements follows.</w:t>
      </w:r>
    </w:p>
    <w:p>
      <w:pPr>
        <w:spacing w:after="0" w:line="124" w:lineRule="exact"/>
        <w:rPr>
          <w:sz w:val="20"/>
          <w:szCs w:val="20"/>
          <w:color w:val="auto"/>
        </w:rPr>
      </w:pPr>
    </w:p>
    <w:p>
      <w:pPr>
        <w:ind w:left="1160" w:right="80" w:hanging="693"/>
        <w:spacing w:after="0" w:line="308" w:lineRule="auto"/>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Separation Agreement. </w:t>
      </w:r>
      <w:r>
        <w:rPr>
          <w:rFonts w:ascii="Arial" w:cs="Arial" w:eastAsia="Arial" w:hAnsi="Arial"/>
          <w:sz w:val="17"/>
          <w:szCs w:val="17"/>
          <w:color w:val="auto"/>
        </w:rPr>
        <w:t>This agreement provides for, among other things, the principal corporate transactions required to effect the Separation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other agreements relating to the continuing relationship between Altisource and Ocwen after the Separation.</w:t>
      </w:r>
    </w:p>
    <w:p>
      <w:pPr>
        <w:spacing w:after="0" w:line="146" w:lineRule="exact"/>
        <w:rPr>
          <w:rFonts w:ascii="Arial" w:cs="Arial" w:eastAsia="Arial" w:hAnsi="Arial"/>
          <w:sz w:val="17"/>
          <w:szCs w:val="17"/>
          <w:color w:val="auto"/>
        </w:rPr>
      </w:pPr>
    </w:p>
    <w:p>
      <w:pPr>
        <w:ind w:left="1160" w:hanging="693"/>
        <w:spacing w:after="0" w:line="312" w:lineRule="auto"/>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Under this agreement, Altisource and Ocwen provide to each other services in such areas as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vendor management, corporate services, six sigma, quality assurance, quantitative analytics, treasury, accounting, risk management, legal, strategic planning, compliance and other areas where we, and Altisource, may need transition assistance and support following the Separation.</w:t>
      </w:r>
    </w:p>
    <w:p>
      <w:pPr>
        <w:spacing w:after="0" w:line="146" w:lineRule="exact"/>
        <w:rPr>
          <w:rFonts w:ascii="Arial" w:cs="Arial" w:eastAsia="Arial" w:hAnsi="Arial"/>
          <w:sz w:val="16"/>
          <w:szCs w:val="16"/>
          <w:color w:val="auto"/>
        </w:rPr>
      </w:pPr>
    </w:p>
    <w:p>
      <w:pPr>
        <w:ind w:left="1160" w:right="60" w:hanging="693"/>
        <w:spacing w:after="0" w:line="264"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Tax Matters Agreement. </w:t>
      </w:r>
      <w:r>
        <w:rPr>
          <w:rFonts w:ascii="Arial" w:cs="Arial" w:eastAsia="Arial" w:hAnsi="Arial"/>
          <w:sz w:val="18"/>
          <w:szCs w:val="18"/>
          <w:color w:val="auto"/>
        </w:rPr>
        <w:t>This agreement sets out each party’s rights and obligations with respect to deficiencies and refunds, if any, of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local or foreign taxes for periods before and after the Separation and related matters such as the filing of tax returns and the conduct of Internal Revenue Service and other audits.</w:t>
      </w:r>
    </w:p>
    <w:p>
      <w:pPr>
        <w:spacing w:after="0" w:line="181" w:lineRule="exact"/>
        <w:rPr>
          <w:rFonts w:ascii="Arial" w:cs="Arial" w:eastAsia="Arial" w:hAnsi="Arial"/>
          <w:sz w:val="18"/>
          <w:szCs w:val="18"/>
          <w:color w:val="auto"/>
        </w:rPr>
      </w:pPr>
    </w:p>
    <w:p>
      <w:pPr>
        <w:ind w:left="1160" w:right="620" w:hanging="693"/>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Employee Matters Agreement. </w:t>
      </w:r>
      <w:r>
        <w:rPr>
          <w:rFonts w:ascii="Arial" w:cs="Arial" w:eastAsia="Arial" w:hAnsi="Arial"/>
          <w:sz w:val="18"/>
          <w:szCs w:val="18"/>
          <w:color w:val="auto"/>
        </w:rPr>
        <w:t>This agreement provides for the transition of employee benefit plans and programs sponsored by us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 Altisource.</w:t>
      </w:r>
    </w:p>
    <w:p>
      <w:pPr>
        <w:spacing w:after="0" w:line="170" w:lineRule="exact"/>
        <w:rPr>
          <w:rFonts w:ascii="Arial" w:cs="Arial" w:eastAsia="Arial" w:hAnsi="Arial"/>
          <w:sz w:val="18"/>
          <w:szCs w:val="18"/>
          <w:color w:val="auto"/>
        </w:rPr>
      </w:pPr>
    </w:p>
    <w:p>
      <w:pPr>
        <w:ind w:left="1160" w:right="100" w:hanging="693"/>
        <w:spacing w:after="0" w:line="259"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Services Agreement. </w:t>
      </w:r>
      <w:r>
        <w:rPr>
          <w:rFonts w:ascii="Arial" w:cs="Arial" w:eastAsia="Arial" w:hAnsi="Arial"/>
          <w:sz w:val="18"/>
          <w:szCs w:val="18"/>
          <w:color w:val="auto"/>
        </w:rPr>
        <w:t>This agreement provides for Altisource’s offering of certain services to us in connection with our business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for an initial term of eight years, subject to renewal, with pricing terms intended to reflect market rates. Services provided to us under this agreement include residential property valuation, residential property preservation and inspection services, title services and real estate sales.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9" w:name="page40"/>
    <w:bookmarkEnd w:id="39"/>
    <w:p>
      <w:pPr>
        <w:ind w:left="1160" w:right="100" w:hanging="693"/>
        <w:spacing w:after="0" w:line="259"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Technology Products Services Agreement. </w:t>
      </w:r>
      <w:r>
        <w:rPr>
          <w:rFonts w:ascii="Arial" w:cs="Arial" w:eastAsia="Arial" w:hAnsi="Arial"/>
          <w:sz w:val="18"/>
          <w:szCs w:val="18"/>
          <w:color w:val="auto"/>
        </w:rPr>
        <w:t>This agreement provides for Altisource’s offering of certain technology products and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us in connection with our business, also for an initial term of eight years, subject to renewal, with pricing terms intended to reflect market rates. Technology products provided to us under this agreement include the REAL suite of applications that support our Servicing business.</w:t>
      </w:r>
    </w:p>
    <w:p>
      <w:pPr>
        <w:spacing w:after="0" w:line="186" w:lineRule="exact"/>
        <w:rPr>
          <w:rFonts w:ascii="Arial" w:cs="Arial" w:eastAsia="Arial" w:hAnsi="Arial"/>
          <w:sz w:val="18"/>
          <w:szCs w:val="18"/>
          <w:color w:val="auto"/>
        </w:rPr>
      </w:pPr>
    </w:p>
    <w:p>
      <w:pPr>
        <w:ind w:left="1160" w:hanging="693"/>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Agreement. </w:t>
      </w:r>
      <w:r>
        <w:rPr>
          <w:rFonts w:ascii="Arial" w:cs="Arial" w:eastAsia="Arial" w:hAnsi="Arial"/>
          <w:sz w:val="18"/>
          <w:szCs w:val="18"/>
          <w:color w:val="auto"/>
        </w:rPr>
        <w:t>This agreement provides for the transfer of intellectual property assets to Altisource.</w:t>
      </w:r>
    </w:p>
    <w:p>
      <w:pPr>
        <w:spacing w:after="0" w:line="225" w:lineRule="exact"/>
        <w:rPr>
          <w:rFonts w:ascii="Arial" w:cs="Arial" w:eastAsia="Arial" w:hAnsi="Arial"/>
          <w:sz w:val="18"/>
          <w:szCs w:val="18"/>
          <w:color w:val="auto"/>
        </w:rPr>
      </w:pPr>
    </w:p>
    <w:p>
      <w:pPr>
        <w:ind w:left="1160" w:right="100" w:hanging="693"/>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Data Center and Disaster Recovery Services Agreement. </w:t>
      </w:r>
      <w:r>
        <w:rPr>
          <w:rFonts w:ascii="Arial" w:cs="Arial" w:eastAsia="Arial" w:hAnsi="Arial"/>
          <w:sz w:val="18"/>
          <w:szCs w:val="18"/>
          <w:color w:val="auto"/>
        </w:rPr>
        <w:t>This agreement provides for Altisource’s offering of certain data center and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services in connection with our business.</w:t>
      </w:r>
    </w:p>
    <w:p>
      <w:pPr>
        <w:spacing w:after="0" w:line="170"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business is currently dependent on many of the services and products provided under these long-term contracts which are effective for up to eight years with renewal rights. Certain services provided by Altisource under these contracts are charged to the borrower and/or loan investor. Accordingly, such services, while derived from our loan servicing portfolio, are not presented as expenses to Ocwen.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7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For the three and nine months ended September 30, 2010, we generated revenues of $2,587 and $9,622, respectively, under our agreements with Altisource, principally from fees for providing referral services to Altisource. We also incurred expenses of $4,973 and $14,555 for the three and nine months ended September 30, 2010, respectively, principally for technology products and support services including the REAL suite of products that support our Servicing business. For both the three- and nine-month periods ended September 30, 2009, we generated $983 of revenues and incurred $2,384 of expenses under our agreements with Altisource. At September 30, 2010, the net payable to Altisource was $1,702.</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25</w:t>
      </w:r>
      <w:r>
        <w:rPr>
          <w:sz w:val="20"/>
          <w:szCs w:val="20"/>
          <w:color w:val="auto"/>
        </w:rPr>
        <w:tab/>
      </w: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pacing w:after="0" w:line="18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Since April 2004, we have been included as a defendant in litigation in federal court in Chicago which consolidated certain class actions and individual actions brought by borrowers in various federal and state courts challenging the defendants’ mortgage servicing practices, including charging improper or unnecessary fees, misapplying borrower payments and similar allegations (the MDL Proceeding). No class has been certified in the MDL Proceeding or any related lawsuits. We believe the allegations in the MDL Proceeding are without merit and have defended against them vigorously. In the interests of obtaining finality and cost certainty with regard to this complex and protracted litigated matter, however, defendants, including Ocwen, have reached an agreement in principle with plaintiffs’ counsel with respect to a class settle ment. Ocwen’s portion of the proposed settlement would be $5,163 plus certain other non-cash consideration. The parties are in the process of finalizing and executing definitive written settlement documents to be submitted for court approval. If a final settlement is not reached and approved by the court, we will continue to vigorously defend the MDL Proceeding.</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November 2004, a judgment was entered in litigation in federal court in Denver brought by Cartel Asset Management, Inc. (Cartel) against OCN, the Bank and Ocwen Technology Xchange, Inc. (OTX), a subsidiary that has been dissolved. This matter involved allegations of misappropriation of trade secrets and contract-related claims brought by a former vendor. In September 2007, the United States Court of Appeals for the Tenth Circuit upheld the judgment against OTX and remanded the case for a retrial on damages against the Bank. The trial court set a date of September 13, 2010 for the retrial against the Bank, as well as OLS and OCN which were added as defendants. At the retrial, Cartel requested the jury to award it $35,000 in compensatory damages, plus punitive damages. On September 24, 2010, the jury returned a verdict in the amount of $6,360 in compensatory damages and $6,360 in punitive damages. The verdict does not include prejudgment interest or plaintiff’s legal fees which may also be payable by Ocwen. Ocwen is evaluating post-verdict legal remedies in connection with the matter. Ocwen has accrued its best estimate of the total expected liability related to this judgment. This liability is included in Other liabilities on the Consolidated Balance Sheet.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0" w:name="page41"/>
    <w:bookmarkEnd w:id="40"/>
    <w:p>
      <w:pPr>
        <w:ind w:right="40" w:firstLine="324"/>
        <w:spacing w:after="0" w:line="270" w:lineRule="auto"/>
        <w:rPr>
          <w:sz w:val="20"/>
          <w:szCs w:val="20"/>
          <w:color w:val="auto"/>
        </w:rPr>
      </w:pPr>
      <w:r>
        <w:rPr>
          <w:rFonts w:ascii="Arial" w:cs="Arial" w:eastAsia="Arial" w:hAnsi="Arial"/>
          <w:sz w:val="17"/>
          <w:szCs w:val="17"/>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The Trustee filed an amended complaint in March 2007 alleging various claims against OLS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 l defendants. In April 2008, OLS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OLS are without merit and intend to continue to vigorously defend against this matter.</w:t>
      </w:r>
    </w:p>
    <w:p>
      <w:pPr>
        <w:spacing w:after="0" w:line="18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OCN is subject to various other pending legal proceedings. In our opinion, the resolution of those proceedings will not have a material effect on our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December 28, 2006, the India tax authorities issued an income tax assessment order (the Order) with respect to IT Enabled services performed for OCN by its wholly-owned Indian subsidiary, OFSPL. The Order relates to the assessment year 2004-05 and indicated that the percent mark-up on operating costs with respect to the IT enabled and software development services that OFSPL provided to OCN was insufficient. On December 15, 2008, the India tax authorities issued an additional income tax assessment order (the Second Order) with respect to assessment year 2005-06. The assessment was made on the same grounds of insufficient mark-up on operating costs with respect to services provided by OFSPL to OCN. OCN had petitioned for assistance to be provided by Competent Authority under the Mutual Agreement Procedures pursuant to the U.S./India in come tax treaty. In May 2010, this process yielded an agreement in this matter between the Competent Authorities of India and the U.S. for assessment years 2004-2005 and 2005-2006. The adjustment for assessment year 2004-05 resulted in additional tax and interest of $522 and adjustment for assessment year 2005-06 resulted in additional tax and interest of $340. OFSPL accepted the adjustments pursuant to the Competent Authority agreement. OFSPL also contested the Order on other grounds. The final Order issued September 28, 2010 grants a refund/relief of $75 which reduces the additional tax and interest liability for assessment year 2004-05 from $522 to $447. The Mutual Agreement provides for correlative adjustments to U.S. taxes. As such, it is anticipated that OCN will not suffer double taxation for the additional India charges under the settlement.</w:t>
      </w:r>
    </w:p>
    <w:p>
      <w:pPr>
        <w:spacing w:after="0" w:line="180"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On December 21, 2009, the India tax authorities issued a draft income tax assessment order (the Third Order) with respect to assessment year 2006-07. The proposed adjustment would impose upon OFSPL additional tax of INR 41,760 ($930) and interest of INR 18,297 ($407) for the Assessment Year 2006-</w:t>
      </w:r>
    </w:p>
    <w:p>
      <w:pPr>
        <w:ind w:firstLine="8"/>
        <w:spacing w:after="0" w:line="287" w:lineRule="auto"/>
        <w:tabs>
          <w:tab w:leader="none" w:pos="27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accordance with standard Indian procedures, penalties may also be assessed in the future in connection with the assessment. OCN and OFSPL intend to vigorously contest this Order and any imposition of tax and interest and do not believe they have violated any statutory provision or rule. OFSPL has filed an application with the Dispute Resolution Panel for the Third Order. OFSPL received the Order from the Dispute Resolution Panel in the third quarter. The Dispute Resolution Panel has directed the Assessing officers to recompute the tax liab ility and issue an Order based on its findings. Upon receipt of such Order, OFSPL would consider pursuing all other options including, but not limited to, Competent Authority to contest any additional tax assessed. Due to the uncertainties inherent in the Appeals and Competent Authority processes, OCN and OFSPL cannot currently estimate any additional exposure beyond the amount currently detailed in the Orders. We also cannot predict when these tax matters will be resolved. Such Competent Authority assistance requests under the Mutual Agreement Procedures should preserve OCN’s right to offset any potential increase in India taxes against OCN’s U.S.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July 2010, OLS received two subpoenas from the Federal Housing Finance Agency (FHFA) as conservator for Freddie Mac and Fannie Mae in connection with ten private label mortgage securitization transactions where Freddie Mac has invested. The transactions include mortgage loans serviced but not originated by OLS or its affiliates. Ocwen Loan Servicing is cooperating with the FHFA’s requests.</w:t>
      </w:r>
    </w:p>
    <w:p>
      <w:pPr>
        <w:spacing w:after="0" w:line="18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Recent inquiries into servicer foreclosure processes could result in actions by State or Federal governmental bodies, regulators or the courts that could result in temporary moratoria on mortgage foreclosures or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 verage effective advance rate. In addition, governmental bodies may impose regulatory fines or penalties as a result of our foreclosure processes or impose additional requirements or restrictions on such activities which could increase our operating expenses. Increases in the amount of advances and the length of time to recover advances, fines or increases in operating expenses, and decreases in the advance rate and availability of financing for advances would lead increased borrowings, reduced cash and higher interest expense which could negatively impact our liquidity and profitability.</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1" w:name="page42"/>
    <w:bookmarkEnd w:id="41"/>
    <w:p>
      <w:pPr>
        <w:ind w:firstLine="324"/>
        <w:spacing w:after="0" w:line="259" w:lineRule="auto"/>
        <w:rPr>
          <w:sz w:val="20"/>
          <w:szCs w:val="20"/>
          <w:color w:val="auto"/>
        </w:rPr>
      </w:pPr>
      <w:r>
        <w:rPr>
          <w:rFonts w:ascii="Arial" w:cs="Arial" w:eastAsia="Arial" w:hAnsi="Arial"/>
          <w:sz w:val="18"/>
          <w:szCs w:val="18"/>
          <w:color w:val="auto"/>
        </w:rPr>
        <w:t>Ocwen has been a party to loan sales and securitizations dating back to the 1990s. There is one securitization with an original UPB of $200 million where Ocwen could be subject to putback risk. This is the only securitization containing loans originated in the past decade were Ocwen provided representations and warranties. We are unable to estimate the likelihood that the foreclosure process inquiry or possibility of loan putbacks will have a measurable financial impact on Ocwen or to quantify any potential financial impact at this time.</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26</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Effective October 1, 2010, Ocwen and the other stockholders of BMS Holdings no longer own any interest in BMS. The stock of BMS was transferred to debt holders as part of a restructuring plan. Ocwen no longer has a business relationship with BMS or its affiliates. Following the restructuring, BMS Holdings has no assets or operations. BMS Holdings had acquired BMS on July 31, 2006. Since the second quarter of 2008, we have carried our investment in BMS Holdings at zero and have not recognized any income or losses. On October 15, 2010, BMS Holdings changed its name to BHI Liquidation, Inc.</w:t>
      </w:r>
    </w:p>
    <w:p>
      <w:pPr>
        <w:spacing w:after="0" w:line="154"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In October 2010, we entered into agreements to sell our 1% general partnership interests in three affordable housing properties. The closing of these sales is subject to due diligence and approval by the respective state housing finance agency.</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carrying value of our investment in these properties is zero. Should these transactions close in 2010, the estimated gain is approximately $5,000 based on the preliminary sales prices.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2" w:name="page43"/>
    <w:bookmarkEnd w:id="42"/>
    <w:p>
      <w:pPr>
        <w:ind w:left="1380" w:right="4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 and Unless Otherwise Indicated)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Unless specifically stated otherwise, all references to September 2010 and September 2009 refer to the three and nine-month periods ended, or to the dates, as the context requires, September 30, 2010 and September 30, 2009, respectively.</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following discussion of our results of operations, change in financial condition and liquidity should be read in conjunction with our Interim Consolidated Financial Statements and the related notes, all included elsewhere in this report on Form 10-Q and with our Annual Report on Form 10-K for the year ended December 31,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strategic priorities for 2010 and beyond are to:</w:t>
      </w:r>
    </w:p>
    <w:p>
      <w:pPr>
        <w:spacing w:after="0" w:line="225" w:lineRule="exact"/>
        <w:rPr>
          <w:sz w:val="20"/>
          <w:szCs w:val="20"/>
          <w:color w:val="auto"/>
        </w:rPr>
      </w:pPr>
    </w:p>
    <w:p>
      <w:pPr>
        <w:ind w:left="1160" w:hanging="693"/>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predictable and sustainable revenue growth in our servicing operations</w:t>
      </w:r>
    </w:p>
    <w:p>
      <w:pPr>
        <w:spacing w:after="0" w:line="23" w:lineRule="exact"/>
        <w:rPr>
          <w:rFonts w:ascii="Arial" w:cs="Arial" w:eastAsia="Arial" w:hAnsi="Arial"/>
          <w:sz w:val="18"/>
          <w:szCs w:val="18"/>
          <w:color w:val="auto"/>
        </w:rPr>
      </w:pPr>
    </w:p>
    <w:p>
      <w:pPr>
        <w:ind w:left="1160" w:hanging="693"/>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Improve process efficiencies to continuously reduce cost</w:t>
      </w:r>
    </w:p>
    <w:p>
      <w:pPr>
        <w:spacing w:after="0" w:line="9" w:lineRule="exact"/>
        <w:rPr>
          <w:rFonts w:ascii="Arial" w:cs="Arial" w:eastAsia="Arial" w:hAnsi="Arial"/>
          <w:sz w:val="18"/>
          <w:szCs w:val="18"/>
          <w:color w:val="auto"/>
        </w:rPr>
      </w:pPr>
    </w:p>
    <w:p>
      <w:pPr>
        <w:ind w:left="1160" w:hanging="693"/>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Improve servicing quality and customer service</w:t>
      </w:r>
    </w:p>
    <w:p>
      <w:pPr>
        <w:spacing w:after="0" w:line="9" w:lineRule="exact"/>
        <w:rPr>
          <w:rFonts w:ascii="Arial" w:cs="Arial" w:eastAsia="Arial" w:hAnsi="Arial"/>
          <w:sz w:val="18"/>
          <w:szCs w:val="18"/>
          <w:color w:val="auto"/>
        </w:rPr>
      </w:pPr>
    </w:p>
    <w:p>
      <w:pPr>
        <w:ind w:left="1160" w:hanging="693"/>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asset intensity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strategic priorities support our long-term goals for return on equity and earnings per share growth.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sustainable revenue growth, we have a three-pronged approach:</w:t>
      </w:r>
    </w:p>
    <w:p>
      <w:pPr>
        <w:spacing w:after="0" w:line="225" w:lineRule="exact"/>
        <w:rPr>
          <w:sz w:val="20"/>
          <w:szCs w:val="20"/>
          <w:color w:val="auto"/>
        </w:rPr>
      </w:pPr>
    </w:p>
    <w:p>
      <w:pPr>
        <w:ind w:left="1160" w:right="60" w:hanging="693"/>
        <w:spacing w:after="0" w:line="256"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Existing Servicing Platforms. Ocwen is continuing to search for additional seasoned non-prime servicing portfolios and is pursuing such opportunities where it believes the return is attractive for our stockholders and where we have confidence in our ability to fund or finance such acquisitions.</w:t>
      </w:r>
    </w:p>
    <w:p>
      <w:pPr>
        <w:ind w:left="1160" w:right="20" w:hanging="693"/>
        <w:spacing w:after="0" w:line="250"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Special Servicing Opportunities. We continue to pursue opportunities with government-sponsored entities to grow our special servicing portfolio. Additionally, investor groups have recently initiated discussions regarding transferring servicing portfolios to us in order to improve returns on the related bonds.</w:t>
      </w:r>
    </w:p>
    <w:p>
      <w:pPr>
        <w:spacing w:after="0" w:line="1" w:lineRule="exact"/>
        <w:rPr>
          <w:rFonts w:ascii="Arial" w:cs="Arial" w:eastAsia="Arial" w:hAnsi="Arial"/>
          <w:sz w:val="18"/>
          <w:szCs w:val="18"/>
          <w:color w:val="auto"/>
        </w:rPr>
      </w:pPr>
    </w:p>
    <w:p>
      <w:pPr>
        <w:ind w:left="1160" w:right="320" w:hanging="693"/>
        <w:spacing w:after="0" w:line="261"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Flow Servicing. Our longer term goal is to develop a consistent and sustainable flow of newly originated Federal Housing Administration (FHA) servicing at attractive returns.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latter three 2010 strategic priorities:</w:t>
      </w:r>
    </w:p>
    <w:p>
      <w:pPr>
        <w:spacing w:after="0" w:line="225" w:lineRule="exact"/>
        <w:rPr>
          <w:sz w:val="20"/>
          <w:szCs w:val="20"/>
          <w:color w:val="auto"/>
        </w:rPr>
      </w:pPr>
    </w:p>
    <w:p>
      <w:pPr>
        <w:ind w:left="1160" w:hanging="693"/>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improve process efficiencies to reduce cost;</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improve servicing quality and customer service; and</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asset intensity;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are interrelated, reflecting our belief that continual process improvement leads to higher quality, lower cost (both operational and financial) and higher income per dollar of UPB.</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operating metric to accomplish these priorities is the reduction in non-performing loans which:</w:t>
      </w:r>
    </w:p>
    <w:p>
      <w:pPr>
        <w:spacing w:after="0" w:line="225" w:lineRule="exact"/>
        <w:rPr>
          <w:sz w:val="20"/>
          <w:szCs w:val="20"/>
          <w:color w:val="auto"/>
        </w:rPr>
      </w:pPr>
    </w:p>
    <w:p>
      <w:pPr>
        <w:ind w:left="1160" w:right="100" w:hanging="693"/>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When a delinquent loan becomes current, this prompts (i) the recovery and recognition of deferred servicing fees, (ii) HAMP fees in the case of a HAMP modification and (iii) late fees in the case of a non-HAMP modification.</w:t>
      </w:r>
    </w:p>
    <w:p>
      <w:pPr>
        <w:spacing w:after="0" w:line="170" w:lineRule="exact"/>
        <w:rPr>
          <w:rFonts w:ascii="Arial" w:cs="Arial" w:eastAsia="Arial" w:hAnsi="Arial"/>
          <w:sz w:val="18"/>
          <w:szCs w:val="18"/>
          <w:color w:val="auto"/>
        </w:rPr>
      </w:pPr>
    </w:p>
    <w:p>
      <w:pPr>
        <w:ind w:left="1160" w:hanging="693"/>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advances and, hence, asset intensity and interest expense freeing up equity for additional acquisitions.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operating expenses because non-performing loans are more costly to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our revenue initiatives through the third quarter of 2010 include the following:</w:t>
      </w:r>
    </w:p>
    <w:p>
      <w:pPr>
        <w:spacing w:after="0" w:line="225" w:lineRule="exact"/>
        <w:rPr>
          <w:sz w:val="20"/>
          <w:szCs w:val="20"/>
          <w:color w:val="auto"/>
        </w:rPr>
      </w:pPr>
    </w:p>
    <w:p>
      <w:pPr>
        <w:ind w:left="1160" w:right="20" w:hanging="693"/>
        <w:spacing w:after="0" w:line="264"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March 29, 2010, we entered into a Servicing Rights Purchase and Sale Agreement under which we agreed to purchase the rights to service approximately 38,000 mortgage loans with an aggregate unpaid principal balance (UPB) of approximately $6.9 billion. This acquisition was completed on May 3, 2010.</w:t>
      </w:r>
    </w:p>
    <w:p>
      <w:pPr>
        <w:spacing w:after="0" w:line="181" w:lineRule="exact"/>
        <w:rPr>
          <w:rFonts w:ascii="Arial" w:cs="Arial" w:eastAsia="Arial" w:hAnsi="Arial"/>
          <w:sz w:val="18"/>
          <w:szCs w:val="18"/>
          <w:color w:val="auto"/>
        </w:rPr>
      </w:pPr>
    </w:p>
    <w:p>
      <w:pPr>
        <w:ind w:left="1160" w:right="120" w:hanging="693"/>
        <w:spacing w:after="0" w:line="25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May 28, 2010, we entered into an Asset Purchase Agreement pursuant to which OLS agreed to acquire the U.S. non-prime mortgage servicing business known as “HomEq Servicing” from Barclays Bank PLC and Barclays Capital Real Estate Inc. This acquisition closed on September 1, 2010 and 134,000 residential loans with an unpaid principal balance of $22.4 billion were boarded onto Ocwen’s platform increasing the size of Ocwen’s Servicing business to $76.7 billion in UPB on the closing date. See Note 3 for additional details regarding the HomEq Servicing acquisition.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734" w:gutter="0" w:footer="0" w:header="0"/>
        </w:sectPr>
      </w:pPr>
    </w:p>
    <w:bookmarkStart w:id="43" w:name="page44"/>
    <w:bookmarkEnd w:id="43"/>
    <w:p>
      <w:pPr>
        <w:ind w:firstLine="324"/>
        <w:spacing w:after="0" w:line="270" w:lineRule="auto"/>
        <w:rPr>
          <w:sz w:val="20"/>
          <w:szCs w:val="20"/>
          <w:color w:val="auto"/>
        </w:rPr>
      </w:pPr>
      <w:r>
        <w:rPr>
          <w:rFonts w:ascii="Arial" w:cs="Arial" w:eastAsia="Arial" w:hAnsi="Arial"/>
          <w:sz w:val="17"/>
          <w:szCs w:val="17"/>
          <w:color w:val="auto"/>
        </w:rPr>
        <w:t>Recent actions by certain RMBS investor groups brings the prospect of greater investor involvement in loan servicing and the possibility that investors will seek to transfer servicing on some seasoned non-agency securitized loan portfolios in order to improve returns. This development represents a potential threat to and an opportunity for all servicers. Certain investors with whom Ocwen has discussed servicing opportunities have cited Ocwen’s consistently high ranking in third party servicing effectiveness studies. If servicing were to be transferred away from Ocwen on PSAs that have exceeded maximum loss limits in the contract, there is a possibility that Ocwen would not be compensated for the value of the servicing lost, and this would cause an impairment of the MSR asset. In addition to the possibility that pools of servicing w ould transfer between servicers, there is also the possibility that the servicing of certain loans may transfer as a result of loan putbacks. Our view is that delinquent loans are the most likely loans to be put back to the originator. Although putbacks could reduce revenue, the effect on profitability could be positive because delinquent loans require advances and cost more to service. While putbacks have the potential to reduce UPB and affect MSR valuations, it is not clear whether the change in value would be adverse or that the change in the MSR value, even if adverse, would result in any impairment.</w:t>
      </w:r>
    </w:p>
    <w:p>
      <w:pPr>
        <w:spacing w:after="0" w:line="17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Recent inquiries into servicer foreclosure processes bring the possibility of action by State or Federal government bodies, regulators or courts that could have an adverse effect on the average foreclosure timeline and increase asset intensity. The average number of days that properties remained in foreclosure has extended by 29 days through the third quarter of 2010 as compared to 2009 and may extend further. Despite this timeline extension, the 90+ non-performing delinquency rate on the Ocwen portfolio, excluding servicing acquired in 2010, has decreased from 18.8% at the end of 2009 to 18.3% at September 30, 2010. This improvement occurred despite the extension of foreclosure timelines because of fewer loans entering delinquency and because of other operational improvements initiated by management. It is not possible to predict the fi nancial impact of changes in foreclosure processes, but if the extension of timelines causes delinquency rates to rise, this could lead to a delay in revenue recognition and collections, an increase in operating expenses and an increase in the advance ratio. Such changes would lead to increased borrowings, reduced cash and higher interest expense.</w:t>
      </w:r>
    </w:p>
    <w:p>
      <w:pPr>
        <w:spacing w:after="0" w:line="16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Ocwen has been a party to loan sales and securitizations dating back to the 1990s. The majority of securities issued in these transactions have been retired and are not subject to putback risk. There is one remaining deal with an original UPB of approximately $200 million where Ocwen provided reps and warranties and the loans were originated in the last decade. Ocwen performed due diligence on each of the loans included in this securitization. Ocwen is not aware of any inquiries or claims regarding loan putbacks for any transaction where we made representations and warranties.</w:t>
      </w:r>
    </w:p>
    <w:p>
      <w:pPr>
        <w:spacing w:after="0" w:line="15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Therefore, taking into consideration the possible effects of recent events the key drivers of our profitability are growth in our Servicing portfolio, our ability to reduce non-performing loans (including effective management of the foreclosure process) and becoming the servicer of choice for RMBS investors seeking improved bond performance through higher quality servicing.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business segments are:</w:t>
      </w:r>
    </w:p>
    <w:p>
      <w:pPr>
        <w:spacing w:after="0" w:line="225" w:lineRule="exact"/>
        <w:rPr>
          <w:sz w:val="20"/>
          <w:szCs w:val="20"/>
          <w:color w:val="auto"/>
        </w:rPr>
      </w:pPr>
    </w:p>
    <w:p>
      <w:pPr>
        <w:ind w:left="1380" w:hanging="562"/>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Servicing</w:t>
      </w:r>
    </w:p>
    <w:p>
      <w:pPr>
        <w:spacing w:after="0" w:line="23" w:lineRule="exact"/>
        <w:rPr>
          <w:rFonts w:ascii="Arial" w:cs="Arial" w:eastAsia="Arial" w:hAnsi="Arial"/>
          <w:sz w:val="18"/>
          <w:szCs w:val="18"/>
          <w:color w:val="auto"/>
        </w:rPr>
      </w:pPr>
    </w:p>
    <w:p>
      <w:pPr>
        <w:ind w:left="1380" w:hanging="562"/>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Loans and Residuals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Asset Management Vehicles (AMV)</w:t>
      </w:r>
    </w:p>
    <w:p>
      <w:pPr>
        <w:spacing w:after="0" w:line="2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addition to our core residential servicing business, Ocwen Asset Management (OAM) includes our equity investments in asset management vehicles and our remaining investments in subprime loans and residual securities.</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Prior to August 10, 2009, Ocwen Solutions (OS) included our former unsecured collections business, our former residential fee-based loan processing businesses, our former technology platforms, our equity investment in BMS Holdings and the results of our international commercial loan servicing business conducted through GSS. With the exception of our interests in GSS and BMS Holdings, which have minimal or no book value, we distributed the assets, liabilities and operations of the OS line of business in the Separation.</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Operations—Segment Results and Financial Condition and Note 23 to the Interim Consolidated Financial Statements for additional financial information regarding each of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HomEq Acquisition on September 1, 2010, separation of Altisource from Ocwen on August 10, 2009 and a recent legal judgment have significantly impacted our consolidated operating results. The operating results of the HomEq Servicing business are included in the Servicing segment since September 1, 2010. As a result of the Separation, Ocwen ceased, beginning on August 10, 2009, to record operating results from Mortgage Services, Financial Services and Technology Products segments.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4" w:name="page45"/>
    <w:bookmarkEnd w:id="44"/>
    <w:p>
      <w:pPr>
        <w:ind w:firstLine="324"/>
        <w:spacing w:after="0" w:line="290" w:lineRule="auto"/>
        <w:rPr>
          <w:sz w:val="20"/>
          <w:szCs w:val="20"/>
          <w:color w:val="auto"/>
        </w:rPr>
      </w:pPr>
      <w:r>
        <w:rPr>
          <w:rFonts w:ascii="Arial" w:cs="Arial" w:eastAsia="Arial" w:hAnsi="Arial"/>
          <w:sz w:val="16"/>
          <w:szCs w:val="16"/>
          <w:b w:val="1"/>
          <w:bCs w:val="1"/>
          <w:color w:val="auto"/>
        </w:rPr>
        <w:t xml:space="preserve">Three Months Ended September 2010 versus September 2009. </w:t>
      </w:r>
      <w:r>
        <w:rPr>
          <w:rFonts w:ascii="Arial" w:cs="Arial" w:eastAsia="Arial" w:hAnsi="Arial"/>
          <w:sz w:val="16"/>
          <w:szCs w:val="16"/>
          <w:color w:val="auto"/>
        </w:rPr>
        <w:t>We reported a net loss attributable to OCN of $8,835, or $0.09 per share, in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2010 as compared to a net loss of $42,031, or $0.51 per share, for the third quarter of 2009. The loss in the third quarter of 2010 is attributable to one-time expenses including $33,902 in transaction related charges for the HomEq acquisition and $20,096 in charges for litigation primarily related to the Cartel judgment. The most significant item contributing to the reduction in the net loss between the third quarter of 2009 and the third quarter of 2010 is the absence of $56,500 in one-time income tax expense recognized in the third quarter of 2009, most in connection with the separation of Altisource (f/k/a Ocwen Solutions). Ad ditional normalizing items include an unrealized loss of $2,976 on Auction rate securities in the third quarter of 2010 compared to $7,314 of unrealized gains in the third quarter of 2009 and the absence of $3,257 in contribution from the former OS segment in the third quarter of 2009. The majority of the remaining favorable variance is attributable to an increase in the size of Ocwen’s Servicing segment where the total unpaid principal balance increased from $40.3 billion in the third quarter of 2009 to $76.1 billion in the third quarter of 2010, or 89%, and to lower servicing cost per loan.</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Third quarter 2010 pre-tax income from continuing operations was affected by:</w:t>
      </w:r>
    </w:p>
    <w:p>
      <w:pPr>
        <w:spacing w:after="0" w:line="225" w:lineRule="exact"/>
        <w:rPr>
          <w:sz w:val="20"/>
          <w:szCs w:val="20"/>
          <w:color w:val="auto"/>
        </w:rPr>
      </w:pPr>
    </w:p>
    <w:p>
      <w:pPr>
        <w:ind w:left="1160" w:right="380" w:hanging="693"/>
        <w:spacing w:after="0" w:line="291" w:lineRule="auto"/>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One-time transaction related expenses associated with the HomEq servicing acquisition of $33,902 including severance and WARN Act compensation of $30,345, technology contract exit costs of $2,249, other professional fees of $245 and various other expenses of $1,100.</w:t>
      </w:r>
    </w:p>
    <w:p>
      <w:pPr>
        <w:ind w:left="1160" w:hanging="693"/>
        <w:spacing w:after="0"/>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$20,096 in litigation related charges, primarily related to a judgment against Ocwen in the Cartel case of $12,720 including punitive damages.</w:t>
      </w:r>
    </w:p>
    <w:p>
      <w:pPr>
        <w:spacing w:after="0" w:line="32" w:lineRule="exact"/>
        <w:rPr>
          <w:rFonts w:ascii="Arial" w:cs="Arial" w:eastAsia="Arial" w:hAnsi="Arial"/>
          <w:sz w:val="16"/>
          <w:szCs w:val="16"/>
          <w:color w:val="auto"/>
        </w:rPr>
      </w:pPr>
    </w:p>
    <w:p>
      <w:pPr>
        <w:ind w:left="1160" w:hanging="693"/>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non-cash reduction in the fair market value of Auction rate securities of $2,976.</w:t>
      </w:r>
    </w:p>
    <w:p>
      <w:pPr>
        <w:spacing w:after="0" w:line="9" w:lineRule="exact"/>
        <w:rPr>
          <w:rFonts w:ascii="Arial" w:cs="Arial" w:eastAsia="Arial" w:hAnsi="Arial"/>
          <w:sz w:val="18"/>
          <w:szCs w:val="18"/>
          <w:color w:val="auto"/>
        </w:rPr>
      </w:pPr>
    </w:p>
    <w:p>
      <w:pPr>
        <w:ind w:left="1160" w:hanging="693"/>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and amortization of loan expense for the $350,000 term loan which closed in the second quarter of 2010 of $6,337.</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Income from discontinued operations, net of tax, of $4,383 is related to a true-up of Ocwen’s tax expense on the sale of Bankhaus Oswald Kruber GmbH &amp; Co. which took place in the fourth quarter of 2009.</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comparison to the third quarter of 2009, Servicing revenue was 51% higher, and the unpaid principal balance serviced increased from $40.3 billion at September 30, 2009 to $76.1 billion at September 30, 2010. Operating expenses of the Servicing segment increased by 118% primarily due to $33,902 of expenses related to the HomEq acquisition. Pre-tax income for Servicing of $5,428 was 69% lower than in the same quarter last year, however, after adjusting for one-time charges, income was 121%, or $21,649, higher due to the growth and unit cost reductions.</w:t>
      </w:r>
    </w:p>
    <w:p>
      <w:pPr>
        <w:spacing w:after="0" w:line="171"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Loans and Residuals benefited from a decrease in unrealized losses due to slower declines in the estimated fair value of loans and real estate. The Asset Management Vehicles segment improved principally because of positive earnings on our investments in asset management vehicles.</w:t>
      </w:r>
    </w:p>
    <w:p>
      <w:pPr>
        <w:spacing w:after="0" w:line="143" w:lineRule="exact"/>
        <w:rPr>
          <w:sz w:val="20"/>
          <w:szCs w:val="20"/>
          <w:color w:val="auto"/>
        </w:rPr>
      </w:pPr>
    </w:p>
    <w:p>
      <w:pPr>
        <w:ind w:right="40" w:firstLine="324"/>
        <w:spacing w:after="0" w:line="295" w:lineRule="auto"/>
        <w:rPr>
          <w:sz w:val="20"/>
          <w:szCs w:val="20"/>
          <w:color w:val="auto"/>
        </w:rPr>
      </w:pPr>
      <w:r>
        <w:rPr>
          <w:rFonts w:ascii="Arial" w:cs="Arial" w:eastAsia="Arial" w:hAnsi="Arial"/>
          <w:sz w:val="16"/>
          <w:szCs w:val="16"/>
          <w:b w:val="1"/>
          <w:bCs w:val="1"/>
          <w:color w:val="auto"/>
        </w:rPr>
        <w:t xml:space="preserve">Nine months Ended September 2010 versus September 2009. </w:t>
      </w:r>
      <w:r>
        <w:rPr>
          <w:rFonts w:ascii="Arial" w:cs="Arial" w:eastAsia="Arial" w:hAnsi="Arial"/>
          <w:sz w:val="16"/>
          <w:szCs w:val="16"/>
          <w:color w:val="auto"/>
        </w:rPr>
        <w:t>We generated net income attributable to OCN of $28,063, or $0.27 diluted earnings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for the nine months ended September 2010 compared to a net loss of $9,092, or $0.13 diluted earnings per share for the nine months ended September 2009. Income from continuing operations before income taxes was $23,995 as compared to $73,067 for the nine months ended September 2010 and 2009, respectively. The provision for income taxes was reduced by the affect of the reversal of $8,348 of reserves related to income tax receivables. The net loss for the 2009 period includes the $50,631 income tax effect of the Altisource separation recognized in the third quarter. Discontinued operations for 2010 includes the $4,383 income tax benefit r ecorded in the third quarter related to additional tax losses on our former investment in BOK.</w:t>
      </w:r>
    </w:p>
    <w:p>
      <w:pPr>
        <w:spacing w:after="0" w:line="160"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Our operating results for the nine months ended September 2010 benefited from higher fees from modifications and the effects of $31.9 billion of UPB additions to the Servicing portfolio in the first nine months of 2010, including $22.4 billion on September 1, 2010 related to the HomEq Acquisition. These benefits were offset by the spinoff of the former OS segments to Altisource, which generated Income from continuing operations before income taxes of $21,536 for the portion of the nine months ended September 30, 2009 for which Ocwen Solutions is included in our results, litigation expense of $25,259 incurred primarily in connection with the Cartel verdict and the proposed settlement of the MDL Proceeding, $36,652 of expenses related to the HomEq Acquisition and the $3,000 write-off of a commercial real estate investment. In addition, los ses on auction rate securities were $3,899 for the first nine months of 2010 as compared to gains of $13,298 for the same period of 2009.</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5" w:name="page46"/>
    <w:bookmarkEnd w:id="45"/>
    <w:p>
      <w:pPr>
        <w:ind w:right="58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periods ended September 30, 2010 and 2009. We have provided a more complete discussion of operating results by line of business in the Segment Results and Financial Condition section.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7"/>
              </w:rPr>
              <w:t>Three months</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w w:val="95"/>
              </w:rPr>
              <w:t>Nine months</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Revenue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95,569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84,211</w:t>
            </w:r>
          </w:p>
        </w:tc>
        <w:tc>
          <w:tcPr>
            <w:tcW w:w="3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247,108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307,980</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Operating expenses (2)</w:t>
            </w:r>
          </w:p>
        </w:tc>
        <w:tc>
          <w:tcPr>
            <w:tcW w:w="220" w:type="dxa"/>
            <w:vAlign w:val="bottom"/>
            <w:tcBorders>
              <w:bottom w:val="single" w:sz="8" w:color="auto"/>
            </w:tcBorders>
            <w:shd w:val="clear" w:color="auto" w:fill="EAF9E8"/>
          </w:tcPr>
          <w:p>
            <w:pPr>
              <w:spacing w:after="0"/>
              <w:rPr>
                <w:sz w:val="19"/>
                <w:szCs w:val="19"/>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93,374</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auto"/>
            </w:tcBorders>
            <w:shd w:val="clear" w:color="auto" w:fill="EAF9E8"/>
          </w:tcPr>
          <w:p>
            <w:pPr>
              <w:spacing w:after="0"/>
              <w:rPr>
                <w:sz w:val="19"/>
                <w:szCs w:val="19"/>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54,232</w:t>
            </w:r>
          </w:p>
        </w:tc>
        <w:tc>
          <w:tcPr>
            <w:tcW w:w="32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jc w:val="right"/>
              <w:ind w:right="252"/>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EAF9E8"/>
            </w:tcBorders>
            <w:shd w:val="clear" w:color="auto" w:fill="EAF9E8"/>
          </w:tcPr>
          <w:p>
            <w:pPr>
              <w:spacing w:after="0"/>
              <w:rPr>
                <w:sz w:val="19"/>
                <w:szCs w:val="19"/>
                <w:color w:val="auto"/>
              </w:rPr>
            </w:pPr>
          </w:p>
        </w:tc>
        <w:tc>
          <w:tcPr>
            <w:tcW w:w="300" w:type="dxa"/>
            <w:vAlign w:val="bottom"/>
            <w:tcBorders>
              <w:bottom w:val="single" w:sz="8" w:color="auto"/>
            </w:tcBorders>
            <w:shd w:val="clear" w:color="auto" w:fill="EAF9E8"/>
          </w:tcPr>
          <w:p>
            <w:pPr>
              <w:spacing w:after="0"/>
              <w:rPr>
                <w:sz w:val="19"/>
                <w:szCs w:val="19"/>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173,209</w:t>
            </w:r>
          </w:p>
        </w:tc>
        <w:tc>
          <w:tcPr>
            <w:tcW w:w="1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tcBorders>
            <w:shd w:val="clear" w:color="auto" w:fill="EAF9E8"/>
          </w:tcPr>
          <w:p>
            <w:pPr>
              <w:spacing w:after="0"/>
              <w:rPr>
                <w:sz w:val="19"/>
                <w:szCs w:val="19"/>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199,148</w:t>
            </w:r>
          </w:p>
        </w:tc>
        <w:tc>
          <w:tcPr>
            <w:tcW w:w="3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shd w:val="clear" w:color="auto" w:fill="EAF9E8"/>
          </w:tcPr>
          <w:p>
            <w:pPr>
              <w:jc w:val="right"/>
              <w:ind w:right="29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29,979</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73,899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108,832</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EAF9E8"/>
          </w:tcPr>
          <w:p>
            <w:pPr>
              <w:spacing w:after="0"/>
              <w:rPr>
                <w:sz w:val="19"/>
                <w:szCs w:val="19"/>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(22,907)</w:t>
            </w:r>
          </w:p>
        </w:tc>
        <w:tc>
          <w:tcPr>
            <w:tcW w:w="1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(6,521)</w:t>
            </w:r>
          </w:p>
        </w:tc>
        <w:tc>
          <w:tcPr>
            <w:tcW w:w="102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(49,904)</w:t>
            </w:r>
          </w:p>
        </w:tc>
        <w:tc>
          <w:tcPr>
            <w:tcW w:w="1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(35,765)</w:t>
            </w:r>
          </w:p>
        </w:tc>
        <w:tc>
          <w:tcPr>
            <w:tcW w:w="112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Borders>
              <w:top w:val="single" w:sz="8" w:color="EAF9E8"/>
            </w:tcBorders>
          </w:tcPr>
          <w:p>
            <w:pPr>
              <w:spacing w:after="0" w:line="201" w:lineRule="exact"/>
              <w:rPr>
                <w:sz w:val="20"/>
                <w:szCs w:val="20"/>
                <w:color w:val="auto"/>
              </w:rPr>
            </w:pPr>
            <w:r>
              <w:rPr>
                <w:rFonts w:ascii="Arial" w:cs="Arial" w:eastAsia="Arial" w:hAnsi="Arial"/>
                <w:sz w:val="18"/>
                <w:szCs w:val="18"/>
                <w:color w:val="auto"/>
              </w:rPr>
              <w:t>Income (loss) from continuing operations</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020" w:type="dxa"/>
            <w:vAlign w:val="bottom"/>
            <w:tcBorders>
              <w:top w:val="single" w:sz="8" w:color="EAF9E8"/>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12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before taxes</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(20,712)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23,458</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23,995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73,067</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EAF9E8"/>
          </w:tcPr>
          <w:p>
            <w:pPr>
              <w:spacing w:after="0"/>
              <w:rPr>
                <w:sz w:val="19"/>
                <w:szCs w:val="19"/>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(7,487)</w:t>
            </w:r>
          </w:p>
        </w:tc>
        <w:tc>
          <w:tcPr>
            <w:tcW w:w="1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65,294</w:t>
            </w:r>
          </w:p>
        </w:tc>
        <w:tc>
          <w:tcPr>
            <w:tcW w:w="102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82,803</w:t>
            </w:r>
          </w:p>
        </w:tc>
        <w:tc>
          <w:tcPr>
            <w:tcW w:w="112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Borders>
              <w:top w:val="single" w:sz="8" w:color="EAF9E8"/>
            </w:tcBorders>
          </w:tcPr>
          <w:p>
            <w:pPr>
              <w:spacing w:after="0" w:line="201" w:lineRule="exact"/>
              <w:rPr>
                <w:sz w:val="20"/>
                <w:szCs w:val="20"/>
                <w:color w:val="auto"/>
              </w:rPr>
            </w:pPr>
            <w:r>
              <w:rPr>
                <w:rFonts w:ascii="Arial" w:cs="Arial" w:eastAsia="Arial" w:hAnsi="Arial"/>
                <w:sz w:val="18"/>
                <w:szCs w:val="18"/>
                <w:color w:val="auto"/>
              </w:rPr>
              <w:t>Income (loss) from continuing</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020" w:type="dxa"/>
            <w:vAlign w:val="bottom"/>
            <w:tcBorders>
              <w:top w:val="single" w:sz="8" w:color="EAF9E8"/>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12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(13,225)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(41,836)</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23,685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(9,736)</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Income (loss) from discontinued</w:t>
            </w: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EAF9E8"/>
          </w:tcPr>
          <w:p>
            <w:pPr>
              <w:ind w:left="480"/>
              <w:spacing w:after="0"/>
              <w:rPr>
                <w:sz w:val="20"/>
                <w:szCs w:val="20"/>
                <w:color w:val="auto"/>
              </w:rPr>
            </w:pPr>
            <w:r>
              <w:rPr>
                <w:rFonts w:ascii="Arial" w:cs="Arial" w:eastAsia="Arial" w:hAnsi="Arial"/>
                <w:sz w:val="18"/>
                <w:szCs w:val="18"/>
                <w:color w:val="auto"/>
              </w:rPr>
              <w:t>operations, net of taxes</w:t>
            </w:r>
          </w:p>
        </w:tc>
        <w:tc>
          <w:tcPr>
            <w:tcW w:w="220" w:type="dxa"/>
            <w:vAlign w:val="bottom"/>
            <w:shd w:val="clear" w:color="auto" w:fill="EAF9E8"/>
          </w:tcPr>
          <w:p>
            <w:pPr>
              <w:spacing w:after="0"/>
              <w:rPr>
                <w:sz w:val="20"/>
                <w:szCs w:val="20"/>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4,383</w:t>
            </w: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(231)</w:t>
            </w:r>
          </w:p>
        </w:tc>
        <w:tc>
          <w:tcPr>
            <w:tcW w:w="102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rPr>
              <w:t>(1,997)</w:t>
            </w:r>
          </w:p>
        </w:tc>
        <w:tc>
          <w:tcPr>
            <w:tcW w:w="20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4,383</w:t>
            </w:r>
          </w:p>
        </w:tc>
        <w:tc>
          <w:tcPr>
            <w:tcW w:w="1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633</w:t>
            </w:r>
          </w:p>
        </w:tc>
        <w:tc>
          <w:tcPr>
            <w:tcW w:w="112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(8,842)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(42,067)</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28,068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(9,103)</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Net income (loss) attributable to non-</w:t>
            </w: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EAF9E8"/>
          </w:tcPr>
          <w:p>
            <w:pPr>
              <w:ind w:left="480"/>
              <w:spacing w:after="0"/>
              <w:rPr>
                <w:sz w:val="20"/>
                <w:szCs w:val="20"/>
                <w:color w:val="auto"/>
              </w:rPr>
            </w:pPr>
            <w:r>
              <w:rPr>
                <w:rFonts w:ascii="Arial" w:cs="Arial" w:eastAsia="Arial" w:hAnsi="Arial"/>
                <w:sz w:val="18"/>
                <w:szCs w:val="18"/>
                <w:color w:val="auto"/>
              </w:rPr>
              <w:t>controlling interest in subsidiaries</w:t>
            </w:r>
          </w:p>
        </w:tc>
        <w:tc>
          <w:tcPr>
            <w:tcW w:w="220" w:type="dxa"/>
            <w:vAlign w:val="bottom"/>
            <w:shd w:val="clear" w:color="auto" w:fill="EAF9E8"/>
          </w:tcPr>
          <w:p>
            <w:pPr>
              <w:spacing w:after="0"/>
              <w:rPr>
                <w:sz w:val="20"/>
                <w:szCs w:val="20"/>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EAF9E8"/>
          </w:tcPr>
          <w:p>
            <w:pPr>
              <w:spacing w:after="0"/>
              <w:rPr>
                <w:sz w:val="20"/>
                <w:szCs w:val="20"/>
                <w:color w:val="auto"/>
              </w:rPr>
            </w:pPr>
          </w:p>
        </w:tc>
        <w:tc>
          <w:tcPr>
            <w:tcW w:w="102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rPr>
              <w:t>(81)</w:t>
            </w:r>
          </w:p>
        </w:tc>
        <w:tc>
          <w:tcPr>
            <w:tcW w:w="20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line="196" w:lineRule="exact"/>
              <w:rPr>
                <w:sz w:val="20"/>
                <w:szCs w:val="20"/>
                <w:color w:val="auto"/>
              </w:rPr>
            </w:pPr>
            <w:r>
              <w:rPr>
                <w:rFonts w:ascii="Arial" w:cs="Arial" w:eastAsia="Arial" w:hAnsi="Arial"/>
                <w:sz w:val="18"/>
                <w:szCs w:val="18"/>
                <w:color w:val="auto"/>
              </w:rPr>
              <w:t>Net income (loss) attributable to Ocwen</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(8,835)</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(42,031)</w:t>
            </w:r>
          </w:p>
        </w:tc>
        <w:tc>
          <w:tcPr>
            <w:tcW w:w="1020" w:type="dxa"/>
            <w:vAlign w:val="bottom"/>
          </w:tcPr>
          <w:p>
            <w:pPr>
              <w:jc w:val="right"/>
              <w:ind w:right="192"/>
              <w:spacing w:after="0" w:line="197" w:lineRule="exact"/>
              <w:rPr>
                <w:sz w:val="20"/>
                <w:szCs w:val="20"/>
                <w:color w:val="auto"/>
              </w:rPr>
            </w:pPr>
            <w:r>
              <w:rPr>
                <w:rFonts w:ascii="Arial" w:cs="Arial" w:eastAsia="Arial" w:hAnsi="Arial"/>
                <w:sz w:val="13"/>
                <w:szCs w:val="13"/>
                <w:color w:val="auto"/>
              </w:rPr>
              <w:t>(79</w:t>
            </w:r>
            <w:r>
              <w:rPr>
                <w:rFonts w:ascii="Arial" w:cs="Arial" w:eastAsia="Arial" w:hAnsi="Arial"/>
                <w:sz w:val="22"/>
                <w:szCs w:val="22"/>
                <w:color w:val="auto"/>
                <w:vertAlign w:val="superscript"/>
              </w:rPr>
              <w:t>)</w:t>
            </w: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28,063</w:t>
            </w:r>
          </w:p>
        </w:tc>
        <w:tc>
          <w:tcPr>
            <w:tcW w:w="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(9,092)</w:t>
            </w:r>
          </w:p>
        </w:tc>
        <w:tc>
          <w:tcPr>
            <w:tcW w:w="1120" w:type="dxa"/>
            <w:vAlign w:val="bottom"/>
          </w:tcPr>
          <w:p>
            <w:pPr>
              <w:jc w:val="right"/>
              <w:ind w:right="292"/>
              <w:spacing w:after="0" w:line="197" w:lineRule="exact"/>
              <w:rPr>
                <w:sz w:val="20"/>
                <w:szCs w:val="20"/>
                <w:color w:val="auto"/>
              </w:rPr>
            </w:pPr>
            <w:r>
              <w:rPr>
                <w:rFonts w:ascii="Arial" w:cs="Arial" w:eastAsia="Arial" w:hAnsi="Arial"/>
                <w:sz w:val="13"/>
                <w:szCs w:val="13"/>
                <w:color w:val="auto"/>
              </w:rPr>
              <w:t>(409</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Segment income (loss) from continuing</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operations before taxes: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5,428</w:t>
            </w:r>
          </w:p>
        </w:tc>
        <w:tc>
          <w:tcPr>
            <w:tcW w:w="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17,681</w:t>
            </w:r>
          </w:p>
        </w:tc>
        <w:tc>
          <w:tcPr>
            <w:tcW w:w="102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(69)%</w:t>
            </w:r>
          </w:p>
        </w:tc>
        <w:tc>
          <w:tcPr>
            <w:tcW w:w="5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59,361</w:t>
            </w:r>
          </w:p>
        </w:tc>
        <w:tc>
          <w:tcPr>
            <w:tcW w:w="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58,381</w:t>
            </w:r>
          </w:p>
        </w:tc>
        <w:tc>
          <w:tcPr>
            <w:tcW w:w="112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Loans and Residuals</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(1,545)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(7,063)</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Asset Management Vehicles</w:t>
            </w:r>
          </w:p>
        </w:tc>
        <w:tc>
          <w:tcPr>
            <w:tcW w:w="2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(1,638)</w:t>
            </w:r>
          </w:p>
        </w:tc>
        <w:tc>
          <w:tcPr>
            <w:tcW w:w="102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rPr>
              <w:t>(83)</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(3,567)</w:t>
            </w:r>
          </w:p>
        </w:tc>
        <w:tc>
          <w:tcPr>
            <w:tcW w:w="112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Mortgage Services</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3,819</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17,815</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Financial Services</w:t>
            </w:r>
          </w:p>
        </w:tc>
        <w:tc>
          <w:tcPr>
            <w:tcW w:w="2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(2,935)</w:t>
            </w:r>
          </w:p>
        </w:tc>
        <w:tc>
          <w:tcPr>
            <w:tcW w:w="102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(5,969)</w:t>
            </w:r>
          </w:p>
        </w:tc>
        <w:tc>
          <w:tcPr>
            <w:tcW w:w="112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Technology Products</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2,331</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9,590</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(27,045)</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4,282</w:t>
            </w:r>
          </w:p>
        </w:tc>
        <w:tc>
          <w:tcPr>
            <w:tcW w:w="102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(35,347)</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3,880</w:t>
            </w:r>
          </w:p>
        </w:tc>
        <w:tc>
          <w:tcPr>
            <w:tcW w:w="1120" w:type="dxa"/>
            <w:vAlign w:val="bottom"/>
            <w:shd w:val="clear" w:color="auto" w:fill="EAF9E8"/>
          </w:tcPr>
          <w:p>
            <w:pPr>
              <w:jc w:val="right"/>
              <w:ind w:right="292"/>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(20,712)</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23,458</w:t>
            </w:r>
          </w:p>
        </w:tc>
        <w:tc>
          <w:tcPr>
            <w:tcW w:w="1020" w:type="dxa"/>
            <w:vAlign w:val="bottom"/>
          </w:tcPr>
          <w:p>
            <w:pPr>
              <w:jc w:val="right"/>
              <w:ind w:right="192"/>
              <w:spacing w:after="0" w:line="197" w:lineRule="exact"/>
              <w:rPr>
                <w:sz w:val="20"/>
                <w:szCs w:val="20"/>
                <w:color w:val="auto"/>
              </w:rPr>
            </w:pPr>
            <w:r>
              <w:rPr>
                <w:rFonts w:ascii="Arial" w:cs="Arial" w:eastAsia="Arial" w:hAnsi="Arial"/>
                <w:sz w:val="13"/>
                <w:szCs w:val="13"/>
                <w:color w:val="auto"/>
              </w:rPr>
              <w:t>(188</w:t>
            </w:r>
            <w:r>
              <w:rPr>
                <w:rFonts w:ascii="Arial" w:cs="Arial" w:eastAsia="Arial" w:hAnsi="Arial"/>
                <w:sz w:val="22"/>
                <w:szCs w:val="22"/>
                <w:color w:val="auto"/>
                <w:vertAlign w:val="superscript"/>
              </w:rPr>
              <w:t>)</w:t>
            </w: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23,995</w:t>
            </w:r>
          </w:p>
        </w:tc>
        <w:tc>
          <w:tcPr>
            <w:tcW w:w="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73,067</w:t>
            </w:r>
          </w:p>
        </w:tc>
        <w:tc>
          <w:tcPr>
            <w:tcW w:w="1120" w:type="dxa"/>
            <w:vAlign w:val="bottom"/>
          </w:tcPr>
          <w:p>
            <w:pPr>
              <w:jc w:val="right"/>
              <w:ind w:right="292"/>
              <w:spacing w:after="0" w:line="197" w:lineRule="exact"/>
              <w:rPr>
                <w:sz w:val="20"/>
                <w:szCs w:val="20"/>
                <w:color w:val="auto"/>
              </w:rPr>
            </w:pPr>
            <w:r>
              <w:rPr>
                <w:rFonts w:ascii="Arial" w:cs="Arial" w:eastAsia="Arial" w:hAnsi="Arial"/>
                <w:sz w:val="13"/>
                <w:szCs w:val="13"/>
                <w:color w:val="auto"/>
              </w:rPr>
              <w:t>(67</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240" w:hanging="352"/>
        <w:spacing w:after="0" w:line="277" w:lineRule="auto"/>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Excluding revenues earned by GSS and intersegment revenues eliminated in consolidation, OS revenues were $20,868 and $106,257, respectively, for the three and nine months ended September 30, 2009.</w:t>
      </w:r>
    </w:p>
    <w:p>
      <w:pPr>
        <w:spacing w:after="0" w:line="170" w:lineRule="exact"/>
        <w:rPr>
          <w:rFonts w:ascii="Arial" w:cs="Arial" w:eastAsia="Arial" w:hAnsi="Arial"/>
          <w:sz w:val="18"/>
          <w:szCs w:val="18"/>
          <w:color w:val="auto"/>
        </w:rPr>
      </w:pPr>
    </w:p>
    <w:p>
      <w:pPr>
        <w:ind w:left="360" w:right="660" w:hanging="352"/>
        <w:spacing w:after="0" w:line="277" w:lineRule="auto"/>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Excluding expenses incurred by GSS and intersegment expenses eliminated in consolidation, OS operating expenses were $19,070 and $91,847, respectively, for the three and nine months ended September 30,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overall increase in our assets of $1,486,424 or 84% during the nine months ended September 30, 2010 was principally the result of the following changes:</w:t>
      </w:r>
    </w:p>
    <w:p>
      <w:pPr>
        <w:spacing w:after="0" w:line="170" w:lineRule="exact"/>
        <w:rPr>
          <w:sz w:val="20"/>
          <w:szCs w:val="20"/>
          <w:color w:val="auto"/>
        </w:rPr>
      </w:pPr>
    </w:p>
    <w:p>
      <w:pPr>
        <w:ind w:left="1160" w:hanging="693"/>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increased by $72,992.</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Auction rate securities declined by $172,752 primarily due to sales, the settlement of two litigation actions and redemptions.</w:t>
      </w:r>
    </w:p>
    <w:p>
      <w:pPr>
        <w:spacing w:after="0" w:line="225" w:lineRule="exact"/>
        <w:rPr>
          <w:rFonts w:ascii="Arial" w:cs="Arial" w:eastAsia="Arial" w:hAnsi="Arial"/>
          <w:sz w:val="18"/>
          <w:szCs w:val="18"/>
          <w:color w:val="auto"/>
        </w:rPr>
      </w:pPr>
    </w:p>
    <w:p>
      <w:pPr>
        <w:ind w:left="1160" w:right="840" w:hanging="693"/>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advances increased by $1,377,398 primarily because of the $22.4 billion of servicing UPB we acquired as part of the HomEq Acquisition in the third quarter and the $6.9 billion of servicing UPB we acquired in the second quarter.</w:t>
      </w:r>
    </w:p>
    <w:p>
      <w:pPr>
        <w:spacing w:after="0" w:line="170" w:lineRule="exact"/>
        <w:rPr>
          <w:rFonts w:ascii="Arial" w:cs="Arial" w:eastAsia="Arial" w:hAnsi="Arial"/>
          <w:sz w:val="18"/>
          <w:szCs w:val="18"/>
          <w:color w:val="auto"/>
        </w:rPr>
      </w:pPr>
    </w:p>
    <w:p>
      <w:pPr>
        <w:ind w:left="1160" w:right="160" w:hanging="693"/>
        <w:spacing w:after="0" w:line="264"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Loans – restricted for securitization investors of $69,736 represent loans held by four securitization trusts that, effective January 1, 2010, we began to include in our consolidated financial statements under the provisions of ASC 810, Consolidation. See Note 8 to our Interim Consolidated Financial Statements for additional information.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6" w:name="page47"/>
    <w:bookmarkEnd w:id="46"/>
    <w:p>
      <w:pPr>
        <w:ind w:left="1160" w:right="200" w:hanging="693"/>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MSRs increased by $86,128 due to purchases of $84,683 in the third quarter as part of the HomEq Acquisition and purchases of $23,425 in the second quarter offset by amortization expense of $22,136.</w:t>
      </w:r>
    </w:p>
    <w:p>
      <w:pPr>
        <w:spacing w:after="0" w:line="170" w:lineRule="exact"/>
        <w:rPr>
          <w:rFonts w:ascii="Arial" w:cs="Arial" w:eastAsia="Arial" w:hAnsi="Arial"/>
          <w:sz w:val="18"/>
          <w:szCs w:val="18"/>
          <w:color w:val="auto"/>
        </w:rPr>
      </w:pPr>
    </w:p>
    <w:p>
      <w:pPr>
        <w:ind w:left="1160" w:hanging="693"/>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Goodwill of $19,457 related to the HomEq acquisition.</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Premises and equipment, net increased by $8,568 primarily due to the $8,008 acquired as part of the HomEq acquisition.</w:t>
      </w:r>
    </w:p>
    <w:p>
      <w:pPr>
        <w:spacing w:after="0" w:line="225" w:lineRule="exact"/>
        <w:rPr>
          <w:rFonts w:ascii="Arial" w:cs="Arial" w:eastAsia="Arial" w:hAnsi="Arial"/>
          <w:sz w:val="18"/>
          <w:szCs w:val="18"/>
          <w:color w:val="auto"/>
        </w:rPr>
      </w:pPr>
    </w:p>
    <w:p>
      <w:pPr>
        <w:ind w:left="1160" w:right="540" w:hanging="693"/>
        <w:spacing w:after="0" w:line="286" w:lineRule="auto"/>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 assets increased by $57,465 as a result of an increase in debt service accounts and debt issuance costs related to new borrowings incurred in connection with the HomEq Acquisition. In addition, we were required to deposit $25,712 of cash collateral with the counterparties to interest rate swap agreements we entered into during the second quarter of 2010.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increased by $1,463,595, or 162%, during the nine months ended September 30, 2010 primarily because of the following items:</w:t>
      </w:r>
    </w:p>
    <w:p>
      <w:pPr>
        <w:spacing w:after="0" w:line="225" w:lineRule="exact"/>
        <w:rPr>
          <w:sz w:val="20"/>
          <w:szCs w:val="20"/>
          <w:color w:val="auto"/>
        </w:rPr>
      </w:pPr>
    </w:p>
    <w:p>
      <w:pPr>
        <w:ind w:left="1160" w:right="240" w:hanging="693"/>
        <w:spacing w:after="0" w:line="264"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Match funded liabilities increased by $1,140,655 reflecting the issuance of $200,000 of notes under the TALF program and the issuance of $1,011,000 of notes in connection with the financing of the advances acquired as part of the HomEq Acquisition, of which $824,000 was outstanding at September 30, 2010.</w:t>
      </w:r>
    </w:p>
    <w:p>
      <w:pPr>
        <w:spacing w:after="0" w:line="181" w:lineRule="exact"/>
        <w:rPr>
          <w:rFonts w:ascii="Arial" w:cs="Arial" w:eastAsia="Arial" w:hAnsi="Arial"/>
          <w:sz w:val="18"/>
          <w:szCs w:val="18"/>
          <w:color w:val="auto"/>
        </w:rPr>
      </w:pPr>
    </w:p>
    <w:p>
      <w:pPr>
        <w:ind w:left="1160" w:right="100" w:hanging="693"/>
        <w:spacing w:after="0" w:line="264"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Secured borrowings – owed to securitization investors of $64,564 consist of certificates issued by the four securitization trusts that we began to include in our consolidated financial statements effective January 1, 2010. See Note 13 to our Interim Consolidated Financial Statements for additional information.</w:t>
      </w:r>
    </w:p>
    <w:p>
      <w:pPr>
        <w:spacing w:after="0" w:line="181" w:lineRule="exact"/>
        <w:rPr>
          <w:rFonts w:ascii="Arial" w:cs="Arial" w:eastAsia="Arial" w:hAnsi="Arial"/>
          <w:sz w:val="18"/>
          <w:szCs w:val="18"/>
          <w:color w:val="auto"/>
        </w:rPr>
      </w:pPr>
    </w:p>
    <w:p>
      <w:pPr>
        <w:ind w:left="1160" w:right="120" w:hanging="693"/>
        <w:spacing w:after="0" w:line="259"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Lines of credit and other secured borrowings increased $388,689 due to a $350,000 senior secured term loan facility that we entered into in connection with HomEq Acquisition and secured borrowings of $64,448 primarily in connection with our investment in auction rate securities. These borrowings were partly offset by the first $8,750 quarterly repayment on the senior secured term loan in September and the first annual $12,000 repayment on our $60,000 fee reimbursement advance in March.</w:t>
      </w:r>
    </w:p>
    <w:p>
      <w:pPr>
        <w:spacing w:after="0" w:line="186" w:lineRule="exact"/>
        <w:rPr>
          <w:rFonts w:ascii="Arial" w:cs="Arial" w:eastAsia="Arial" w:hAnsi="Arial"/>
          <w:sz w:val="18"/>
          <w:szCs w:val="18"/>
          <w:color w:val="auto"/>
        </w:rPr>
      </w:pPr>
    </w:p>
    <w:p>
      <w:pPr>
        <w:ind w:left="1160" w:hanging="693"/>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fully repaid the investment line term note which had an outstanding balance of $156,968 at December 31, 2009.</w:t>
      </w:r>
    </w:p>
    <w:p>
      <w:pPr>
        <w:spacing w:after="0" w:line="225" w:lineRule="exact"/>
        <w:rPr>
          <w:rFonts w:ascii="Arial" w:cs="Arial" w:eastAsia="Arial" w:hAnsi="Arial"/>
          <w:sz w:val="18"/>
          <w:szCs w:val="18"/>
          <w:color w:val="auto"/>
        </w:rPr>
      </w:pPr>
    </w:p>
    <w:p>
      <w:pPr>
        <w:ind w:left="1160" w:right="60" w:hanging="693"/>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Debt securities declined $13,010 as a result of repurchases. In January 2010, we repurchased $12,930 par value of our 10.875% Capital Trust Securities at a discount to par value in the open market.</w:t>
      </w:r>
    </w:p>
    <w:p>
      <w:pPr>
        <w:spacing w:after="0" w:line="170" w:lineRule="exact"/>
        <w:rPr>
          <w:rFonts w:ascii="Arial" w:cs="Arial" w:eastAsia="Arial" w:hAnsi="Arial"/>
          <w:sz w:val="18"/>
          <w:szCs w:val="18"/>
          <w:color w:val="auto"/>
        </w:rPr>
      </w:pPr>
    </w:p>
    <w:p>
      <w:pPr>
        <w:jc w:val="both"/>
        <w:ind w:left="1160" w:hanging="693"/>
        <w:spacing w:after="0" w:line="264"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liabilities increased by $75,969 due to accrued severance for terminated HomEq employees of $20,889, accruals of $24,067 established primarily in connection with the MDL and Cartel litigation and the $21,852 fair value of interest rate swaps we entered into during the second quarter of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22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We define liquidity as unencumbered cash balances plus unused, collateralized advance financing capacity. Our liquidity as of September 30, 2010, as measured by cash and available credit, was $312,578, an increase of $20,463, or 7%, from December 31, 2009 to September 30, 2010. At September 30, 2010, our cash position was $163,911 compared to $90,919 at December 31, 2009. Our available credit on collateralized but unused advance financing capacity was $148,667 at September 30, 2010 compared to $201,195 at December 31, 2009.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25" w:lineRule="exact"/>
        <w:rPr>
          <w:sz w:val="20"/>
          <w:szCs w:val="20"/>
          <w:color w:val="auto"/>
        </w:rPr>
      </w:pPr>
    </w:p>
    <w:p>
      <w:pPr>
        <w:ind w:left="1160" w:hanging="693"/>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government-sponsored enterprise</w:t>
      </w:r>
    </w:p>
    <w:p>
      <w:pPr>
        <w:spacing w:after="0" w:line="23" w:lineRule="exact"/>
        <w:rPr>
          <w:rFonts w:ascii="Arial" w:cs="Arial" w:eastAsia="Arial" w:hAnsi="Arial"/>
          <w:sz w:val="18"/>
          <w:szCs w:val="18"/>
          <w:color w:val="auto"/>
        </w:rPr>
      </w:pPr>
    </w:p>
    <w:p>
      <w:pPr>
        <w:ind w:left="1160" w:hanging="693"/>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1160" w:hanging="693"/>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21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Currently, we are primarily invested in money market demand deposits. Furthermore, our investment policies are intended to minimize credit and counterparty risk by establishing risk limits based on each counterparty’s equity size and long-term credit ratings.</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regularly monitor and project cash flow timing in connection with our efforts to minimize the liquidity risk. In assessing our liquidity outlook, our primary focus is on maintaining cash and unused borrowing capacity that is sufficient to meet the needs of the business. While we expect to renew or replace certain advance facility notes as they mature, it is noteworthy that the cash projected to be generated over the next several years from reducing advance balances approximately offsets the projected reduction in borrowing as our advance facility notes mature, even if these notes are not renewed or replaced.</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47" w:name="page48"/>
    <w:bookmarkEnd w:id="47"/>
    <w:p>
      <w:pPr>
        <w:jc w:val="both"/>
        <w:ind w:right="20" w:firstLine="324"/>
        <w:spacing w:after="0" w:line="264" w:lineRule="auto"/>
        <w:rPr>
          <w:sz w:val="20"/>
          <w:szCs w:val="20"/>
          <w:color w:val="auto"/>
        </w:rPr>
      </w:pPr>
      <w:r>
        <w:rPr>
          <w:rFonts w:ascii="Arial" w:cs="Arial" w:eastAsia="Arial" w:hAnsi="Arial"/>
          <w:sz w:val="18"/>
          <w:szCs w:val="18"/>
          <w:color w:val="auto"/>
        </w:rPr>
        <w:t>At September 30, 2010, $992,654 of our total maximum borrowing capacity remained unused. The unused borrowing capacity in the Servicing business may be utilized in the future by pledging additional qualifying collateral to our facilities. We plan to reduce unused borrowing capacity in the future to a level that we consider sufficient in order to reduce the up-front facility costs within interest expense.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unused borrowing capacity for three reasons:</w:t>
      </w:r>
    </w:p>
    <w:p>
      <w:pPr>
        <w:spacing w:after="0" w:line="225" w:lineRule="exact"/>
        <w:rPr>
          <w:sz w:val="20"/>
          <w:szCs w:val="20"/>
          <w:color w:val="auto"/>
        </w:rPr>
      </w:pPr>
    </w:p>
    <w:p>
      <w:pPr>
        <w:ind w:left="1160" w:hanging="693"/>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 and</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servicing.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Interest rate risk is a function of (i) the timing and (ii) the dollar amount of assets and liabilities that re-price at each point in time. We are exposed to interest rate risk to the extent that our interest-bearing liabilities mature or re-price at different speeds, or different bases, than interest-earning assets.</w:t>
      </w:r>
    </w:p>
    <w:p>
      <w:pPr>
        <w:spacing w:after="0" w:line="124"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have executed a hedging strategy aimed to largely neutralize the impact of changes in interest rates within a certain time period. As of September 30, 2010, the value of our outstanding hedges was similar to the net exposure of projected interest rate sensitive liabilities and interest rate sensitive assets for the next several years.</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interest rates increase by 1% on our variable rate advance financing and interest earning cash and float balances as of September 30, 2010, we estimate a net positive impact of approximately $2,930 resulting from an increase of $6,152 in annual interest income compared to an increase of $3,222 in annual interest expense. This outcome is due in large part to our hedging activities. See Note 18 to our Interim Consolidated Financial Statements for additional information regarding our use of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29 through 31 of Management’s Discussion and Analysis of Results of Operations and Financial Condition and in Note 1 to our Consolidated Financial Statements for the year ended December 31, 2009 included in our Annual Report on Form 10-K filed March 8, 2010. Such policies have not changed during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For each of our business segments, the following section provides a discussion of the changes in financial condition during the nine months ended September 30, 2010 and a discussion of pre-tax results of operations for the three and nine months ended September 30, 2010 and 2009. Due to the Separation, as of August 10, 2009, neither the assets and liabilities, nor the subsequent operations of the Mortgage Services, Financial Services and Technology Products segments, except for BMS Holdings and GSS, are included in our results. As a separate, publicly-traded company, Altisource Portfolio Solutions S.A. (NASDAQ:ASPS) is required to file a Form 10-Q with the Securities and Exchange Commission.</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Servicing</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32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020" w:type="dxa"/>
            <w:vAlign w:val="bottom"/>
            <w:gridSpan w:val="10"/>
          </w:tcPr>
          <w:p>
            <w:pPr>
              <w:jc w:val="right"/>
              <w:spacing w:after="0"/>
              <w:rPr>
                <w:sz w:val="20"/>
                <w:szCs w:val="20"/>
                <w:color w:val="auto"/>
              </w:rPr>
            </w:pPr>
            <w:r>
              <w:rPr>
                <w:rFonts w:ascii="Arial" w:cs="Arial" w:eastAsia="Arial" w:hAnsi="Arial"/>
                <w:sz w:val="18"/>
                <w:szCs w:val="18"/>
                <w:color w:val="auto"/>
                <w:w w:val="93"/>
              </w:rPr>
              <w:t>The following table presents selected results of operations of our Servicing segment for the periods ended September 30:</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7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2009</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Servicing and subservicing fees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86,721</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52,968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219,852</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Process management fees</w:t>
            </w: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7,907</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10,008</w:t>
            </w:r>
          </w:p>
        </w:tc>
        <w:tc>
          <w:tcPr>
            <w:tcW w:w="3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24,112</w:t>
            </w: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741</w:t>
            </w: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revenue</w:t>
            </w:r>
          </w:p>
        </w:tc>
        <w:tc>
          <w:tcPr>
            <w:tcW w:w="8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95,369</w:t>
            </w:r>
          </w:p>
        </w:tc>
        <w:tc>
          <w:tcPr>
            <w:tcW w:w="3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62,977</w:t>
            </w:r>
          </w:p>
        </w:tc>
        <w:tc>
          <w:tcPr>
            <w:tcW w:w="34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246,581</w:t>
            </w:r>
          </w:p>
        </w:tc>
        <w:tc>
          <w:tcPr>
            <w:tcW w:w="12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EAF9E8"/>
            </w:tcBorders>
          </w:tcPr>
          <w:p>
            <w:pPr>
              <w:spacing w:after="0"/>
              <w:rPr>
                <w:sz w:val="18"/>
                <w:szCs w:val="18"/>
                <w:color w:val="auto"/>
              </w:rPr>
            </w:pPr>
          </w:p>
        </w:tc>
        <w:tc>
          <w:tcPr>
            <w:tcW w:w="4240" w:type="dxa"/>
            <w:vAlign w:val="bottom"/>
            <w:tcBorders>
              <w:top w:val="single" w:sz="8" w:color="EAF9E8"/>
            </w:tcBorders>
          </w:tcPr>
          <w:p>
            <w:pPr>
              <w:spacing w:after="0"/>
              <w:rPr>
                <w:sz w:val="18"/>
                <w:szCs w:val="18"/>
                <w:color w:val="auto"/>
              </w:rPr>
            </w:pPr>
          </w:p>
        </w:tc>
        <w:tc>
          <w:tcPr>
            <w:tcW w:w="8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Compensation and benefits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39,184</w:t>
            </w: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7,754</w:t>
            </w: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54,945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Amortization of servicing rights</w:t>
            </w: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7,874</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7,159</w:t>
            </w:r>
          </w:p>
        </w:tc>
        <w:tc>
          <w:tcPr>
            <w:tcW w:w="3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22,103</w:t>
            </w: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Servicing and origination</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1,686</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1,516</w:t>
            </w: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4,352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Technology and communications</w:t>
            </w: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5,151</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3,852</w:t>
            </w:r>
          </w:p>
        </w:tc>
        <w:tc>
          <w:tcPr>
            <w:tcW w:w="3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14,370</w:t>
            </w: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1,783</w:t>
            </w: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11,689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Occupancy and equipment</w:t>
            </w: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4,157</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2,537</w:t>
            </w:r>
          </w:p>
        </w:tc>
        <w:tc>
          <w:tcPr>
            <w:tcW w:w="3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10,607</w:t>
            </w: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7,007</w:t>
            </w: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22,973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69,012</w:t>
            </w:r>
          </w:p>
        </w:tc>
        <w:tc>
          <w:tcPr>
            <w:tcW w:w="3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31,608</w:t>
            </w:r>
          </w:p>
        </w:tc>
        <w:tc>
          <w:tcPr>
            <w:tcW w:w="34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141,039</w:t>
            </w:r>
          </w:p>
        </w:tc>
        <w:tc>
          <w:tcPr>
            <w:tcW w:w="12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98,781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EAF9E8"/>
            </w:tcBorders>
          </w:tcPr>
          <w:p>
            <w:pPr>
              <w:spacing w:after="0"/>
              <w:rPr>
                <w:sz w:val="18"/>
                <w:szCs w:val="18"/>
                <w:color w:val="auto"/>
              </w:rPr>
            </w:pPr>
          </w:p>
        </w:tc>
        <w:tc>
          <w:tcPr>
            <w:tcW w:w="4240" w:type="dxa"/>
            <w:vAlign w:val="bottom"/>
            <w:tcBorders>
              <w:top w:val="single" w:sz="8" w:color="EAF9E8"/>
            </w:tcBorders>
          </w:tcPr>
          <w:p>
            <w:pPr>
              <w:spacing w:after="0"/>
              <w:rPr>
                <w:sz w:val="18"/>
                <w:szCs w:val="18"/>
                <w:color w:val="auto"/>
              </w:rPr>
            </w:pPr>
          </w:p>
        </w:tc>
        <w:tc>
          <w:tcPr>
            <w:tcW w:w="8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8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26,357</w:t>
            </w:r>
          </w:p>
        </w:tc>
        <w:tc>
          <w:tcPr>
            <w:tcW w:w="3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31,369</w:t>
            </w:r>
          </w:p>
        </w:tc>
        <w:tc>
          <w:tcPr>
            <w:tcW w:w="34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105,542</w:t>
            </w:r>
          </w:p>
        </w:tc>
        <w:tc>
          <w:tcPr>
            <w:tcW w:w="12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101,617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EAF9E8"/>
            </w:tcBorders>
          </w:tcPr>
          <w:p>
            <w:pPr>
              <w:spacing w:after="0"/>
              <w:rPr>
                <w:sz w:val="18"/>
                <w:szCs w:val="18"/>
                <w:color w:val="auto"/>
              </w:rPr>
            </w:pPr>
          </w:p>
        </w:tc>
        <w:tc>
          <w:tcPr>
            <w:tcW w:w="4240" w:type="dxa"/>
            <w:vAlign w:val="bottom"/>
            <w:tcBorders>
              <w:top w:val="single" w:sz="8" w:color="EAF9E8"/>
            </w:tcBorders>
          </w:tcPr>
          <w:p>
            <w:pPr>
              <w:spacing w:after="0"/>
              <w:rPr>
                <w:sz w:val="18"/>
                <w:szCs w:val="18"/>
                <w:color w:val="auto"/>
              </w:rPr>
            </w:pPr>
          </w:p>
        </w:tc>
        <w:tc>
          <w:tcPr>
            <w:tcW w:w="8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(20,619)</w:t>
            </w:r>
          </w:p>
        </w:tc>
        <w:tc>
          <w:tcPr>
            <w:tcW w:w="3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(15,344)</w:t>
            </w:r>
          </w:p>
        </w:tc>
        <w:tc>
          <w:tcPr>
            <w:tcW w:w="3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(44,772)</w:t>
            </w: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Gain (loss) on debt redemption</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1,600</w:t>
            </w:r>
          </w:p>
        </w:tc>
        <w:tc>
          <w:tcPr>
            <w:tcW w:w="3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net</w:t>
            </w: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(361)</w:t>
            </w:r>
          </w:p>
        </w:tc>
        <w:tc>
          <w:tcPr>
            <w:tcW w:w="3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shd w:val="clear" w:color="auto" w:fill="EAF9E8"/>
          </w:tcPr>
          <w:p>
            <w:pPr>
              <w:spacing w:after="0"/>
              <w:rPr>
                <w:sz w:val="2"/>
                <w:szCs w:val="2"/>
                <w:color w:val="auto"/>
              </w:rPr>
            </w:pPr>
          </w:p>
        </w:tc>
        <w:tc>
          <w:tcPr>
            <w:tcW w:w="4240" w:type="dxa"/>
            <w:vAlign w:val="bottom"/>
            <w:shd w:val="clear" w:color="auto" w:fill="EAF9E8"/>
          </w:tcPr>
          <w:p>
            <w:pPr>
              <w:spacing w:after="0"/>
              <w:rPr>
                <w:sz w:val="2"/>
                <w:szCs w:val="2"/>
                <w:color w:val="auto"/>
              </w:rPr>
            </w:pPr>
          </w:p>
        </w:tc>
        <w:tc>
          <w:tcPr>
            <w:tcW w:w="8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(20,929)</w:t>
            </w:r>
          </w:p>
        </w:tc>
        <w:tc>
          <w:tcPr>
            <w:tcW w:w="3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(13,688)</w:t>
            </w:r>
          </w:p>
        </w:tc>
        <w:tc>
          <w:tcPr>
            <w:tcW w:w="3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(46,181)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4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70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5,428</w:t>
            </w:r>
          </w:p>
        </w:tc>
        <w:tc>
          <w:tcPr>
            <w:tcW w:w="34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17,681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59,361</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58,381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4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color w:val="auto"/>
        </w:rPr>
        <w:t>The following table provides selected operating statistics at or for the three and nine months ended September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Three months</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Nine months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Residential Assets Serviced</w:t>
            </w: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Performing loans (1)</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w w:val="97"/>
              </w:rPr>
              <w:t>53,844,690</w:t>
            </w:r>
          </w:p>
        </w:tc>
        <w:tc>
          <w:tcPr>
            <w:tcW w:w="28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95"/>
              </w:rPr>
              <w:t>27,712,867</w:t>
            </w:r>
          </w:p>
        </w:tc>
        <w:tc>
          <w:tcPr>
            <w:tcW w:w="112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94%</w:t>
            </w:r>
          </w:p>
        </w:tc>
        <w:tc>
          <w:tcPr>
            <w:tcW w:w="3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w w:val="93"/>
              </w:rPr>
              <w:t>53,844,690</w:t>
            </w:r>
          </w:p>
        </w:tc>
        <w:tc>
          <w:tcPr>
            <w:tcW w:w="26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w w:val="93"/>
              </w:rPr>
              <w:t>27,712,867</w:t>
            </w:r>
          </w:p>
        </w:tc>
        <w:tc>
          <w:tcPr>
            <w:tcW w:w="102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Non-performing loans</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16,670,616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10,102,719</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16,670,616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10,102,719</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Non-performing real estate</w:t>
            </w: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5,624,716</w:t>
            </w: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2,478,112</w:t>
            </w: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5,624,716</w:t>
            </w: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2,478,112</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residential assets serviced (2)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76,140,022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40,293,698</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89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76,140,022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40,293,698</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Average residential assets serviced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60,160,356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39,313,253</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53%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55,104,751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39,687,633</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Percent of total UPB:</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w:t>
            </w: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67.1%</w:t>
            </w:r>
          </w:p>
        </w:tc>
        <w:tc>
          <w:tcPr>
            <w:tcW w:w="112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67.1%</w:t>
            </w:r>
          </w:p>
        </w:tc>
        <w:tc>
          <w:tcPr>
            <w:tcW w:w="102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Subservicing portfolio</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32.9</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32.9</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7"/>
              </w:rPr>
              <w:t>Non-performing residential assets serviced,</w:t>
            </w:r>
          </w:p>
        </w:tc>
        <w:tc>
          <w:tcPr>
            <w:tcW w:w="1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excluding Freddie Mac</w:t>
            </w:r>
          </w:p>
        </w:tc>
        <w:tc>
          <w:tcPr>
            <w:tcW w:w="18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26.9%</w:t>
            </w: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1</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26.9%</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Number of:</w:t>
            </w: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Performing loans (1)</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379,097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228,575</w:t>
            </w:r>
          </w:p>
        </w:tc>
        <w:tc>
          <w:tcPr>
            <w:tcW w:w="38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379,097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228,575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Non-performing loans</w:t>
            </w: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87,941</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52,540</w:t>
            </w: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87,941</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52,540</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Non-performing real estate</w:t>
            </w: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27,954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11,841</w:t>
            </w:r>
          </w:p>
        </w:tc>
        <w:tc>
          <w:tcPr>
            <w:tcW w:w="38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27,954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11,841</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8"/>
              </w:rPr>
              <w:t>Total number of residential assets serviced</w:t>
            </w:r>
          </w:p>
        </w:tc>
        <w:tc>
          <w:tcPr>
            <w:tcW w:w="180" w:type="dxa"/>
            <w:vAlign w:val="bottom"/>
            <w:tcBorders>
              <w:top w:val="single" w:sz="8" w:color="auto"/>
            </w:tcBorders>
            <w:shd w:val="clear" w:color="auto" w:fill="EAF9E8"/>
          </w:tcPr>
          <w:p>
            <w:pPr>
              <w:spacing w:after="0"/>
              <w:rPr>
                <w:sz w:val="17"/>
                <w:szCs w:val="17"/>
                <w:color w:val="auto"/>
              </w:rPr>
            </w:pPr>
          </w:p>
        </w:tc>
        <w:tc>
          <w:tcPr>
            <w:tcW w:w="900" w:type="dxa"/>
            <w:vAlign w:val="bottom"/>
            <w:tcBorders>
              <w:top w:val="single" w:sz="8" w:color="auto"/>
            </w:tcBorders>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860" w:type="dxa"/>
            <w:vAlign w:val="bottom"/>
            <w:tcBorders>
              <w:top w:val="single" w:sz="8" w:color="auto"/>
            </w:tcBorders>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860" w:type="dxa"/>
            <w:vAlign w:val="bottom"/>
            <w:tcBorders>
              <w:top w:val="single" w:sz="8" w:color="auto"/>
            </w:tcBorders>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860" w:type="dxa"/>
            <w:vAlign w:val="bottom"/>
            <w:tcBorders>
              <w:top w:val="single" w:sz="8" w:color="auto"/>
            </w:tcBorders>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400" w:type="dxa"/>
            <w:vAlign w:val="bottom"/>
            <w:shd w:val="clear" w:color="auto" w:fill="EAF9E8"/>
          </w:tcPr>
          <w:p>
            <w:pPr>
              <w:ind w:left="4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EAF9E8"/>
          </w:tcPr>
          <w:p>
            <w:pPr>
              <w:spacing w:after="0"/>
              <w:rPr>
                <w:sz w:val="23"/>
                <w:szCs w:val="23"/>
                <w:color w:val="auto"/>
              </w:rPr>
            </w:pPr>
          </w:p>
        </w:tc>
        <w:tc>
          <w:tcPr>
            <w:tcW w:w="11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494,992</w:t>
            </w:r>
          </w:p>
        </w:tc>
        <w:tc>
          <w:tcPr>
            <w:tcW w:w="1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292,956</w:t>
            </w:r>
          </w:p>
        </w:tc>
        <w:tc>
          <w:tcPr>
            <w:tcW w:w="380" w:type="dxa"/>
            <w:vAlign w:val="bottom"/>
            <w:shd w:val="clear" w:color="auto" w:fill="EAF9E8"/>
          </w:tcPr>
          <w:p>
            <w:pPr>
              <w:spacing w:after="0"/>
              <w:rPr>
                <w:sz w:val="23"/>
                <w:szCs w:val="23"/>
                <w:color w:val="auto"/>
              </w:rPr>
            </w:pP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494,992</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292,956</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02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Average number of residential assets</w:t>
            </w:r>
          </w:p>
        </w:tc>
        <w:tc>
          <w:tcPr>
            <w:tcW w:w="1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serviced</w:t>
            </w:r>
          </w:p>
        </w:tc>
        <w:tc>
          <w:tcPr>
            <w:tcW w:w="18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401,454</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289,568</w:t>
            </w:r>
          </w:p>
        </w:tc>
        <w:tc>
          <w:tcPr>
            <w:tcW w:w="380" w:type="dxa"/>
            <w:vAlign w:val="bottom"/>
            <w:shd w:val="clear" w:color="auto" w:fill="EAF9E8"/>
          </w:tcPr>
          <w:p>
            <w:pPr>
              <w:spacing w:after="0"/>
              <w:rPr>
                <w:sz w:val="20"/>
                <w:szCs w:val="20"/>
                <w:color w:val="auto"/>
              </w:rPr>
            </w:pP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375,805</w:t>
            </w:r>
          </w:p>
        </w:tc>
        <w:tc>
          <w:tcPr>
            <w:tcW w:w="1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300,058</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Percent of total number:</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w:t>
            </w: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61.2%</w:t>
            </w:r>
          </w:p>
        </w:tc>
        <w:tc>
          <w:tcPr>
            <w:tcW w:w="112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61.2%</w:t>
            </w:r>
          </w:p>
        </w:tc>
        <w:tc>
          <w:tcPr>
            <w:tcW w:w="102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Subservicing portfolio</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38.8</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38.8</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7"/>
              </w:rPr>
              <w:t>Non-performing residential assets serviced,</w:t>
            </w:r>
          </w:p>
        </w:tc>
        <w:tc>
          <w:tcPr>
            <w:tcW w:w="1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excluding Freddie Mac</w:t>
            </w:r>
          </w:p>
        </w:tc>
        <w:tc>
          <w:tcPr>
            <w:tcW w:w="18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18.5%</w:t>
            </w: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18.5%</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shd w:val="clear" w:color="auto" w:fill="EAF9E8"/>
          </w:tcPr>
          <w:p>
            <w:pPr>
              <w:spacing w:after="0" w:line="198" w:lineRule="exact"/>
              <w:rPr>
                <w:sz w:val="20"/>
                <w:szCs w:val="20"/>
                <w:color w:val="auto"/>
              </w:rPr>
            </w:pPr>
            <w:r>
              <w:rPr>
                <w:rFonts w:ascii="Arial" w:cs="Arial" w:eastAsia="Arial" w:hAnsi="Arial"/>
                <w:sz w:val="18"/>
                <w:szCs w:val="18"/>
                <w:b w:val="1"/>
                <w:bCs w:val="1"/>
                <w:color w:val="auto"/>
              </w:rPr>
              <w:t>Residential Servicing and Subservicing</w:t>
            </w:r>
          </w:p>
        </w:tc>
        <w:tc>
          <w:tcPr>
            <w:tcW w:w="1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Fees</w:t>
            </w:r>
          </w:p>
        </w:tc>
        <w:tc>
          <w:tcPr>
            <w:tcW w:w="18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Loan servicing and subservicing</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57,520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41,317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150,613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129,555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Late charges</w:t>
            </w: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5,360</w:t>
            </w: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24,121</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21,439</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HAMP fees</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11,616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777</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1,395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22,655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777</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Loan collection fees</w:t>
            </w: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1,802</w:t>
            </w: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6,448</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5,663</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Custodial accounts (float earnings)</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866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3,906</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4,922</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2,383</w:t>
            </w: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11,569</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8,337</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85,591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52,505</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63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217,486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169,677</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Financing Costs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Average balance of advances and match</w:t>
            </w:r>
          </w:p>
        </w:tc>
        <w:tc>
          <w:tcPr>
            <w:tcW w:w="1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funded advances</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1,612,676</w:t>
            </w:r>
          </w:p>
        </w:tc>
        <w:tc>
          <w:tcPr>
            <w:tcW w:w="260" w:type="dxa"/>
            <w:vAlign w:val="bottom"/>
            <w:shd w:val="clear" w:color="auto" w:fill="EAF9E8"/>
          </w:tcPr>
          <w:p>
            <w:pPr>
              <w:spacing w:after="0"/>
              <w:rPr>
                <w:sz w:val="20"/>
                <w:szCs w:val="20"/>
                <w:color w:val="auto"/>
              </w:rPr>
            </w:pPr>
          </w:p>
        </w:tc>
        <w:tc>
          <w:tcPr>
            <w:tcW w:w="28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998,907</w:t>
            </w:r>
          </w:p>
        </w:tc>
        <w:tc>
          <w:tcPr>
            <w:tcW w:w="380" w:type="dxa"/>
            <w:vAlign w:val="bottom"/>
            <w:shd w:val="clear" w:color="auto" w:fill="EAF9E8"/>
          </w:tcPr>
          <w:p>
            <w:pPr>
              <w:spacing w:after="0"/>
              <w:rPr>
                <w:sz w:val="20"/>
                <w:szCs w:val="20"/>
                <w:color w:val="auto"/>
              </w:rPr>
            </w:pPr>
          </w:p>
        </w:tc>
        <w:tc>
          <w:tcPr>
            <w:tcW w:w="112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61%</w:t>
            </w:r>
          </w:p>
        </w:tc>
        <w:tc>
          <w:tcPr>
            <w:tcW w:w="3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1,248,447</w:t>
            </w:r>
          </w:p>
        </w:tc>
        <w:tc>
          <w:tcPr>
            <w:tcW w:w="260" w:type="dxa"/>
            <w:vAlign w:val="bottom"/>
            <w:shd w:val="clear" w:color="auto" w:fill="EAF9E8"/>
          </w:tcPr>
          <w:p>
            <w:pPr>
              <w:spacing w:after="0"/>
              <w:rPr>
                <w:sz w:val="20"/>
                <w:szCs w:val="20"/>
                <w:color w:val="auto"/>
              </w:rPr>
            </w:pPr>
          </w:p>
        </w:tc>
        <w:tc>
          <w:tcPr>
            <w:tcW w:w="26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1,041,319</w:t>
            </w:r>
          </w:p>
        </w:tc>
        <w:tc>
          <w:tcPr>
            <w:tcW w:w="102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Average borrowings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1,164,304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684,161</w:t>
            </w:r>
          </w:p>
        </w:tc>
        <w:tc>
          <w:tcPr>
            <w:tcW w:w="38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828,675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805,120</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 on borrowings</w:t>
            </w: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19,259</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13,530</w:t>
            </w: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42,201</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40,342</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Facility costs included in interest expense</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4,421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7,583</w:t>
            </w:r>
          </w:p>
        </w:tc>
        <w:tc>
          <w:tcPr>
            <w:tcW w:w="3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14,232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18,857</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Effective average interest rate</w:t>
            </w: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7.91%</w:t>
            </w:r>
          </w:p>
        </w:tc>
        <w:tc>
          <w:tcPr>
            <w:tcW w:w="112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6.68%</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Average 1-month LIBOR</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Average Employment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India and other</w:t>
            </w: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1,117</w:t>
            </w:r>
          </w:p>
        </w:tc>
        <w:tc>
          <w:tcPr>
            <w:tcW w:w="112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1,046</w:t>
            </w:r>
          </w:p>
        </w:tc>
        <w:tc>
          <w:tcPr>
            <w:tcW w:w="102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 (3)</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264</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289</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EAF9E8"/>
          </w:tcPr>
          <w:p>
            <w:pPr>
              <w:spacing w:after="0"/>
              <w:rPr>
                <w:sz w:val="22"/>
                <w:szCs w:val="22"/>
                <w:color w:val="auto"/>
              </w:rPr>
            </w:pPr>
          </w:p>
        </w:tc>
        <w:tc>
          <w:tcPr>
            <w:tcW w:w="11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1,381</w:t>
            </w:r>
          </w:p>
        </w:tc>
        <w:tc>
          <w:tcPr>
            <w:tcW w:w="380" w:type="dxa"/>
            <w:vAlign w:val="bottom"/>
            <w:shd w:val="clear" w:color="auto" w:fill="EAF9E8"/>
          </w:tcPr>
          <w:p>
            <w:pPr>
              <w:spacing w:after="0"/>
              <w:rPr>
                <w:sz w:val="22"/>
                <w:szCs w:val="22"/>
                <w:color w:val="auto"/>
              </w:rPr>
            </w:pPr>
          </w:p>
        </w:tc>
        <w:tc>
          <w:tcPr>
            <w:tcW w:w="112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1,335</w:t>
            </w:r>
          </w:p>
        </w:tc>
        <w:tc>
          <w:tcPr>
            <w:tcW w:w="10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02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Collections on loans serviced for others</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1,350,232</w:t>
            </w:r>
          </w:p>
        </w:tc>
        <w:tc>
          <w:tcPr>
            <w:tcW w:w="260" w:type="dxa"/>
            <w:vAlign w:val="bottom"/>
            <w:shd w:val="clear" w:color="auto" w:fill="EAF9E8"/>
          </w:tcPr>
          <w:p>
            <w:pPr>
              <w:spacing w:after="0"/>
              <w:rPr>
                <w:sz w:val="18"/>
                <w:szCs w:val="18"/>
                <w:color w:val="auto"/>
              </w:rPr>
            </w:pPr>
          </w:p>
        </w:tc>
        <w:tc>
          <w:tcPr>
            <w:tcW w:w="28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1,591,973</w:t>
            </w: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(15)%</w:t>
            </w:r>
          </w:p>
        </w:tc>
        <w:tc>
          <w:tcPr>
            <w:tcW w:w="3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3,703,911</w:t>
            </w:r>
          </w:p>
        </w:tc>
        <w:tc>
          <w:tcPr>
            <w:tcW w:w="26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5,222,974</w:t>
            </w:r>
          </w:p>
        </w:tc>
        <w:tc>
          <w:tcPr>
            <w:tcW w:w="10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0" w:name="page51"/>
    <w:bookmarkEnd w:id="50"/>
    <w:p>
      <w:pPr>
        <w:ind w:left="360" w:right="180" w:hanging="352"/>
        <w:spacing w:after="0" w:line="264"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or have been delinquent for less than 90 days in accordance with their original terms and those loans for which borrowers are making scheduled payments under loan modification, forbearance or bankruptcy plans. We consider all other loans to be non-performing.</w:t>
      </w:r>
    </w:p>
    <w:p>
      <w:pPr>
        <w:spacing w:after="0" w:line="181" w:lineRule="exact"/>
        <w:rPr>
          <w:rFonts w:ascii="Arial" w:cs="Arial" w:eastAsia="Arial" w:hAnsi="Arial"/>
          <w:sz w:val="18"/>
          <w:szCs w:val="18"/>
          <w:color w:val="auto"/>
        </w:rPr>
      </w:pPr>
    </w:p>
    <w:p>
      <w:pPr>
        <w:ind w:left="360" w:right="480" w:hanging="352"/>
        <w:spacing w:after="0" w:line="342" w:lineRule="auto"/>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At September 30, 2010, we serviced 372,997 subprime loans with a UPB of $58,407,094. This compares to 243,593 subprime loans with a UPB of $35,682,666 as December 31, 2009. At September 30, 2009, we serviced 194,774 subprime loans and real estate with a UPB of $27,888,502.</w:t>
      </w:r>
    </w:p>
    <w:p>
      <w:pPr>
        <w:spacing w:after="0" w:line="123" w:lineRule="exact"/>
        <w:rPr>
          <w:rFonts w:ascii="Arial" w:cs="Arial" w:eastAsia="Arial" w:hAnsi="Arial"/>
          <w:sz w:val="16"/>
          <w:szCs w:val="16"/>
          <w:color w:val="auto"/>
        </w:rPr>
      </w:pPr>
    </w:p>
    <w:p>
      <w:pPr>
        <w:ind w:left="360" w:right="40" w:hanging="352"/>
        <w:spacing w:after="0" w:line="302" w:lineRule="auto"/>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Does not include 1,158 employees transferred to Ocwen as a result of the HomEq Acquisition. These employees are being paid their salary through October 31, 2010 plus severance. Approximately one-half of these employees were placed on leave immediately with most of the remainder to be placed on leave at various dates through October 31, 2010. A small number of transferred employees are expected to work beyond October 31, 2010. The duties of these employees are being transferred to existing and newly-hired Ocwen employees in the United States, India and Uruguay.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Amount of UPB</w:t>
            </w:r>
          </w:p>
        </w:tc>
        <w:tc>
          <w:tcPr>
            <w:tcW w:w="1540" w:type="dxa"/>
            <w:vAlign w:val="bottom"/>
            <w:gridSpan w:val="3"/>
          </w:tcPr>
          <w:p>
            <w:pPr>
              <w:ind w:left="940"/>
              <w:spacing w:after="0"/>
              <w:rPr>
                <w:sz w:val="20"/>
                <w:szCs w:val="20"/>
                <w:color w:val="auto"/>
              </w:rPr>
            </w:pPr>
            <w:r>
              <w:rPr>
                <w:rFonts w:ascii="Arial" w:cs="Arial" w:eastAsia="Arial" w:hAnsi="Arial"/>
                <w:sz w:val="18"/>
                <w:szCs w:val="18"/>
                <w:b w:val="1"/>
                <w:bCs w:val="1"/>
                <w:color w:val="auto"/>
              </w:rPr>
              <w:t>Count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beginning of the year</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95"/>
              </w:rPr>
              <w:t>49,980,077</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w w:val="97"/>
              </w:rPr>
              <w:t>40,171,532</w:t>
            </w: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351,595</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322,515</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1,372,733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3,626,000</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7,203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11,036</w:t>
            </w:r>
          </w:p>
        </w:tc>
      </w:tr>
      <w:tr>
        <w:trPr>
          <w:trHeight w:val="223"/>
        </w:trPr>
        <w:tc>
          <w:tcPr>
            <w:tcW w:w="20" w:type="dxa"/>
            <w:vAlign w:val="bottom"/>
          </w:tcPr>
          <w:p>
            <w:pPr>
              <w:spacing w:after="0"/>
              <w:rPr>
                <w:sz w:val="19"/>
                <w:szCs w:val="19"/>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color w:val="auto"/>
              </w:rPr>
              <w:t>Runoff</w:t>
            </w:r>
          </w:p>
        </w:tc>
        <w:tc>
          <w:tcPr>
            <w:tcW w:w="1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w w:val="99"/>
              </w:rPr>
              <w:t>(1,674,811)</w:t>
            </w:r>
          </w:p>
        </w:tc>
        <w:tc>
          <w:tcPr>
            <w:tcW w:w="16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(3,008,397)</w:t>
            </w: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(11,813)</w:t>
            </w:r>
          </w:p>
        </w:tc>
        <w:tc>
          <w:tcPr>
            <w:tcW w:w="2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(29,451)</w:t>
            </w:r>
          </w:p>
        </w:tc>
      </w:tr>
      <w:tr>
        <w:trPr>
          <w:trHeight w:val="216"/>
        </w:trPr>
        <w:tc>
          <w:tcPr>
            <w:tcW w:w="20" w:type="dxa"/>
            <w:vAlign w:val="bottom"/>
          </w:tcPr>
          <w:p>
            <w:pPr>
              <w:spacing w:after="0"/>
              <w:rPr>
                <w:sz w:val="18"/>
                <w:szCs w:val="18"/>
                <w:color w:val="auto"/>
              </w:rPr>
            </w:pPr>
          </w:p>
        </w:tc>
        <w:tc>
          <w:tcPr>
            <w:tcW w:w="616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Servicing portfolio at March 31</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49,677,999</w:t>
            </w:r>
          </w:p>
        </w:tc>
        <w:tc>
          <w:tcPr>
            <w:tcW w:w="36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40,789,135</w:t>
            </w:r>
          </w:p>
        </w:tc>
        <w:tc>
          <w:tcPr>
            <w:tcW w:w="320" w:type="dxa"/>
            <w:vAlign w:val="bottom"/>
            <w:tcBorders>
              <w:top w:val="single" w:sz="8" w:color="EAF9E8"/>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346,985</w:t>
            </w:r>
          </w:p>
        </w:tc>
        <w:tc>
          <w:tcPr>
            <w:tcW w:w="32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304,100</w:t>
            </w:r>
          </w:p>
        </w:tc>
        <w:tc>
          <w:tcPr>
            <w:tcW w:w="100" w:type="dxa"/>
            <w:vAlign w:val="bottom"/>
            <w:tcBorders>
              <w:top w:val="single" w:sz="8" w:color="EAF9E8"/>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7,466,279</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57,000</w:t>
            </w: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40,614</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180</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Runoff</w:t>
            </w:r>
          </w:p>
        </w:tc>
        <w:tc>
          <w:tcPr>
            <w:tcW w:w="1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(1,899,702)</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(2,440,128)</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(13,648)</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(17,758)</w:t>
            </w:r>
          </w:p>
        </w:tc>
      </w:tr>
      <w:tr>
        <w:trPr>
          <w:trHeight w:val="216"/>
        </w:trPr>
        <w:tc>
          <w:tcPr>
            <w:tcW w:w="20" w:type="dxa"/>
            <w:vAlign w:val="bottom"/>
          </w:tcPr>
          <w:p>
            <w:pPr>
              <w:spacing w:after="0"/>
              <w:rPr>
                <w:sz w:val="18"/>
                <w:szCs w:val="18"/>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June 30</w:t>
            </w:r>
          </w:p>
        </w:tc>
        <w:tc>
          <w:tcPr>
            <w:tcW w:w="16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5"/>
              </w:rPr>
              <w:t>55,244,576</w:t>
            </w:r>
          </w:p>
        </w:tc>
        <w:tc>
          <w:tcPr>
            <w:tcW w:w="3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7"/>
              </w:rPr>
              <w:t>38,406,007</w:t>
            </w:r>
          </w:p>
        </w:tc>
        <w:tc>
          <w:tcPr>
            <w:tcW w:w="320" w:type="dxa"/>
            <w:vAlign w:val="bottom"/>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373,951</w:t>
            </w:r>
          </w:p>
        </w:tc>
        <w:tc>
          <w:tcPr>
            <w:tcW w:w="3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286,522</w:t>
            </w: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23,078,457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4,493,000</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136,714</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24,062</w:t>
            </w:r>
          </w:p>
        </w:tc>
      </w:tr>
      <w:tr>
        <w:trPr>
          <w:trHeight w:val="223"/>
        </w:trPr>
        <w:tc>
          <w:tcPr>
            <w:tcW w:w="20" w:type="dxa"/>
            <w:vAlign w:val="bottom"/>
          </w:tcPr>
          <w:p>
            <w:pPr>
              <w:spacing w:after="0"/>
              <w:rPr>
                <w:sz w:val="19"/>
                <w:szCs w:val="19"/>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color w:val="auto"/>
              </w:rPr>
              <w:t>Runoff</w:t>
            </w:r>
          </w:p>
        </w:tc>
        <w:tc>
          <w:tcPr>
            <w:tcW w:w="1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w w:val="99"/>
              </w:rPr>
              <w:t>(2,183,011)</w:t>
            </w:r>
          </w:p>
        </w:tc>
        <w:tc>
          <w:tcPr>
            <w:tcW w:w="16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(2,605,309)</w:t>
            </w: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(15,673)</w:t>
            </w:r>
          </w:p>
        </w:tc>
        <w:tc>
          <w:tcPr>
            <w:tcW w:w="2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(17,628)</w:t>
            </w:r>
          </w:p>
        </w:tc>
      </w:tr>
      <w:tr>
        <w:trPr>
          <w:trHeight w:val="216"/>
        </w:trPr>
        <w:tc>
          <w:tcPr>
            <w:tcW w:w="20" w:type="dxa"/>
            <w:vAlign w:val="bottom"/>
          </w:tcPr>
          <w:p>
            <w:pPr>
              <w:spacing w:after="0"/>
              <w:rPr>
                <w:sz w:val="18"/>
                <w:szCs w:val="18"/>
                <w:color w:val="auto"/>
              </w:rPr>
            </w:pPr>
          </w:p>
        </w:tc>
        <w:tc>
          <w:tcPr>
            <w:tcW w:w="616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Servicing portfolio at September 30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76,140,022</w:t>
            </w:r>
          </w:p>
        </w:tc>
        <w:tc>
          <w:tcPr>
            <w:tcW w:w="360" w:type="dxa"/>
            <w:vAlign w:val="bottom"/>
            <w:tcBorders>
              <w:top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40,293,698</w:t>
            </w:r>
          </w:p>
        </w:tc>
        <w:tc>
          <w:tcPr>
            <w:tcW w:w="320" w:type="dxa"/>
            <w:vAlign w:val="bottom"/>
            <w:tcBorders>
              <w:top w:val="single" w:sz="8" w:color="EAF9E8"/>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494,992</w:t>
            </w:r>
          </w:p>
        </w:tc>
        <w:tc>
          <w:tcPr>
            <w:tcW w:w="320" w:type="dxa"/>
            <w:vAlign w:val="bottom"/>
            <w:tcBorders>
              <w:top w:val="single" w:sz="8" w:color="EAF9E8"/>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292,956</w:t>
            </w:r>
          </w:p>
        </w:tc>
        <w:tc>
          <w:tcPr>
            <w:tcW w:w="100" w:type="dxa"/>
            <w:vAlign w:val="bottom"/>
            <w:tcBorders>
              <w:top w:val="single" w:sz="8" w:color="EAF9E8"/>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bl>
    <w:p>
      <w:pPr>
        <w:spacing w:after="0" w:line="198" w:lineRule="exact"/>
        <w:rPr>
          <w:sz w:val="20"/>
          <w:szCs w:val="20"/>
          <w:color w:val="auto"/>
        </w:rPr>
      </w:pPr>
    </w:p>
    <w:p>
      <w:pPr>
        <w:ind w:right="600" w:firstLine="324"/>
        <w:spacing w:after="0" w:line="282" w:lineRule="auto"/>
        <w:rPr>
          <w:sz w:val="20"/>
          <w:szCs w:val="20"/>
          <w:color w:val="auto"/>
        </w:rPr>
      </w:pPr>
      <w:r>
        <w:rPr>
          <w:rFonts w:ascii="Arial" w:cs="Arial" w:eastAsia="Arial" w:hAnsi="Arial"/>
          <w:sz w:val="18"/>
          <w:szCs w:val="18"/>
          <w:b w:val="1"/>
          <w:bCs w:val="1"/>
          <w:color w:val="auto"/>
        </w:rPr>
        <w:t xml:space="preserve">Three Months Ended September 30, 2010 versus 2009. </w:t>
      </w:r>
      <w:r>
        <w:rPr>
          <w:rFonts w:ascii="Arial" w:cs="Arial" w:eastAsia="Arial" w:hAnsi="Arial"/>
          <w:sz w:val="18"/>
          <w:szCs w:val="18"/>
          <w:color w:val="auto"/>
        </w:rPr>
        <w:t>Residential servicing and subservicing fees increased due to the increase in the UPB of</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assets serviced and an increase in modifications.</w:t>
      </w:r>
    </w:p>
    <w:p>
      <w:pPr>
        <w:spacing w:after="0" w:line="166"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The average UPB of assets serviced was 53% higher in the third quarter of 2010 while residential servicing and subservicing fees increased by 63%. Servicing fees for the third quarter of 2010 include $8,712 earned on the HomEq portfolio for the period from the acquisition date of September 1, 2010 through September 30, 2010.</w:t>
      </w:r>
    </w:p>
    <w:p>
      <w:pPr>
        <w:spacing w:after="0" w:line="181"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percentage of UPB representing servicing increased by 20% to 69.6% as compared to 58.1% on June 30, 2010 as a result of the $22.4 billion of servicing UPB that we acquired in the HomEq Acquisition. However, revenues from newly acquired servicing are principally the contractual servicing fee. Ancillary revenues which are driven by the resolution of non-performing loans ramp up gradually until approximately one year after the acquisition.</w:t>
      </w:r>
    </w:p>
    <w:p>
      <w:pPr>
        <w:spacing w:after="0" w:line="14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recognize revenue in the form of deferred servicing fees and ancillary revenues whenever we return a loan to performing status whether it be through a HAMP modification, a non-HAMP modification or otherwise. Loan servicing fees and late charges, excluding HAMP fees, that we recognized as a result of modifications completed during the third quarter of 2010 and 2009 totaled $9,842 and $3,756, respectively. HAMP fees were $11,616 and $777 in the third quarter of 2010 and 2009, respectively. We completed a total of 15,928 modifications during the third quarter of 2010 as compared to 7,000 during the third quarter of 2009. In the third quarter of 2010, 27% of completed modifications were HAMP, and the remainder were non-HAMP. This compares to 14,384 modifications in the second quarter of 2010, of which 29% were HAMP.</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2010, we estimate that the balance of uncollected and unrecognized servicing fees related to delinquent borrower payments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$125,738 compared to $55,612 as of December 31, 2009. The increase in 2010 is primarily due to the $22.4 billion of servicing UPB acquired in the HomEq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the $6.9 billion of servicing UPB that we acquired in the second quarter.</w:t>
      </w:r>
    </w:p>
    <w:p>
      <w:pPr>
        <w:spacing w:after="0" w:line="2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Operating expenses increased by $37,404 primarily due to $33,902 of expenses incurred in connection with the HomEq Acquisition, including $30,345 of compensation expenses and $2,494 of professional fees incurred in connection with the HomEq Acquisition.</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delinquency rate remained relatively stable in the third quarter of 2010. The increase in total advances is primarily the result of advances acquired as part of the HomEq Acquisition and the servicing acquisition that we completed in the second quarter of 2010. We expect delinquency rates to remain flat or decline somewhat during the remainder of 2010 assuming the absence of broad-based foreclosure moratoria.</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1" w:name="page52"/>
    <w:bookmarkEnd w:id="51"/>
    <w:p>
      <w:pPr>
        <w:jc w:val="both"/>
        <w:ind w:right="160" w:firstLine="324"/>
        <w:spacing w:after="0" w:line="264" w:lineRule="auto"/>
        <w:rPr>
          <w:sz w:val="20"/>
          <w:szCs w:val="20"/>
          <w:color w:val="auto"/>
        </w:rPr>
      </w:pPr>
      <w:r>
        <w:rPr>
          <w:rFonts w:ascii="Arial" w:cs="Arial" w:eastAsia="Arial" w:hAnsi="Arial"/>
          <w:sz w:val="18"/>
          <w:szCs w:val="18"/>
          <w:color w:val="auto"/>
        </w:rPr>
        <w:t>Prepayment speed was 36% lower in the third quarter of 2010 primarily due to a decline in loan payoffs and real estate sales. Real estate sales and other involuntary liquidations accounted for approximately 77% of prepayments during the third quarter of 2010 as compared to over 83% for the same period in 2009.</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Interest expense on borrowings in the third quarter of 2010 was 42% higher than in the third quarter of 2009 principally because of additional borrowings in connection with the HomEq and Saxon acquisitions. As a result, average Servicing borrowings increased by 70% during the third quarter of 2010 as compared to the third quarter of 2009 as average advances and match funded advances increased by 61% during the same period. In addition, interest expense for the third quarter of 2010 includes $1,442 of net settlements related to interest rate swap agreements that we entered into during the second quarter of 2010.</w:t>
      </w:r>
    </w:p>
    <w:p>
      <w:pPr>
        <w:spacing w:after="0" w:line="150" w:lineRule="exact"/>
        <w:rPr>
          <w:sz w:val="20"/>
          <w:szCs w:val="20"/>
          <w:color w:val="auto"/>
        </w:rPr>
      </w:pPr>
    </w:p>
    <w:p>
      <w:pPr>
        <w:jc w:val="both"/>
        <w:ind w:right="240" w:firstLine="324"/>
        <w:spacing w:after="0" w:line="298" w:lineRule="auto"/>
        <w:rPr>
          <w:sz w:val="20"/>
          <w:szCs w:val="20"/>
          <w:color w:val="auto"/>
        </w:rPr>
      </w:pPr>
      <w:r>
        <w:rPr>
          <w:rFonts w:ascii="Arial" w:cs="Arial" w:eastAsia="Arial" w:hAnsi="Arial"/>
          <w:sz w:val="16"/>
          <w:szCs w:val="16"/>
          <w:b w:val="1"/>
          <w:bCs w:val="1"/>
          <w:color w:val="auto"/>
        </w:rPr>
        <w:t xml:space="preserve">Nine months ended September 30, 2010 versus 2009. </w:t>
      </w:r>
      <w:r>
        <w:rPr>
          <w:rFonts w:ascii="Arial" w:cs="Arial" w:eastAsia="Arial" w:hAnsi="Arial"/>
          <w:sz w:val="16"/>
          <w:szCs w:val="16"/>
          <w:color w:val="auto"/>
        </w:rPr>
        <w:t>Residential servicing and subservicing fees for the first nine months of 2010 were 28% higher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the same period of 2009 primarily due to a 39% increase in the average UPB of residential assets serviced. HAMP fees during the first nine months of 2010 were $22,655 but were partly offset by the waiver of late charges on loans with HAMP modifications. We completed 49,924 modifications during the first nine months of 2010, as compared to 35,808 for the same period of 2009. Revenue declined relative to average UPB in 2010 as compared to the same period in 2009 due primarily to a higher mix of subservicing in 2010 and to lower initial revenue yield on the new Saxon and HomEq portfolios.</w:t>
      </w:r>
    </w:p>
    <w:p>
      <w:pPr>
        <w:spacing w:after="0" w:line="15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Operating expenses for the first nine months of 2010 increased by $42,258 over the same period of 2009 principally because of $36,652 of expenses incurred in connection with the HomEq Acquisition and a $5,163 reserve established in connection with the proposed settlement of the MDL Proceeding in the second quarter.</w:t>
      </w:r>
    </w:p>
    <w:p>
      <w:pPr>
        <w:spacing w:after="0" w:line="18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Interest expense on borrowings for the first nine months of 2010 was 5% higher than the same period in 2009 principally because of an increase in average borrowings on advance facilities, the closing of the $350,000 senior secured term loan, higher average interest rates on the subordinated notes on the HomEq advance facility and the costs associated with the increase in unused advance financing capacity, partly offset by lower spreads on advance facilities.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00" w:type="dxa"/>
            <w:vAlign w:val="bottom"/>
          </w:tcPr>
          <w:p>
            <w:pPr>
              <w:ind w:left="320"/>
              <w:spacing w:after="0"/>
              <w:rPr>
                <w:sz w:val="20"/>
                <w:szCs w:val="20"/>
                <w:color w:val="auto"/>
              </w:rPr>
            </w:pPr>
            <w:r>
              <w:rPr>
                <w:rFonts w:ascii="Arial" w:cs="Arial" w:eastAsia="Arial" w:hAnsi="Arial"/>
                <w:sz w:val="18"/>
                <w:szCs w:val="18"/>
                <w:color w:val="auto"/>
              </w:rPr>
              <w:t>The following table shows selected assets and liabilities of our Servicing segment at:</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AF9E8"/>
          </w:tcPr>
          <w:p>
            <w:pPr>
              <w:spacing w:after="0"/>
              <w:rPr>
                <w:sz w:val="20"/>
                <w:szCs w:val="20"/>
                <w:color w:val="auto"/>
              </w:rPr>
            </w:pPr>
            <w:r>
              <w:rPr>
                <w:rFonts w:ascii="Arial" w:cs="Arial" w:eastAsia="Arial" w:hAnsi="Arial"/>
                <w:sz w:val="18"/>
                <w:szCs w:val="18"/>
                <w:color w:val="auto"/>
              </w:rPr>
              <w:t>Advances (1)</w:t>
            </w:r>
          </w:p>
        </w:tc>
        <w:tc>
          <w:tcPr>
            <w:tcW w:w="12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214,789</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Match funded advances (1)</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2,126,991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822,615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(2)</w:t>
            </w: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203,930</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Receivables, net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21,346</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AF9E8"/>
          </w:tcPr>
          <w:p>
            <w:pPr>
              <w:spacing w:after="0"/>
              <w:rPr>
                <w:sz w:val="20"/>
                <w:szCs w:val="20"/>
                <w:color w:val="auto"/>
              </w:rPr>
            </w:pPr>
            <w:r>
              <w:rPr>
                <w:rFonts w:ascii="Arial" w:cs="Arial" w:eastAsia="Arial" w:hAnsi="Arial"/>
                <w:sz w:val="18"/>
                <w:szCs w:val="18"/>
                <w:color w:val="auto"/>
              </w:rPr>
              <w:t>Goodwill (3)</w:t>
            </w: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19,457</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Premises and equipment, net (4)</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AF9E8"/>
          </w:tcPr>
          <w:p>
            <w:pPr>
              <w:spacing w:after="0"/>
              <w:rPr>
                <w:sz w:val="20"/>
                <w:szCs w:val="20"/>
                <w:color w:val="auto"/>
              </w:rPr>
            </w:pPr>
            <w:r>
              <w:rPr>
                <w:rFonts w:ascii="Arial" w:cs="Arial" w:eastAsia="Arial" w:hAnsi="Arial"/>
                <w:sz w:val="18"/>
                <w:szCs w:val="18"/>
                <w:color w:val="auto"/>
              </w:rPr>
              <w:t>Debt service accounts (5)</w:t>
            </w: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65,175</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Debt issuance costs, net (5)</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26,355</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12,150</w:t>
            </w:r>
          </w:p>
        </w:tc>
        <w:tc>
          <w:tcPr>
            <w:tcW w:w="3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9,153</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2,698,023</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1,191,212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Match funded liabilities (5)</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1,606,346</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 (5)</w:t>
            </w: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380,051</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Servicer liabilities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AF9E8"/>
          </w:tcPr>
          <w:p>
            <w:pPr>
              <w:spacing w:after="0"/>
              <w:rPr>
                <w:sz w:val="20"/>
                <w:szCs w:val="20"/>
                <w:color w:val="auto"/>
              </w:rPr>
            </w:pPr>
            <w:r>
              <w:rPr>
                <w:rFonts w:ascii="Arial" w:cs="Arial" w:eastAsia="Arial" w:hAnsi="Arial"/>
                <w:sz w:val="18"/>
                <w:szCs w:val="18"/>
                <w:color w:val="auto"/>
              </w:rPr>
              <w:t>Deferred income</w:t>
            </w: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11,181</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Checks held for escheat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12,703</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liability</w:t>
            </w: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3,546</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Accrued expenses and other (6)</w:t>
            </w: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71,590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2,087,680</w:t>
            </w:r>
          </w:p>
        </w:tc>
        <w:tc>
          <w:tcPr>
            <w:tcW w:w="3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600,070</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320" w:hanging="352"/>
        <w:spacing w:after="0" w:line="264"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increase in advances in 2010 is primarily due to the $1,062,873 of advances acquired in connection with the $22.4 billion of servicing UPB we acquired from HomEq Servicing. In addition, we acquired $525,190 of advances in connection with the $6.9 billion of servicing UPB acquired in the second quarter.</w:t>
      </w:r>
    </w:p>
    <w:p>
      <w:pPr>
        <w:spacing w:after="0" w:line="181" w:lineRule="exact"/>
        <w:rPr>
          <w:rFonts w:ascii="Arial" w:cs="Arial" w:eastAsia="Arial" w:hAnsi="Arial"/>
          <w:sz w:val="18"/>
          <w:szCs w:val="18"/>
          <w:color w:val="auto"/>
        </w:rPr>
      </w:pPr>
    </w:p>
    <w:p>
      <w:pPr>
        <w:ind w:left="360" w:right="100" w:hanging="352"/>
        <w:spacing w:after="0" w:line="277"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addition to the $84,683 of MSRs we acquired as part of the HomEq acquisition, we purchased $23,425 of MSRs in the second quarter of 2010. These additions were offset in part by amortization of $22,136.</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2" w:name="page53"/>
    <w:bookmarkEnd w:id="52"/>
    <w:p>
      <w:pPr>
        <w:ind w:left="360" w:hanging="352"/>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Goodwill recorded in connection with the HomEq Acquisition.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acquired premises and equipment with a fair value of $8,008 on September 1, 2010 as part of the HomEq Acquisition.</w:t>
      </w:r>
    </w:p>
    <w:p>
      <w:pPr>
        <w:spacing w:after="0" w:line="225" w:lineRule="exact"/>
        <w:rPr>
          <w:rFonts w:ascii="Arial" w:cs="Arial" w:eastAsia="Arial" w:hAnsi="Arial"/>
          <w:sz w:val="18"/>
          <w:szCs w:val="18"/>
          <w:color w:val="auto"/>
        </w:rPr>
      </w:pPr>
    </w:p>
    <w:p>
      <w:pPr>
        <w:ind w:left="360" w:right="60" w:hanging="352"/>
        <w:spacing w:after="0" w:line="255" w:lineRule="auto"/>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connection with the establishment of the $1,011,000 advance facility we entered into to finance the advances acquired as part of the HomEq Acquisition we paid $10,202 of fees, including a $10,110 securitization fee. These costs have been capitalized and are being amortized over three years to the amortization date of the notes. We also funded a debt service reserve account in the initial amount of $14,342. We paid $10,638 of fees in connection with the $350,000 senior secured term loan facility agreement that was used to fund a portion of the HomEq Acquisition. These costs and the original issue discount of $7,000 are being amortized over the five-year term of the loan. See Note 12 and Note 14 for additional information regarding these facilities.</w:t>
      </w:r>
    </w:p>
    <w:p>
      <w:pPr>
        <w:spacing w:after="0" w:line="193" w:lineRule="exact"/>
        <w:rPr>
          <w:rFonts w:ascii="Arial" w:cs="Arial" w:eastAsia="Arial" w:hAnsi="Arial"/>
          <w:sz w:val="18"/>
          <w:szCs w:val="18"/>
          <w:color w:val="auto"/>
        </w:rPr>
      </w:pPr>
    </w:p>
    <w:p>
      <w:pPr>
        <w:ind w:left="360" w:right="180" w:hanging="352"/>
        <w:spacing w:after="0" w:line="264" w:lineRule="auto"/>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balance at September 30, 2010 includes $29,472 of accrued compensation expenses related to HomEq employees, including $20,889 for estimated severance payments. The balance also includes the $5,163 accrual established in connection with the settlement of the MDL Proceeding during the second quarter of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Loans and Residuals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results of operations of our Loans and Residuals segment for the periods ended September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Three months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(819)</w:t>
            </w:r>
          </w:p>
        </w:tc>
        <w:tc>
          <w:tcPr>
            <w:tcW w:w="20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(3,381)</w:t>
            </w:r>
          </w:p>
        </w:tc>
        <w:tc>
          <w:tcPr>
            <w:tcW w:w="1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2,552</w:t>
            </w: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1,377</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7,501</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color w:val="auto"/>
              </w:rPr>
              <w:t>Gain (loss) on trading securities</w:t>
            </w: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Loss on loans held for resale, net</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w:t>
            </w: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1,185</w:t>
            </w:r>
          </w:p>
        </w:tc>
        <w:tc>
          <w:tcPr>
            <w:tcW w:w="360" w:type="dxa"/>
            <w:vAlign w:val="bottom"/>
            <w:shd w:val="clear" w:color="auto" w:fill="EAF9E8"/>
          </w:tcPr>
          <w:p>
            <w:pPr>
              <w:spacing w:after="0"/>
              <w:rPr>
                <w:sz w:val="20"/>
                <w:szCs w:val="20"/>
                <w:color w:val="auto"/>
              </w:rPr>
            </w:pP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(82)</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138</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Effective January 1, 2010, the Loans and Residual segment includes the four securitization trusts that we include in our consolidated financial statements under the provisions of ASC 810, Consolidation. Our results of operations for the three and nine months ended September 30, 2010 and our assets and liabilities as of that date include the effects of consolidating these trusts. The securitization trusts are essentially pass-through entities. However, as a result of including the trusts in our consolidated financial statements we maintain an allowance for losses on the loans and real estate held by the trusts. For the three and nine months ended September 30, 2010, the trusts generated Income (loss) from continuing operations before income taxes of $1,312 and $1,646, respectively, which includes the effect of the reversal of a portion of the allowance for loan losses in the amount of $943 and $1,073 during the three and nine months ended September 30, 2010, respectively. The decrease in the allowance results from a decline in the unpaid principal balance of the loans and real estate and an improvement in the past due status of nonperforming loans, particularly loans more than 90 days delinquent and loans in foreclosure. See Note 1 to our Interim Consolidated Financial Statements—Securitizations of Residential Mortgage Loans, for additional information.</w:t>
      </w:r>
    </w:p>
    <w:p>
      <w:pPr>
        <w:spacing w:after="0" w:line="163"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 xml:space="preserve">Three Months Ended September 2010 versus 2009. </w:t>
      </w:r>
      <w:r>
        <w:rPr>
          <w:rFonts w:ascii="Arial" w:cs="Arial" w:eastAsia="Arial" w:hAnsi="Arial"/>
          <w:sz w:val="18"/>
          <w:szCs w:val="18"/>
          <w:color w:val="auto"/>
        </w:rPr>
        <w:t>Interest income during the third quarter of 2010 was higher than in 2009 largely due to the effects</w:t>
      </w:r>
      <w:r>
        <w:rPr>
          <w:rFonts w:ascii="Arial" w:cs="Arial" w:eastAsia="Arial" w:hAnsi="Arial"/>
          <w:sz w:val="18"/>
          <w:szCs w:val="18"/>
          <w:b w:val="1"/>
          <w:bCs w:val="1"/>
          <w:color w:val="auto"/>
        </w:rPr>
        <w:t xml:space="preserve"> </w:t>
      </w:r>
      <w:r>
        <w:rPr>
          <w:rFonts w:ascii="Arial" w:cs="Arial" w:eastAsia="Arial" w:hAnsi="Arial"/>
          <w:sz w:val="18"/>
          <w:szCs w:val="18"/>
          <w:color w:val="auto"/>
        </w:rPr>
        <w:t>of consolidating the loan securitization trusts which generated interest income of $1,662 in the third quarter of 2010.</w:t>
      </w:r>
    </w:p>
    <w:p>
      <w:pPr>
        <w:spacing w:after="0" w:line="16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Gains on trading securities reflect the change in fair value on mortgage-backed securities. However, with the consolidation of the securitization trusts, we no longer recognize gains or losses on changes in fair value of the securities that we hold that were issued by the trusts.</w:t>
      </w:r>
    </w:p>
    <w:p>
      <w:pPr>
        <w:spacing w:after="0" w:line="14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Loss on loans held for resale, net, includes the adjustment necessary to present loans held for resale and the related real estate at estimated fair value and as well as realized losses on loan payoffs, foreclosures and charge-offs. The decline in losses on loans in 2010 reflects a smaller portfolio, fewer loans entering non-performing status and a slower decline in the valuations on the underlying loan and real estate collateral.</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3" w:name="page54"/>
    <w:bookmarkEnd w:id="53"/>
    <w:p>
      <w:pPr>
        <w:ind w:right="420" w:firstLine="324"/>
        <w:spacing w:after="0" w:line="342" w:lineRule="auto"/>
        <w:rPr>
          <w:sz w:val="20"/>
          <w:szCs w:val="20"/>
          <w:color w:val="auto"/>
        </w:rPr>
      </w:pPr>
      <w:r>
        <w:rPr>
          <w:rFonts w:ascii="Arial" w:cs="Arial" w:eastAsia="Arial" w:hAnsi="Arial"/>
          <w:sz w:val="16"/>
          <w:szCs w:val="16"/>
          <w:color w:val="auto"/>
        </w:rPr>
        <w:t>Other, net, includes $731 of charge-offs on the loans held by the securitization trusts offset by an increase of $109 in the fair value of an interest rate swap held by one of the trusts and $943 from the reversal of a portion of the allowance for loan losses that we established for loans held by the trusts.</w:t>
      </w:r>
    </w:p>
    <w:p>
      <w:pPr>
        <w:spacing w:after="0" w:line="120"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b w:val="1"/>
          <w:bCs w:val="1"/>
          <w:color w:val="auto"/>
        </w:rPr>
        <w:t xml:space="preserve">Nine months ended September 30, 2010 versus 2009. </w:t>
      </w:r>
      <w:r>
        <w:rPr>
          <w:rFonts w:ascii="Arial" w:cs="Arial" w:eastAsia="Arial" w:hAnsi="Arial"/>
          <w:sz w:val="18"/>
          <w:szCs w:val="18"/>
          <w:color w:val="auto"/>
        </w:rPr>
        <w:t>Interest income is higher in the first nine months of 2010 than it was in the first nine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2009 principally because of the effects of including the four securitization trusts in our consolidated financial statements beginning January 1, 2010. The trusts generated interest income of $4,903. This effect was partially offset by lower interest income on loans held for sale because of a 15% decline in the UPB of the portfolio from September 2009 to September 2010.</w:t>
      </w:r>
    </w:p>
    <w:p>
      <w:pPr>
        <w:spacing w:after="0" w:line="184"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Interest expense declined largely because of the repayment in September 2009 of a facility used to finance our loans held for resale. Loss on loans held for resale, net decreased because of a smaller loan portfolio, fewer loans entering non-performing status and a slowing of the declines in the valuation of the loan portfolio.</w:t>
      </w:r>
    </w:p>
    <w:p>
      <w:pPr>
        <w:spacing w:after="0" w:line="18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change in Other, net, is principally attributable to $2,203 of losses on loans recognized by the securitization trusts offset by $1,073 from the reversal of a portion of the allowance for loans losses on trust loans and a $363 increase in the fair value of the interest rate swap held by one of the trusts.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The following table shows selected assets and liabilities of our Loans and Residuals segment at: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AF9E8"/>
          </w:tcPr>
          <w:p>
            <w:pPr>
              <w:spacing w:after="0"/>
              <w:rPr>
                <w:sz w:val="20"/>
                <w:szCs w:val="20"/>
                <w:color w:val="auto"/>
              </w:rPr>
            </w:pPr>
            <w:r>
              <w:rPr>
                <w:rFonts w:ascii="Arial" w:cs="Arial" w:eastAsia="Arial" w:hAnsi="Arial"/>
                <w:sz w:val="18"/>
                <w:szCs w:val="18"/>
                <w:color w:val="auto"/>
              </w:rPr>
              <w:t>Restricted cash – for securitization investors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942</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Subordinate and residual trading securities (1)</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resale (2)</w:t>
            </w: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29,352</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Advances on loans held for resale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(3)</w:t>
            </w: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69,736</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Real estate (4)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1,577</w:t>
            </w:r>
          </w:p>
        </w:tc>
        <w:tc>
          <w:tcPr>
            <w:tcW w:w="3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109,903</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48,690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Secured borrowings – owed to securitization investors (5)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64,564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1,733</w:t>
            </w:r>
          </w:p>
        </w:tc>
        <w:tc>
          <w:tcPr>
            <w:tcW w:w="3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66,297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180" w:hanging="352"/>
        <w:spacing w:after="0" w:line="258" w:lineRule="auto"/>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more fully described in Note 1 to our Interim Consolidated Financial Statements—Securitizations of Residential Mortgage Loans, effective January 1, 2010, we eliminated our investment in securities issued by the newly consolidated securitization trusts.</w:t>
      </w:r>
    </w:p>
    <w:p>
      <w:pPr>
        <w:spacing w:after="0" w:line="1" w:lineRule="exact"/>
        <w:rPr>
          <w:rFonts w:ascii="Arial" w:cs="Arial" w:eastAsia="Arial" w:hAnsi="Arial"/>
          <w:sz w:val="18"/>
          <w:szCs w:val="18"/>
          <w:color w:val="auto"/>
        </w:rPr>
      </w:pPr>
    </w:p>
    <w:p>
      <w:pPr>
        <w:ind w:left="360" w:right="480" w:hanging="352"/>
        <w:spacing w:after="0" w:line="250" w:lineRule="auto"/>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Loans held for resale at September 30, 2010 and December 31, 2009 includes non-performing loans with a carrying value of $12,186 and $14,382, respectively. The UPB of nonperforming loans held for resale as a percentage of total UPB was 54% at September 30, 2010 compared to 56% at December 31, 2009. There were no loan sales during the first nine months of 2010.</w:t>
      </w:r>
    </w:p>
    <w:p>
      <w:pPr>
        <w:spacing w:after="0" w:line="1" w:lineRule="exact"/>
        <w:rPr>
          <w:rFonts w:ascii="Arial" w:cs="Arial" w:eastAsia="Arial" w:hAnsi="Arial"/>
          <w:sz w:val="18"/>
          <w:szCs w:val="18"/>
          <w:color w:val="auto"/>
        </w:rPr>
      </w:pPr>
    </w:p>
    <w:p>
      <w:pPr>
        <w:jc w:val="both"/>
        <w:ind w:left="360" w:right="520" w:hanging="352"/>
        <w:spacing w:after="0" w:line="281" w:lineRule="auto"/>
        <w:tabs>
          <w:tab w:leader="none" w:pos="3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$72,179 of loans held by the newly consolidated securitization trusts, including $12,907 of nonperforming loans. The balance is net of an allowance for loan losses of $2,443. See Note 8 to the Interim Consolidated Financial Statements for additional information regarding these loans.</w:t>
      </w:r>
    </w:p>
    <w:p>
      <w:pPr>
        <w:spacing w:after="0" w:line="1" w:lineRule="exact"/>
        <w:rPr>
          <w:rFonts w:ascii="Arial" w:cs="Arial" w:eastAsia="Arial" w:hAnsi="Arial"/>
          <w:sz w:val="16"/>
          <w:szCs w:val="16"/>
          <w:color w:val="auto"/>
        </w:rPr>
      </w:pPr>
    </w:p>
    <w:p>
      <w:pPr>
        <w:ind w:left="360" w:right="140" w:hanging="352"/>
        <w:spacing w:after="0" w:line="250" w:lineRule="auto"/>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$3,799 and $5,030 at September 30, 2010 and December 31, 2009, respectively, of foreclosed properties from our portfolio of loans held for resale that are reported net of fair value allowances of $4,094 and $4,810, respectively. During the first nine months of 2010, real estate sales more than offset transfers from loans held for resale. The balance at September 30, 2010 also includes $509 of foreclosed properties owned by the newly consolidated securitization trusts, net of valuation allowances of $945.</w:t>
      </w:r>
    </w:p>
    <w:p>
      <w:pPr>
        <w:spacing w:after="0" w:line="1" w:lineRule="exact"/>
        <w:rPr>
          <w:rFonts w:ascii="Arial" w:cs="Arial" w:eastAsia="Arial" w:hAnsi="Arial"/>
          <w:sz w:val="18"/>
          <w:szCs w:val="18"/>
          <w:color w:val="auto"/>
        </w:rPr>
      </w:pPr>
    </w:p>
    <w:p>
      <w:pPr>
        <w:ind w:left="360" w:right="60" w:hanging="352"/>
        <w:spacing w:after="0" w:line="261" w:lineRule="auto"/>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 certificates issued by the newly consolidated securitization trusts. See Note 13 to our Interim Consolidated Financial Statements for additional information regarding these borrowings.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t>Asset Management Vehicles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selected results of operations of our Asset Management Vehicles segment for the periods ended September 30: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(1)</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432</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530</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EAF9E8"/>
          </w:tcPr>
          <w:p>
            <w:pPr>
              <w:spacing w:after="0"/>
              <w:rPr>
                <w:sz w:val="19"/>
                <w:szCs w:val="19"/>
                <w:color w:val="auto"/>
              </w:rPr>
            </w:pPr>
          </w:p>
        </w:tc>
        <w:tc>
          <w:tcPr>
            <w:tcW w:w="8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(975)</w:t>
            </w:r>
          </w:p>
        </w:tc>
        <w:tc>
          <w:tcPr>
            <w:tcW w:w="1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color w:val="auto"/>
              </w:rPr>
              <w:t>OSI</w:t>
            </w:r>
          </w:p>
        </w:tc>
        <w:tc>
          <w:tcPr>
            <w:tcW w:w="22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(1,164)</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ONL and affiliates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color w:val="auto"/>
              </w:rPr>
              <w:t>Equity in earnings (losses) of unconsolidated entities</w:t>
            </w:r>
          </w:p>
        </w:tc>
        <w:tc>
          <w:tcPr>
            <w:tcW w:w="22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(1,317)</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(1,638)</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(157)</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40" w:hanging="352"/>
        <w:spacing w:after="0" w:line="276" w:lineRule="auto"/>
        <w:tabs>
          <w:tab w:leader="none" w:pos="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Revenue consists of management fees earned from OSI and ONL and affiliates. In addition, our Servicing segment earns fees for servicing loans on behalf of these unconsolidated entities. In determining the amount of consolidated equity in earnings to recognize, we add back our share of the loan servicing and management fee expense recognized by OSI, ONL and affiliates. During the third quarter of 2010 and 2009, we earned total fees of $714 and $1,034, respectively, from OSI and ONL and affiliates. Year to date, we earned total fees of $2,345 and $3,401 for 2010 and 2009, respectively. On a consolidated basis, we have recognized approximately 75% of the loan servicing and management fee revenue.</w:t>
      </w:r>
    </w:p>
    <w:p>
      <w:pPr>
        <w:spacing w:after="0" w:line="169" w:lineRule="exact"/>
        <w:rPr>
          <w:sz w:val="20"/>
          <w:szCs w:val="20"/>
          <w:color w:val="auto"/>
        </w:rPr>
      </w:pPr>
    </w:p>
    <w:p>
      <w:pPr>
        <w:jc w:val="both"/>
        <w:ind w:right="200" w:firstLine="486"/>
        <w:spacing w:after="0" w:line="266" w:lineRule="auto"/>
        <w:rPr>
          <w:sz w:val="20"/>
          <w:szCs w:val="20"/>
          <w:color w:val="auto"/>
        </w:rPr>
      </w:pPr>
      <w:r>
        <w:rPr>
          <w:rFonts w:ascii="Arial" w:cs="Arial" w:eastAsia="Arial" w:hAnsi="Arial"/>
          <w:sz w:val="18"/>
          <w:szCs w:val="18"/>
          <w:b w:val="1"/>
          <w:bCs w:val="1"/>
          <w:color w:val="auto"/>
        </w:rPr>
        <w:t xml:space="preserve">Three and Nine Months Ended September 2010 versus 2009. </w:t>
      </w:r>
      <w:r>
        <w:rPr>
          <w:rFonts w:ascii="Arial" w:cs="Arial" w:eastAsia="Arial" w:hAnsi="Arial"/>
          <w:sz w:val="18"/>
          <w:szCs w:val="18"/>
          <w:color w:val="auto"/>
        </w:rPr>
        <w:t>Management fee revenue continues to decline. The improvement in earnings of OSI</w:t>
      </w:r>
      <w:r>
        <w:rPr>
          <w:rFonts w:ascii="Arial" w:cs="Arial" w:eastAsia="Arial" w:hAnsi="Arial"/>
          <w:sz w:val="18"/>
          <w:szCs w:val="18"/>
          <w:b w:val="1"/>
          <w:bCs w:val="1"/>
          <w:color w:val="auto"/>
        </w:rPr>
        <w:t xml:space="preserve"> </w:t>
      </w:r>
      <w:r>
        <w:rPr>
          <w:rFonts w:ascii="Arial" w:cs="Arial" w:eastAsia="Arial" w:hAnsi="Arial"/>
          <w:sz w:val="18"/>
          <w:szCs w:val="18"/>
          <w:color w:val="auto"/>
        </w:rPr>
        <w:t>and ONL and affiliates in the 2010 periods largely resulted from a reduction in losses on resolved loans, reflecting a slower decline in the valuations on the underlying loans and real estate collateral and in the fair value of residual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w w:val="95"/>
              </w:rPr>
              <w:t>The following table shows selected assets and liabilities of our Asset Management Vehicles segment at:</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Receivables</w:t>
            </w:r>
          </w:p>
        </w:tc>
        <w:tc>
          <w:tcPr>
            <w:tcW w:w="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OSI (1)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7,885</w:t>
            </w:r>
          </w:p>
        </w:tc>
      </w:tr>
      <w:tr>
        <w:trPr>
          <w:trHeight w:val="223"/>
        </w:trPr>
        <w:tc>
          <w:tcPr>
            <w:tcW w:w="20" w:type="dxa"/>
            <w:vAlign w:val="bottom"/>
          </w:tcPr>
          <w:p>
            <w:pPr>
              <w:spacing w:after="0"/>
              <w:rPr>
                <w:sz w:val="19"/>
                <w:szCs w:val="19"/>
                <w:color w:val="auto"/>
              </w:rPr>
            </w:pPr>
          </w:p>
        </w:tc>
        <w:tc>
          <w:tcPr>
            <w:tcW w:w="82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ONL and affiliates (1)</w:t>
            </w:r>
          </w:p>
        </w:tc>
        <w:tc>
          <w:tcPr>
            <w:tcW w:w="10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4,487</w:t>
            </w:r>
          </w:p>
        </w:tc>
        <w:tc>
          <w:tcPr>
            <w:tcW w:w="3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7,044</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12,309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15,271</w:t>
            </w: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360" w:hanging="352"/>
        <w:spacing w:after="0" w:line="277"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first nine months of 2010, we received distributions totaling $3,542 from OSI and from ONL and its affiliates. Our commitment to invest additional capital in ONL and affiliated entities expired in September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Services, Financial Services and Technology Products</w:t>
      </w:r>
    </w:p>
    <w:p>
      <w:pPr>
        <w:spacing w:after="0" w:line="229"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Mortgage Services, Financial Services and Technology Products were separated as of August 10, 2009 as part of the Separation of the Ocwen Solutions line of business, except for GSS and BMS Holdings which remain at Ocwen although BMS Holdings has no remaining book value. As a separate, publicly-traded company, Altisource Portfolio Solutions S.A. (NASDAQ:ASPS) will file a Form 10-Q with the Securities and Exchange Commission.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Corporate Items and Other</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4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0140" w:type="dxa"/>
            <w:vAlign w:val="bottom"/>
            <w:gridSpan w:val="12"/>
          </w:tcPr>
          <w:p>
            <w:pPr>
              <w:jc w:val="right"/>
              <w:ind w:right="820"/>
              <w:spacing w:after="0"/>
              <w:rPr>
                <w:sz w:val="20"/>
                <w:szCs w:val="20"/>
                <w:color w:val="auto"/>
              </w:rPr>
            </w:pPr>
            <w:r>
              <w:rPr>
                <w:rFonts w:ascii="Arial" w:cs="Arial" w:eastAsia="Arial" w:hAnsi="Arial"/>
                <w:sz w:val="18"/>
                <w:szCs w:val="18"/>
                <w:color w:val="auto"/>
                <w:w w:val="92"/>
              </w:rPr>
              <w:t>The following table presents selected results of operations of Corporate Items and Other for the periods ended September 30: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Three months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319</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1,143</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23,166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3,555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27,904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6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(22,797)</w:t>
            </w:r>
          </w:p>
        </w:tc>
        <w:tc>
          <w:tcPr>
            <w:tcW w:w="2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(3,236)</w:t>
            </w:r>
          </w:p>
        </w:tc>
        <w:tc>
          <w:tcPr>
            <w:tcW w:w="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(26,761)</w:t>
            </w:r>
          </w:p>
        </w:tc>
        <w:tc>
          <w:tcPr>
            <w:tcW w:w="1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EAF9E8"/>
            </w:tcBorders>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Gain (loss) on trading securities: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Auction rate securities</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(2,961)</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7,314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Subordinates and residuals</w:t>
            </w: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shd w:val="clear" w:color="auto" w:fill="EAF9E8"/>
          </w:tcPr>
          <w:p>
            <w:pPr>
              <w:spacing w:after="0"/>
              <w:rPr>
                <w:sz w:val="2"/>
                <w:szCs w:val="2"/>
                <w:color w:val="auto"/>
              </w:rPr>
            </w:pPr>
          </w:p>
        </w:tc>
        <w:tc>
          <w:tcPr>
            <w:tcW w:w="40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(3,013)</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7,304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Gain on debt redemption</w:t>
            </w: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723</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(5,351)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(4,248)</w:t>
            </w: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7,518</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(8,586)</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EAF9E8"/>
          </w:tcPr>
          <w:p>
            <w:pPr>
              <w:spacing w:after="0"/>
              <w:rPr>
                <w:sz w:val="2"/>
                <w:szCs w:val="2"/>
                <w:color w:val="auto"/>
              </w:rPr>
            </w:pPr>
          </w:p>
        </w:tc>
        <w:tc>
          <w:tcPr>
            <w:tcW w:w="40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(27,045)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4,282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(35,347)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324"/>
        <w:spacing w:after="0" w:line="295" w:lineRule="auto"/>
        <w:rPr>
          <w:sz w:val="20"/>
          <w:szCs w:val="20"/>
          <w:color w:val="auto"/>
        </w:rPr>
      </w:pPr>
      <w:r>
        <w:rPr>
          <w:rFonts w:ascii="Arial" w:cs="Arial" w:eastAsia="Arial" w:hAnsi="Arial"/>
          <w:sz w:val="16"/>
          <w:szCs w:val="16"/>
          <w:b w:val="1"/>
          <w:bCs w:val="1"/>
          <w:color w:val="auto"/>
        </w:rPr>
        <w:t>Three Months Ended September 2010 versus 2009</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loss from continuing operations before income taxes is primarily due to $20,096 of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expenses, primarily related to a judgment against Ocwen in the Cartel case of $12,720 including punitive damages, and $2,976 of unrealized losses on auction rate securities. In addition, $3,319 of the total interest expense incurred on the $350,000 senior secured term loan that was used to fund a portion of the HomEq acquisition has been recognized in Corporate Items &amp; Other. This amount represents interest for the period from the closing of the term loan on July 29, 2010 to the closing of the HomEq Acquisition on September 1, 2010. Effective with the closing of the HomEq Acquisition, the term loan and the interest expense thereon has been recognized in the Servicing segment. See Note 25 for additional details regarding the Cartel case.</w:t>
      </w:r>
    </w:p>
    <w:p>
      <w:pPr>
        <w:spacing w:after="0" w:line="15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b w:val="1"/>
          <w:bCs w:val="1"/>
          <w:color w:val="auto"/>
        </w:rPr>
        <w:t xml:space="preserve">Nine months ended September 30, 2010 versus 2009. </w:t>
      </w:r>
      <w:r>
        <w:rPr>
          <w:rFonts w:ascii="Arial" w:cs="Arial" w:eastAsia="Arial" w:hAnsi="Arial"/>
          <w:sz w:val="18"/>
          <w:szCs w:val="18"/>
          <w:color w:val="auto"/>
        </w:rPr>
        <w:t>The loss from continuing operations before income taxes reflects litigation related expenses of</w:t>
      </w:r>
      <w:r>
        <w:rPr>
          <w:rFonts w:ascii="Arial" w:cs="Arial" w:eastAsia="Arial" w:hAnsi="Arial"/>
          <w:sz w:val="18"/>
          <w:szCs w:val="18"/>
          <w:b w:val="1"/>
          <w:bCs w:val="1"/>
          <w:color w:val="auto"/>
        </w:rPr>
        <w:t xml:space="preserve"> </w:t>
      </w:r>
      <w:r>
        <w:rPr>
          <w:rFonts w:ascii="Arial" w:cs="Arial" w:eastAsia="Arial" w:hAnsi="Arial"/>
          <w:sz w:val="18"/>
          <w:szCs w:val="18"/>
          <w:color w:val="auto"/>
        </w:rPr>
        <w:t>$20,096 as disclosed above, $3,899 of losses on auction rate securities and $3,319 of allocated interest expense incurred on the $350,000 senior secured term loan that we used to fund a portion of the HomEq Acquisition. The losses on auction rate securities include realized losses of $1,892 primarily as a result of sales during the second quarter. In addition, during the second quarter of 2010 we recorded a charge of $3,000 to write-off of our investment in a commercial real estate partnership. Professional services expense for the first nine months of 2009 includes $3,501 related to expenses incurred in connection with the Separation.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The following table shows selected assets and liabilities of Corporate Items and Other at:</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163,770</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Trading securities, at fair value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Auction rate (1)</w:t>
            </w:r>
          </w:p>
        </w:tc>
        <w:tc>
          <w:tcPr>
            <w:tcW w:w="10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74,712</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Subordinates and residuals</w:t>
            </w:r>
          </w:p>
        </w:tc>
        <w:tc>
          <w:tcPr>
            <w:tcW w:w="10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4,008</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16,303</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133,782</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Interest-earning collateral deposits (2)</w:t>
            </w:r>
          </w:p>
        </w:tc>
        <w:tc>
          <w:tcPr>
            <w:tcW w:w="10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33,462</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5,439</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435,539</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514,177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6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 (1)</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64,448</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Investment line (1)</w:t>
            </w:r>
          </w:p>
        </w:tc>
        <w:tc>
          <w:tcPr>
            <w:tcW w:w="10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 (3)</w:t>
            </w:r>
          </w:p>
        </w:tc>
        <w:tc>
          <w:tcPr>
            <w:tcW w:w="10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82,554</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Fair value of derivatives (2)</w:t>
            </w:r>
          </w:p>
        </w:tc>
        <w:tc>
          <w:tcPr>
            <w:tcW w:w="10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21,389</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Liability for selected tax items</w:t>
            </w:r>
          </w:p>
        </w:tc>
        <w:tc>
          <w:tcPr>
            <w:tcW w:w="10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3,216</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Checks held for escheat</w:t>
            </w:r>
          </w:p>
        </w:tc>
        <w:tc>
          <w:tcPr>
            <w:tcW w:w="10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5,062</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Payable to Altisource</w:t>
            </w:r>
          </w:p>
        </w:tc>
        <w:tc>
          <w:tcPr>
            <w:tcW w:w="10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3,460</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(4)</w:t>
            </w:r>
          </w:p>
        </w:tc>
        <w:tc>
          <w:tcPr>
            <w:tcW w:w="10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32,976</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18,909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040" w:type="dxa"/>
            <w:vAlign w:val="bottom"/>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AF9E8"/>
          </w:tcPr>
          <w:p>
            <w:pPr>
              <w:jc w:val="right"/>
              <w:ind w:right="560"/>
              <w:spacing w:after="0"/>
              <w:rPr>
                <w:sz w:val="20"/>
                <w:szCs w:val="20"/>
                <w:color w:val="auto"/>
              </w:rPr>
            </w:pPr>
            <w:r>
              <w:rPr>
                <w:rFonts w:ascii="Arial" w:cs="Arial" w:eastAsia="Arial" w:hAnsi="Arial"/>
                <w:sz w:val="18"/>
                <w:szCs w:val="18"/>
                <w:color w:val="auto"/>
              </w:rPr>
              <w:t>213,105</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302,253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60" w:hanging="352"/>
        <w:spacing w:after="0" w:line="267" w:lineRule="auto"/>
        <w:tabs>
          <w:tab w:leader="none" w:pos="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first quarter of 2010, we liquidated $137,575 par value of securities as the result of the settlement of two of our auction rate securities litigation actions and the sale of certain auction rate securities. Furthermore, we sold $88,150 par value of securities with the option to repurchase the same securities at the same sales price until October 2012 and recognized the sale as a secured borrowing. We used these proceeds to repay the investment line. In the second quarter of 2010, we repurchased $46,800 par value of these securities at the initial sale price of $40,504, reduced the liability and sold the securities for cash proceeds of $44,460. Also in the second quarter of 2010, we sold auction rate securities with a par value of $35,000 under an agreement to repurchase and received proceeds of $21,704. We report repurchase agreem ents as collateralized financings and report the obligations to repurchase the assets sold as a secured borrowing.</w:t>
      </w:r>
    </w:p>
    <w:p>
      <w:pPr>
        <w:spacing w:after="0" w:line="4" w:lineRule="exact"/>
        <w:rPr>
          <w:rFonts w:ascii="Arial" w:cs="Arial" w:eastAsia="Arial" w:hAnsi="Arial"/>
          <w:sz w:val="17"/>
          <w:szCs w:val="17"/>
          <w:color w:val="auto"/>
        </w:rPr>
      </w:pPr>
    </w:p>
    <w:p>
      <w:pPr>
        <w:ind w:left="360" w:right="60" w:hanging="352"/>
        <w:spacing w:after="0" w:line="265" w:lineRule="auto"/>
        <w:tabs>
          <w:tab w:leader="none" w:pos="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 disclosed in Note 18, we entered into interest rate swap agreements during the second quarter to hedge against our exposure to an increase in variable interest rates. At September 30, 2010, we have $25,712 of cash collateral on deposit with the counterparties to the swap agreements.</w:t>
      </w:r>
    </w:p>
    <w:p>
      <w:pPr>
        <w:ind w:left="360" w:right="80" w:hanging="352"/>
        <w:spacing w:after="0" w:line="250" w:lineRule="auto"/>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January 2010, we repurchased $12,930 par value of our 10.875% Capital Trust Securities at a discount to par in the open market which generated a gain of $717, net of the write-off of unamortized issuance costs. In June 2010, we repurchased $80 par value of Capital Trust Securities which generated a net gain of $6.</w:t>
      </w:r>
    </w:p>
    <w:p>
      <w:pPr>
        <w:spacing w:after="0" w:line="1" w:lineRule="exact"/>
        <w:rPr>
          <w:rFonts w:ascii="Arial" w:cs="Arial" w:eastAsia="Arial" w:hAnsi="Arial"/>
          <w:sz w:val="18"/>
          <w:szCs w:val="18"/>
          <w:color w:val="auto"/>
        </w:rPr>
      </w:pPr>
    </w:p>
    <w:p>
      <w:pPr>
        <w:ind w:left="360" w:right="600" w:hanging="352"/>
        <w:spacing w:after="0" w:line="261" w:lineRule="auto"/>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balance at September 30, 2010 includes accruals of $18,904 established in connection with litigation. See Note 25 for additional information regarding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29" w:lineRule="exact"/>
        <w:rPr>
          <w:sz w:val="20"/>
          <w:szCs w:val="20"/>
          <w:color w:val="auto"/>
        </w:rPr>
      </w:pPr>
    </w:p>
    <w:p>
      <w:pPr>
        <w:jc w:val="both"/>
        <w:ind w:right="180" w:firstLine="324"/>
        <w:spacing w:after="0" w:line="297" w:lineRule="auto"/>
        <w:rPr>
          <w:sz w:val="20"/>
          <w:szCs w:val="20"/>
          <w:color w:val="auto"/>
        </w:rPr>
      </w:pPr>
      <w:r>
        <w:rPr>
          <w:rFonts w:ascii="Arial" w:cs="Arial" w:eastAsia="Arial" w:hAnsi="Arial"/>
          <w:sz w:val="16"/>
          <w:szCs w:val="16"/>
          <w:color w:val="auto"/>
        </w:rPr>
        <w:t>Total equity amounted to $888,692 at September 30, 2010 as compared to $865,863 at December 31, 2009. This increase of $22,829 is primarily due to net income of $28,063. In addition, as more fully described in Note 1—Securitizations of Residential Mortgage Loans, we recorded a $2,274 increase in the opening balance of retained earnings upon adoption of ASU 2009-17 (ASC 810, Consolidation) on January 1, 2010. The exercise of 502,026 stock options and the compensation in the form of employee share-based awards also contributed to the increase in equity in 2010. Partially offsetting these increases, we recognized $12,950 of unrealized losses, net of taxes of $7,606, in Other comprehensive loss on interest rate swaps that we designated as cash flow hedges.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Income tax expense (benefit) was $(7,487) and $65,294 for the third quarter of 2010 and 2009, respectively. For the nine-month periods, income tax expense (benefit) was $310 and $82,803 for the 2010 and 2009,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7" w:name="page58"/>
    <w:bookmarkEnd w:id="57"/>
    <w:p>
      <w:pPr>
        <w:ind w:right="100" w:firstLine="324"/>
        <w:spacing w:after="0" w:line="297" w:lineRule="auto"/>
        <w:rPr>
          <w:sz w:val="20"/>
          <w:szCs w:val="20"/>
          <w:color w:val="auto"/>
        </w:rPr>
      </w:pPr>
      <w:r>
        <w:rPr>
          <w:rFonts w:ascii="Arial" w:cs="Arial" w:eastAsia="Arial" w:hAnsi="Arial"/>
          <w:sz w:val="16"/>
          <w:szCs w:val="16"/>
          <w:color w:val="auto"/>
        </w:rPr>
        <w:t>Our effective tax rate for first nine months of 2010 was 1.29% as compared to 35.3% for the same period of 2009. Income tax expense on Income from continuing operations before income taxes differs from amounts that would be computed by applying the U.S. Federal corporate income tax rate of 35% primarily because of the effect of foreign taxes and foreign tax rates, foreign income with an indefinite deferral from U.S. taxation, losses from consolidated VIEs and state taxes. In addition, the effective rate reflects a benefit from the release of a reserve of $12,005 predominantly related to the wind down and liquidation of an advance financing structure and statute expirations. The reserve for these items had been recorded in prior years.</w:t>
      </w:r>
    </w:p>
    <w:p>
      <w:pPr>
        <w:spacing w:after="0" w:line="15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effective tax rate for first nine months of 2010 includes a non-cash benefit of approximately 7.2% associated with the recognition of certain foreign deferred tax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define liquidity as unencumbered cash balances plus unused, collateralized advance financing capacity. Our liquidity as of September 30, 2010, as measured by cash and available credit, was $312,578, an increase of $20,463, or 7%, from December 31, 2009 to September 30, 2010. At September 30, 2010, our cash position was $163,911 compared to $90,919 at December 31, 2009. Our available credit on collateralized but unused advance financing capacity was $148,667 at September 30, 2010 compared to $201,195 at December 31, 2009.</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ectPr>
          <w:pgSz w:w="11900" w:h="16838" w:orient="portrait"/>
          <w:cols w:equalWidth="0" w:num="1">
            <w:col w:w="11360"/>
          </w:cols>
          <w:pgMar w:left="240" w:top="490" w:right="299" w:bottom="1440" w:gutter="0" w:footer="0" w:header="0"/>
        </w:sectPr>
      </w:pP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Match funded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Lines of credit and other secured borrowings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420"/>
        <w:spacing w:after="0" w:line="291" w:lineRule="auto"/>
        <w:rPr>
          <w:sz w:val="20"/>
          <w:szCs w:val="20"/>
          <w:color w:val="auto"/>
        </w:rPr>
      </w:pPr>
      <w:r>
        <w:rPr>
          <w:rFonts w:ascii="Arial" w:cs="Arial" w:eastAsia="Arial" w:hAnsi="Arial"/>
          <w:sz w:val="16"/>
          <w:szCs w:val="16"/>
          <w:color w:val="auto"/>
        </w:rPr>
        <w:t>Payments received on loans held for resale Payments received on trading securities</w:t>
      </w:r>
    </w:p>
    <w:p>
      <w:pPr>
        <w:spacing w:after="0" w:line="1" w:lineRule="exact"/>
        <w:rPr>
          <w:sz w:val="20"/>
          <w:szCs w:val="20"/>
          <w:color w:val="auto"/>
        </w:rPr>
      </w:pPr>
    </w:p>
    <w:p>
      <w:pPr>
        <w:sectPr>
          <w:pgSz w:w="11900" w:h="16838" w:orient="portrait"/>
          <w:cols w:equalWidth="0" w:num="4">
            <w:col w:w="640" w:space="520"/>
            <w:col w:w="4400" w:space="720"/>
            <w:col w:w="60" w:space="520"/>
            <w:col w:w="4500"/>
          </w:cols>
          <w:pgMar w:left="240" w:top="490" w:right="299" w:bottom="1440" w:gutter="0" w:footer="0" w:header="0"/>
          <w:type w:val="continuous"/>
        </w:sect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Servicing fees and ancillary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near-term sources, additional long-term sources of liquidity include debt securities and equity capital.</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primary uses of funds are the funding of servicing advances, the payment of interest and operating expenses, the purchase of servicing rights and the repayment of borrowings. We closely monitor our liquidity position and ongoing funding requirements.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25" w:lineRule="exact"/>
        <w:rPr>
          <w:sz w:val="20"/>
          <w:szCs w:val="20"/>
          <w:color w:val="auto"/>
        </w:rPr>
      </w:pPr>
    </w:p>
    <w:p>
      <w:pPr>
        <w:ind w:left="1160" w:hanging="693"/>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government-sponsored enterprise</w:t>
      </w:r>
    </w:p>
    <w:p>
      <w:pPr>
        <w:spacing w:after="0" w:line="23" w:lineRule="exact"/>
        <w:rPr>
          <w:rFonts w:ascii="Arial" w:cs="Arial" w:eastAsia="Arial" w:hAnsi="Arial"/>
          <w:sz w:val="18"/>
          <w:szCs w:val="18"/>
          <w:color w:val="auto"/>
        </w:rPr>
      </w:pPr>
    </w:p>
    <w:p>
      <w:pPr>
        <w:ind w:left="1160" w:hanging="693"/>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1160" w:hanging="693"/>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21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Currently, we are primarily invested in money market demand deposits. Furthermore, our investment policies are intended to minimize credit and counterparty risk by establishing risk limits based on each counterparty’s equity size and long-term credit ratings.</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regularly monitor and project cash flow timing in connection with our efforts to minimize liquidity risk. In assessing our liquidity outlook, our primary focus is on two measures:</w:t>
      </w:r>
    </w:p>
    <w:p>
      <w:pPr>
        <w:spacing w:after="0" w:line="170" w:lineRule="exact"/>
        <w:rPr>
          <w:sz w:val="20"/>
          <w:szCs w:val="20"/>
          <w:color w:val="auto"/>
        </w:rPr>
      </w:pPr>
    </w:p>
    <w:p>
      <w:pPr>
        <w:ind w:left="1160" w:right="220" w:hanging="693"/>
        <w:spacing w:after="0" w:line="277" w:lineRule="auto"/>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relationship of dollars generated from maturing assets compared to dollars generated from maturing liabilities assuming no renewal of existing facilities and no new financings</w:t>
      </w:r>
    </w:p>
    <w:p>
      <w:pPr>
        <w:spacing w:after="0" w:line="170" w:lineRule="exact"/>
        <w:rPr>
          <w:rFonts w:ascii="Arial" w:cs="Arial" w:eastAsia="Arial" w:hAnsi="Arial"/>
          <w:sz w:val="18"/>
          <w:szCs w:val="18"/>
          <w:color w:val="auto"/>
        </w:rPr>
      </w:pPr>
    </w:p>
    <w:p>
      <w:pPr>
        <w:ind w:left="1160" w:hanging="693"/>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Unused borrowing capacity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September 30, 2010, $992,654 of our total maximum borrowing capacity remained unused. The unused borrowing capacity in the Servicing business may be utilized in the future by pledging additional qualifying collateral to our facilities. We plan to reduce unused borrowing capacity in the future to a level that we consider sufficient in order to reduce the up-front facility costs within interest expense.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unused borrowing capacity for three reasons:</w:t>
      </w:r>
    </w:p>
    <w:p>
      <w:pPr>
        <w:spacing w:after="0" w:line="225" w:lineRule="exact"/>
        <w:rPr>
          <w:sz w:val="20"/>
          <w:szCs w:val="20"/>
          <w:color w:val="auto"/>
        </w:rPr>
      </w:pPr>
    </w:p>
    <w:p>
      <w:pPr>
        <w:ind w:left="1160" w:hanging="693"/>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 and</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servicing.</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In the fourth quarter of 2010, we expect to reduce up-front facility fees and reduce excess capacity in our advance facilities.</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also expect to benefit from the increase in the duration of our funding sources. Our $410,000 of TALF issuances, $28,000 variable funding term note and $811,000 HomEq facility funded with three-year term notes account for 78% of our drawn advance financing on September 30, 2010.</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type w:val="continuous"/>
        </w:sectPr>
      </w:pPr>
    </w:p>
    <w:bookmarkStart w:id="58" w:name="page59"/>
    <w:bookmarkEnd w:id="58"/>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nine months ended September 30, 2010, we:</w:t>
      </w:r>
    </w:p>
    <w:p>
      <w:pPr>
        <w:spacing w:after="0" w:line="229" w:lineRule="exact"/>
        <w:rPr>
          <w:sz w:val="20"/>
          <w:szCs w:val="20"/>
          <w:color w:val="auto"/>
        </w:rPr>
      </w:pPr>
    </w:p>
    <w:p>
      <w:pPr>
        <w:ind w:left="1160" w:hanging="69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Issued $1,011,000 of notes in connection with the financing of advances acquired as part of the HomEq Acquisition;</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Renewed a $500,000 advance note;</w:t>
      </w:r>
    </w:p>
    <w:p>
      <w:pPr>
        <w:spacing w:after="0" w:line="225" w:lineRule="exact"/>
        <w:rPr>
          <w:rFonts w:ascii="Arial" w:cs="Arial" w:eastAsia="Arial" w:hAnsi="Arial"/>
          <w:sz w:val="18"/>
          <w:szCs w:val="18"/>
          <w:color w:val="auto"/>
        </w:rPr>
      </w:pPr>
    </w:p>
    <w:p>
      <w:pPr>
        <w:ind w:left="1160" w:right="120" w:hanging="693"/>
        <w:spacing w:after="0" w:line="27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Entered into a $350,000 senior secured term loan that was issued with an original issued discount of $7,000 and used to fund a portion of the HomEq Acquisition as well as for general corporate purposes, of which $8,750 was repaid in September;</w:t>
      </w:r>
    </w:p>
    <w:p>
      <w:pPr>
        <w:spacing w:after="0" w:line="170" w:lineRule="exact"/>
        <w:rPr>
          <w:rFonts w:ascii="Arial" w:cs="Arial" w:eastAsia="Arial" w:hAnsi="Arial"/>
          <w:sz w:val="18"/>
          <w:szCs w:val="18"/>
          <w:color w:val="auto"/>
        </w:rPr>
      </w:pPr>
    </w:p>
    <w:p>
      <w:pPr>
        <w:ind w:left="1160" w:hanging="69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Renewed and extended a variable funding note with a maximum borrowing capacity of $300,000;</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Issued $200,000 of advance receivable backed notes under the TALF program;</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Fully repaid $156,968 on our auction rate securities investment line;</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Renewed a $100,000 advance note;</w:t>
      </w:r>
    </w:p>
    <w:p>
      <w:pPr>
        <w:spacing w:after="0" w:line="225" w:lineRule="exact"/>
        <w:rPr>
          <w:rFonts w:ascii="Arial" w:cs="Arial" w:eastAsia="Arial" w:hAnsi="Arial"/>
          <w:sz w:val="18"/>
          <w:szCs w:val="18"/>
          <w:color w:val="auto"/>
        </w:rPr>
      </w:pPr>
    </w:p>
    <w:p>
      <w:pPr>
        <w:ind w:left="1160" w:right="660" w:hanging="693"/>
        <w:spacing w:after="0" w:line="27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Entered into financing arrangements collateralized by auction rate securities with a combined fair value and par value of $33,118 and $35,000, respectively, at September 30, 2010;</w:t>
      </w:r>
    </w:p>
    <w:p>
      <w:pPr>
        <w:spacing w:after="0" w:line="170" w:lineRule="exact"/>
        <w:rPr>
          <w:rFonts w:ascii="Arial" w:cs="Arial" w:eastAsia="Arial" w:hAnsi="Arial"/>
          <w:sz w:val="18"/>
          <w:szCs w:val="18"/>
          <w:color w:val="auto"/>
        </w:rPr>
      </w:pPr>
    </w:p>
    <w:p>
      <w:pPr>
        <w:ind w:left="1160" w:right="140" w:hanging="693"/>
        <w:spacing w:after="0" w:line="27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Entered into financing agreements collateralized by Ocwen Real Estate Asset Liquidating Trust 2007-1 Notes with a par value of $32,716 at September 30, 2010.</w:t>
      </w:r>
    </w:p>
    <w:p>
      <w:pPr>
        <w:spacing w:after="0" w:line="170" w:lineRule="exact"/>
        <w:rPr>
          <w:rFonts w:ascii="Arial" w:cs="Arial" w:eastAsia="Arial" w:hAnsi="Arial"/>
          <w:sz w:val="18"/>
          <w:szCs w:val="18"/>
          <w:color w:val="auto"/>
        </w:rPr>
      </w:pPr>
    </w:p>
    <w:p>
      <w:pPr>
        <w:ind w:left="1160" w:hanging="69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Repurchased Capital Trust Securities with a face value of $13,010;</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Repaid $12,000 on our original $60,000 fee reimbursement advance; and</w:t>
      </w:r>
    </w:p>
    <w:p>
      <w:pPr>
        <w:spacing w:after="0" w:line="225" w:lineRule="exact"/>
        <w:rPr>
          <w:rFonts w:ascii="Arial" w:cs="Arial" w:eastAsia="Arial" w:hAnsi="Arial"/>
          <w:sz w:val="18"/>
          <w:szCs w:val="18"/>
          <w:color w:val="auto"/>
        </w:rPr>
      </w:pPr>
    </w:p>
    <w:p>
      <w:pPr>
        <w:ind w:left="1160" w:hanging="69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Repaid $1,400 on our original $7,000 term note.</w:t>
      </w:r>
    </w:p>
    <w:p>
      <w:pPr>
        <w:spacing w:after="0" w:line="22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Maximum borrowing capacity for match funded advances increased by $1,239,000 from $1,360,000 at December 31, 2009 to $2,599,000 at September 30, 2010. This increase is the result of our issuance of $1,011,000 of notes in connection with the financing of advances acquired as part of the HomEq Acquisition, our issuance of the TALF notes and our ability to renew and increase advance facility notes before they entered their amortization period. We increased our unused advance borrowing capacity from $894,309 at December 31, 2009 to $992,654 at September 30, 2010 despite an increase in advances and match funded advances of $1,377,398. The primary reasons for the net increase in advances in 2010 were our acquisition of the $22.4 billion HomEq Servicing portfolio and our acquisition of a $6.9 billion servicing portfolio during the second quarte r.</w:t>
      </w:r>
    </w:p>
    <w:p>
      <w:pPr>
        <w:spacing w:after="0" w:line="17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Our ability to finance servicing advances is a significant factor that affects our liquidity. Four of our match funded advance facilities that are rated are subject to increases in the financing discount if deemed necessary by the rating agencies in order to maintain the minimum rating required for the facility. While several rating agencies have adjusted their methodology for rating servicer advances and advance rates for newly issued notes are lower than in the past, we do not expect future advance rate changes to have a material effect on our liquidity. Our ability to continue to pledge collateral under each advance facility depends on the performance of the collateral. Currently, the majority of our collateral qualifies for financing under the advance facility to which it is pledged.</w:t>
      </w:r>
    </w:p>
    <w:p>
      <w:pPr>
        <w:spacing w:after="0" w:line="19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discussed in the Overview - Strategic Priorities section and in the Risk Factors section, recent inquiries into servicer foreclosure processes could result in actions by State or Federal governmental bodies, regulators or the courts that could result in an extension of foreclosure timelines. While the effect on Ocwen’s advance balances and liquidity so far has been too small to measure and advances as a percent of UPB have continued to decline throughout the end of October, 2010, a material extension in foreclosure timelines could result in an increase in future advance balances. The impact of such an increase in advances on liquidity will be lessened if Ocwen maintains its ability to utilize spare capacity on its advance facilities as approximately 75% of the increase in advances could be borrowed. Conversely, if foreclosure mo ratoria are issued in a manner that is undefined such that there is a question around whether advances on foreclosed properties can be recovered in a timely manner, Ocwen may no longer be obligated to advance and may be able to recover existing advances in certain securitizations from pool-level collections which could cause advances to decrease. If any fines are assessed this will reduce earnings and cash. Two of Ocwen’s match funded advance facilities have provisions that limit new borrowing if average foreclosure timelines extend beyond a certain time period which under extreme circumstances could adversely affect liquidity by reducing Ocwen’s average effective advance rate.</w:t>
      </w:r>
    </w:p>
    <w:p>
      <w:pPr>
        <w:spacing w:after="0" w:line="16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are currently in compliance with these covenants and do not expect them to restrict our activities.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59" w:name="page60"/>
    <w:bookmarkEnd w:id="59"/>
    <w:p>
      <w:pPr>
        <w:jc w:val="both"/>
        <w:ind w:right="360" w:firstLine="324"/>
        <w:spacing w:after="0" w:line="303" w:lineRule="auto"/>
        <w:rPr>
          <w:sz w:val="20"/>
          <w:szCs w:val="20"/>
          <w:color w:val="auto"/>
        </w:rPr>
      </w:pPr>
      <w:r>
        <w:rPr>
          <w:rFonts w:ascii="Arial" w:cs="Arial" w:eastAsia="Arial" w:hAnsi="Arial"/>
          <w:sz w:val="16"/>
          <w:szCs w:val="16"/>
          <w:b w:val="1"/>
          <w:bCs w:val="1"/>
          <w:color w:val="auto"/>
        </w:rPr>
        <w:t>Cash flows for the nine months ended September 30, 2010</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operating activities provided $434,582 of cash primarily due to our liquidation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auction rate securities and net collections of servicing advances. Trading activities provided $168,853 of cash from sales, settlements and redemptions of auction rate securities. Excluding the advances acquired in connection with the $22.4 billion HomEq Servicing portfolio in the third quarter and the $6.9 billion servicing portfolio in the second quarter, advances declined $204,343 while servicer liabilities declined by $36,304.</w:t>
      </w:r>
    </w:p>
    <w:p>
      <w:pPr>
        <w:spacing w:after="0" w:line="15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investing activities used $1,711,776 of cash during the first nine months of 2010. During the third quarter of 2010, we paid $1,167,122 to acquire the HomEq Servicing business including $84,683 of MSRs and $1,062,873 of advances. During the second quarter of 2010, we paid $23,425 to purchase MSRs and acquired $528,882 of advances and other assets in connection with the acquisition of a $6.9 billion servicing portfolio. We also received $3,542 of distributions from our asset management entities during the first nine months of 2010.</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financing activities provided $1,350,186 of cash primarily consisting of $1,140,655 of net proceeds from match funded liabilities of our Servicing business including $824,000 received in connection with the notes issued to finance the advances acquired as part of the HomEq Acquisition. We also received proceeds of $343,000 from the issuance of a senior secured term loan and $96,636 from collateralized financing transactions involving auction rate securities which we recognized as secured borrowings. This was partially offset by our repayment of the investment line of $156,968, reduction in borrowings collateralized by auction rate securities of $40,504 and purchase of our Capital Trust Securities with a face value of $13,010 for $11,659. We also paid the first annual installment of $12,000 on our $60,000 fee reimbursement advance and the first quarterly installment of $8,750 on the new senior secured term loan.</w:t>
      </w:r>
    </w:p>
    <w:p>
      <w:pPr>
        <w:spacing w:after="0" w:line="185" w:lineRule="exact"/>
        <w:rPr>
          <w:sz w:val="20"/>
          <w:szCs w:val="20"/>
          <w:color w:val="auto"/>
        </w:rPr>
      </w:pPr>
    </w:p>
    <w:p>
      <w:pPr>
        <w:ind w:right="500" w:firstLine="324"/>
        <w:spacing w:after="0" w:line="266" w:lineRule="auto"/>
        <w:rPr>
          <w:sz w:val="20"/>
          <w:szCs w:val="20"/>
          <w:color w:val="auto"/>
        </w:rPr>
      </w:pPr>
      <w:r>
        <w:rPr>
          <w:rFonts w:ascii="Arial" w:cs="Arial" w:eastAsia="Arial" w:hAnsi="Arial"/>
          <w:sz w:val="18"/>
          <w:szCs w:val="18"/>
          <w:b w:val="1"/>
          <w:bCs w:val="1"/>
          <w:color w:val="auto"/>
        </w:rPr>
        <w:t xml:space="preserve">Cash flows for the nine months ended September 30, 2009. </w:t>
      </w:r>
      <w:r>
        <w:rPr>
          <w:rFonts w:ascii="Arial" w:cs="Arial" w:eastAsia="Arial" w:hAnsi="Arial"/>
          <w:sz w:val="18"/>
          <w:szCs w:val="18"/>
          <w:color w:val="auto"/>
        </w:rPr>
        <w:t>Our operating activities provided $229,529 reflecting a decline in the funding</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our Servicing operations and a decline in net cash used by trading activities. We collected net cash of $187,669 on advances and match funded advances while servicer liabilities declined by $76,294.</w:t>
      </w:r>
    </w:p>
    <w:p>
      <w:pPr>
        <w:spacing w:after="0" w:line="18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investing activities used $7,151 of net cash primarily due to the purchase of MSRs for $10,241 offset by $4,496 of distributions we received from our asset management entities.</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financing activities used $227,549 of cash as we made $427,328 of net repayments of borrowings under our match funded advance facilities as a result of declines in servicing advances and our use of cash reserves to reduce advance borrowings. These payments were offset in part by $324,167 of net proceeds from the issuance and repurchase of common stock including $274,980 from the public offering of 32,200,000 shares in August 2009. Repayments of $97,987 on a note secured by mortgage servicing rights were partly offset by net proceeds of $67,000 from two new secured borrowings. We also repaid $33,551 on the investment line, paid $24,612 to repurchase a portion of our 3.25% Convertible Notes and distributed $20,028 of cash in connection with the Altisource separation.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Such contractual obligations include our Convertible Notes, Capital Trust Securities, lines of credit and other secured borrowings, interest payments and operating leases. See Note 25 to the Interim Consolidated Financial Statements for additional information regarding commitments and contingencies.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In the normal course of business, we engage in transactions with a variety of financial institutions and other companies that are not reflected on our Consolidated Balance Sheet. We are subject to potential financial loss if the counterparties to our off-balance sheet transactions are unable to complete an agreed upon transaction. We seek to limit counterparty risk through financial analysis, dollar limits and other monitoring procedures.</w:t>
      </w:r>
    </w:p>
    <w:p>
      <w:pPr>
        <w:spacing w:after="0" w:line="166"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currently use these derivatives principally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our interest rate risk. The notional amounts of our derivative contracts do not reflect our exposure to credit loss. See Note 18 to our Interim Consolidated Financial Statements for additional information regarding derivatives.</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60" w:name="page61"/>
    <w:bookmarkEnd w:id="60"/>
    <w:p>
      <w:pPr>
        <w:ind w:firstLine="324"/>
        <w:spacing w:after="0" w:line="254" w:lineRule="auto"/>
        <w:rPr>
          <w:sz w:val="20"/>
          <w:szCs w:val="20"/>
          <w:color w:val="auto"/>
        </w:rPr>
      </w:pPr>
      <w:r>
        <w:rPr>
          <w:rFonts w:ascii="Arial" w:cs="Arial" w:eastAsia="Arial" w:hAnsi="Arial"/>
          <w:sz w:val="18"/>
          <w:szCs w:val="18"/>
          <w:color w:val="auto"/>
        </w:rPr>
        <w:t>Our securitizations of mortgage loans were structured as sales. The SPEs to which we transferred the mortgage loans were qualifying special purpose entities (QSPEs) and, therefore, were not subject to consolidation through 2009. We have retained both subordinated and residual interests in these SPEs. Where we are the servicer of the securitized loans, we generally have the right to repurchase the mortgage loans from the SPE when the costs exceed the benefits of servicing the remaining loans. As disclosed in the Recent Accounting Developments below, ASC 860 amended the current accounting standards primarily to eliminate the concept of a QSPE. Effective January 1, 2010, ASC 810 required that we reevaluate these QSPEs as well as all other potentially significant interests in other unconsolidated entities to determine if we should include th em in our consolidated financial statements. We have determined that these QSPEs are VIEs and that we are the primary beneficiary of four of these QSPEs and have included them in our consolidated financial statements effective January 1, 2010.</w:t>
      </w:r>
    </w:p>
    <w:p>
      <w:pPr>
        <w:spacing w:after="0" w:line="19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or because we are the primary beneficiary where the SPE is also a VIE. The holders of the debt of these SPEs can look only to the assets of the SPEs for satisfaction of the debt and have no recourse against OCN. However, OLS has guaranteed the payment of the obligations of the issuer under a match funded facility that closed in April 2008. The maximum amount payable under the guarantee is limited to 10% of the notes outstanding at the end of the facility’s revolving period.</w:t>
      </w:r>
    </w:p>
    <w:p>
      <w:pPr>
        <w:spacing w:after="0" w:line="193"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 In addition to certain of our financing SPEs, we have invested in several other VIEs primarily in connection with purchases and securitizations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whole loans. If we determine that we are the primary beneficiary of a VIE, we report the VIE in our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Listed below are recent accounting pronouncements which did or are expected to have a significant impact upon adoption. For additional information regarding these and other recent accounting pronouncements, see Note 2 to our Interim Consolidated Financial Statements.</w:t>
      </w:r>
    </w:p>
    <w:p>
      <w:pPr>
        <w:spacing w:after="0" w:line="14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 xml:space="preserve">ASU 2009-16 (ASC 860, Transfers and Servicing). </w:t>
      </w:r>
      <w:r>
        <w:rPr>
          <w:rFonts w:ascii="Arial" w:cs="Arial" w:eastAsia="Arial" w:hAnsi="Arial"/>
          <w:sz w:val="17"/>
          <w:szCs w:val="17"/>
          <w:color w:val="auto"/>
        </w:rPr>
        <w:t>This statement eliminates the exceptions for qualifying special purpose entities (QSPE)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guidance (ASC 810) and clarifies that the objective of the standard is to 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currently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statement defines the term participating interest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19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provisions for guaranteed mortgage securitizations are removed to require those securitizations to be treated the same as any other transfer of financial assets within the scope of the standard. If such a transfer does not meet the requirements for sale accounting, the securitized mortgage loans should continue to be classified as loans in the transferor’s statement of financial position.</w:t>
      </w:r>
    </w:p>
    <w:p>
      <w:pPr>
        <w:spacing w:after="0" w:line="181"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We adopted this standard effective January 1, 2010 as a result of which, we reevaluated certain QSPEs with which we had ongoing relationships as further described under ASU 2009-17, below, and reassessed the adequacy of our disclosures with regard to our servicing assets and servicing liabilities.</w:t>
      </w:r>
    </w:p>
    <w:p>
      <w:pPr>
        <w:spacing w:after="0" w:line="124"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i w:val="1"/>
          <w:iCs w:val="1"/>
          <w:color w:val="auto"/>
        </w:rPr>
        <w:t xml:space="preserve">ASC 810, Consolidation. </w:t>
      </w:r>
      <w:r>
        <w:rPr>
          <w:rFonts w:ascii="Arial" w:cs="Arial" w:eastAsia="Arial" w:hAnsi="Arial"/>
          <w:sz w:val="18"/>
          <w:szCs w:val="18"/>
          <w:color w:val="auto"/>
        </w:rPr>
        <w:t>This standard requires an enterprise to perform ongoing periodic assessments to determine whether the enterprise’s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interests give it a controlling financial interest in a VIE. We adopted this standard effective January 1, 2010. This analysis identifies the primary beneficiary of a VIE as the enterprise that has both of the following characteristics:</w:t>
      </w:r>
    </w:p>
    <w:p>
      <w:pPr>
        <w:spacing w:after="0" w:line="181"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power to direct the activities of a variable interest entity that most significantly impact the entity’s economic performance</w:t>
      </w:r>
    </w:p>
    <w:p>
      <w:pPr>
        <w:spacing w:after="0" w:line="225" w:lineRule="exact"/>
        <w:rPr>
          <w:rFonts w:ascii="Arial" w:cs="Arial" w:eastAsia="Arial" w:hAnsi="Arial"/>
          <w:sz w:val="18"/>
          <w:szCs w:val="18"/>
          <w:color w:val="auto"/>
        </w:rPr>
      </w:pPr>
    </w:p>
    <w:p>
      <w:pPr>
        <w:ind w:left="580" w:right="180" w:hanging="572"/>
        <w:spacing w:after="0" w:line="277"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obligation to absorb losses of the entity that could potentially be significant to the VIE or the right to receive benefits from the entity that could potentially be significant to the VIE.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1" w:name="page62"/>
    <w:bookmarkEnd w:id="61"/>
    <w:p>
      <w:pPr>
        <w:ind w:right="260" w:firstLine="324"/>
        <w:spacing w:after="0" w:line="276" w:lineRule="auto"/>
        <w:rPr>
          <w:sz w:val="20"/>
          <w:szCs w:val="20"/>
          <w:color w:val="auto"/>
        </w:rPr>
      </w:pPr>
      <w:r>
        <w:rPr>
          <w:rFonts w:ascii="Arial" w:cs="Arial" w:eastAsia="Arial" w:hAnsi="Arial"/>
          <w:sz w:val="17"/>
          <w:szCs w:val="17"/>
          <w:color w:val="auto"/>
        </w:rPr>
        <w:t>In addition to reintroducing the concept of control into the determination of the primary beneficiary of a VIE, this statement makes numerous other amendments to the current standards primarily to reflect the elimination of the concept of a QSPE under ASC 860 (above). This statement also amends the current standards to require enhanced disclosures that will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1—Summary of Significant Accounting Policies.</w:t>
      </w:r>
    </w:p>
    <w:p>
      <w:pPr>
        <w:spacing w:after="0" w:line="1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also disclosed in Note 1—Summary of Significant Accounting Policies, we previously excluded certain loan securitization trusts from our consolidated financial statements because each was a QSPE. Effective January 1, 2010, we reevaluated these QSPEs as well as all other potentially significant interests in other unconsolidated entities to determine if we should include them in our consolidated financial statements.</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 (DOLLARS IN THOUSANDS)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exposed to liquidity risk primarily because of the cash required to support the Servicing business including the requirement to make advances pursuant to servicing contracts. In general, we finance our operations through operating cash flow, match funding agreements and secured borrowings. See the Liquidity Summary and Liquidity and Capital Resources sections for additional discussion of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Interest rate risk is a function of (i) the timing and (ii) the dollar amount of assets and liabilities that re-price at each point in time. We are exposed to interest rate risk to the extent that our interest-bearing liabilities mature or re-price at different speeds, or different bases, than interest-earning assets.</w:t>
      </w:r>
    </w:p>
    <w:p>
      <w:pPr>
        <w:spacing w:after="0" w:line="1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If interest rates increase by 1% on our variable rate advance financing and interest earning cash and float balances, we estimate a net positive impact of approximately $2,930 resulting from an increase of $6,152 in annual interest income compared to an increase of $3,222 in annual interest expense based on September 30, 2010 balances. This outcome is due in large part to our hedging activities. See below and Note 18 to our Interim Consolidated Financial Statements for additional information regarding our use of derivatives.</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At September 30, 2010, we had interest rate caps with a notional amount of $283,333 to hedge our exposure to rising interest rates on variable-rate match funded notes with a combined maximum borrowing capacity of $350,000. In addition, during the second quarter of 2010 we entered into interest rate swaps with a notional amount of $250,000 to hedge a portion of a $500,000 variable-rate advance funding facility of which we were borrowing $258,386 at September 30, 2010. Also during the second quarter of 2010, we entered into interest rate swaps with a notional amount of $637,201 to hedge a portion of the variable-rate debt under the advance facility used to fund advances that were acquired as part of the HomEq Acquisition. We were borrowing $824,000 under this facility at September 30, 2010.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September 30,</w:t>
            </w:r>
          </w:p>
        </w:tc>
      </w:tr>
      <w:tr>
        <w:trPr>
          <w:trHeight w:val="241"/>
        </w:trPr>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EAF9E8"/>
          </w:tcPr>
          <w:p>
            <w:pPr>
              <w:spacing w:after="0"/>
              <w:rPr>
                <w:sz w:val="20"/>
                <w:szCs w:val="20"/>
                <w:color w:val="auto"/>
              </w:rPr>
            </w:pPr>
            <w:r>
              <w:rPr>
                <w:rFonts w:ascii="Arial" w:cs="Arial" w:eastAsia="Arial" w:hAnsi="Arial"/>
                <w:sz w:val="18"/>
                <w:szCs w:val="18"/>
                <w:color w:val="auto"/>
              </w:rPr>
              <w:t>Total borrowings outstanding (1)(2)</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2,148,198</w:t>
            </w:r>
          </w:p>
        </w:tc>
      </w:tr>
      <w:tr>
        <w:trPr>
          <w:trHeight w:val="216"/>
        </w:trPr>
        <w:tc>
          <w:tcPr>
            <w:tcW w:w="2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Fixed rate borrowings</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540,554</w:t>
            </w:r>
          </w:p>
        </w:tc>
      </w:tr>
      <w:tr>
        <w:trPr>
          <w:trHeight w:val="216"/>
        </w:trPr>
        <w:tc>
          <w:tcPr>
            <w:tcW w:w="20" w:type="dxa"/>
            <w:vAlign w:val="bottom"/>
          </w:tcPr>
          <w:p>
            <w:pPr>
              <w:spacing w:after="0"/>
              <w:rPr>
                <w:sz w:val="18"/>
                <w:szCs w:val="18"/>
                <w:color w:val="auto"/>
              </w:rPr>
            </w:pPr>
          </w:p>
        </w:tc>
        <w:tc>
          <w:tcPr>
            <w:tcW w:w="10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Variable rate borrowings</w:t>
            </w:r>
          </w:p>
        </w:tc>
        <w:tc>
          <w:tcPr>
            <w:tcW w:w="2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1,607,644</w:t>
            </w: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451,300</w:t>
            </w:r>
          </w:p>
        </w:tc>
      </w:tr>
      <w:tr>
        <w:trPr>
          <w:trHeight w:val="216"/>
        </w:trPr>
        <w:tc>
          <w:tcPr>
            <w:tcW w:w="20" w:type="dxa"/>
            <w:vAlign w:val="bottom"/>
          </w:tcPr>
          <w:p>
            <w:pPr>
              <w:spacing w:after="0"/>
              <w:rPr>
                <w:sz w:val="18"/>
                <w:szCs w:val="18"/>
                <w:color w:val="auto"/>
              </w:rPr>
            </w:pPr>
          </w:p>
        </w:tc>
        <w:tc>
          <w:tcPr>
            <w:tcW w:w="1014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of interest rate caps</w:t>
            </w:r>
          </w:p>
        </w:tc>
        <w:tc>
          <w:tcPr>
            <w:tcW w:w="2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283,333</w:t>
            </w:r>
          </w:p>
        </w:tc>
      </w:tr>
      <w:tr>
        <w:trPr>
          <w:trHeight w:val="230"/>
        </w:trPr>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Notional balance of interest rate swaps (3)</w:t>
            </w: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879,736</w:t>
            </w:r>
          </w:p>
        </w:tc>
      </w:tr>
    </w:tbl>
    <w:p>
      <w:pPr>
        <w:spacing w:after="0" w:line="187"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Borrowing amounts are exclusive of any related discount.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Excluding Secured borrowings – owed to securitization investors of $64,564, the holders of which have no recourse against the assets of Ocwen.</w:t>
      </w:r>
    </w:p>
    <w:p>
      <w:pPr>
        <w:spacing w:after="0" w:line="236" w:lineRule="exact"/>
        <w:rPr>
          <w:rFonts w:ascii="Arial" w:cs="Arial" w:eastAsia="Arial" w:hAnsi="Arial"/>
          <w:sz w:val="17"/>
          <w:szCs w:val="17"/>
          <w:color w:val="auto"/>
        </w:rPr>
      </w:pPr>
    </w:p>
    <w:p>
      <w:pPr>
        <w:ind w:left="360" w:right="560" w:hanging="352"/>
        <w:spacing w:after="0" w:line="277"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Excluding an interest rate swap held by one of the securitization trusts that we began to include in our consolidated financials statements effective January 1, 2010.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2" w:name="page63"/>
    <w:bookmarkEnd w:id="62"/>
    <w:p>
      <w:pPr>
        <w:jc w:val="both"/>
        <w:ind w:firstLine="324"/>
        <w:spacing w:after="0" w:line="264" w:lineRule="auto"/>
        <w:rPr>
          <w:sz w:val="20"/>
          <w:szCs w:val="20"/>
          <w:color w:val="auto"/>
        </w:rPr>
      </w:pPr>
      <w:r>
        <w:rPr>
          <w:rFonts w:ascii="Arial" w:cs="Arial" w:eastAsia="Arial" w:hAnsi="Arial"/>
          <w:sz w:val="18"/>
          <w:szCs w:val="18"/>
          <w:color w:val="auto"/>
        </w:rPr>
        <w:t>Excluding Loans, net – restricted for securitization investors of $69,736, our Consolidated Balance Sheet at September 30, 2010 included interest-earning assets totaling $234,983 including $31,303 of interest-earning cash accounts, $74,712 of auction rate securities, $65,175 of debt service accounts, $29,352 of loans held for resale and $33,463 of interest-earning collateral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do not consider this risk significant. During the second quarter of 2010, we entered into foreign exchange forward contracts to hedge against the effect of changes in the value of the India Rupee on recurring amounts payable to our subsidiary in India, OFSPL, for services rendered to U.S. affiliates. The notional balance of these contracts was $11,200 at September 30, 2010. We did not designate these contracts as hedges.</w:t>
      </w:r>
    </w:p>
    <w:p>
      <w:pPr>
        <w:spacing w:after="0" w:line="16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as of September 30, 2010. Based on this evaluation, our Chief Executive Officer and Chief Financial Officer concluded that, as of September 30, 2010,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 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18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occurred during the fiscal quarter ended September 30, 2010 that has materially affected, or is reasonably likely to materially affect, our internal control over financial reporting.</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25—Commitments and Contingencies to the Interim Consolidated Financial Statements for information regarding legal proceedings.</w:t>
      </w:r>
    </w:p>
    <w:p>
      <w:pPr>
        <w:spacing w:after="0" w:line="2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The following supplements the discussion of the principal risks and uncertainties that affect or could affect our business operations that was included under Item 1A on pages 11 through 18 of our Annual Report on Form 10-K for the year ended December 31, 2009 and should be read in conjunction with such disclosures.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Our business may be affected by the enactment of the Dodd-Frank Wall Street Reform and Consumer Protection Act. </w:t>
      </w:r>
      <w:r>
        <w:rPr>
          <w:rFonts w:ascii="Arial" w:cs="Arial" w:eastAsia="Arial" w:hAnsi="Arial"/>
          <w:sz w:val="18"/>
          <w:szCs w:val="18"/>
          <w:color w:val="auto"/>
        </w:rPr>
        <w:t>The Dodd-Frank Wall Street Reform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Consumer Protection Act (Dodd-Frank Act) was signed into law on July 21, 2010. Certain provisions of the Dodd-Frank Act may impact our business. For example, we may be required to clear and exchange trade some or all of the swap transactions that we enter into which could result in higher cost, less transaction flexibility and price disclosure. Because many provisions of the Dodd-Frank Act require rulemaking action by governmental agencies to implement, we cannot predict the impact of the Dodd-Frank Act on Ocwen and its business.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3" w:name="page64"/>
    <w:bookmarkEnd w:id="63"/>
    <w:p>
      <w:pPr>
        <w:spacing w:after="0" w:line="288" w:lineRule="auto"/>
        <w:rPr>
          <w:sz w:val="20"/>
          <w:szCs w:val="20"/>
          <w:color w:val="auto"/>
        </w:rPr>
      </w:pPr>
      <w:r>
        <w:rPr>
          <w:rFonts w:ascii="Arial" w:cs="Arial" w:eastAsia="Arial" w:hAnsi="Arial"/>
          <w:sz w:val="16"/>
          <w:szCs w:val="16"/>
          <w:b w:val="1"/>
          <w:bCs w:val="1"/>
          <w:i w:val="1"/>
          <w:iCs w:val="1"/>
          <w:color w:val="auto"/>
        </w:rPr>
        <w:t xml:space="preserve">Risks related to Regulatory Scrutiny regarding Foreclosure Processes. </w:t>
      </w:r>
      <w:r>
        <w:rPr>
          <w:rFonts w:ascii="Arial" w:cs="Arial" w:eastAsia="Arial" w:hAnsi="Arial"/>
          <w:sz w:val="16"/>
          <w:szCs w:val="16"/>
          <w:color w:val="auto"/>
        </w:rPr>
        <w:t>As discussed in the Overview – Strategic Priorities section, recent inquiries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servicer foreclosure processes could result in actions by State or Federal governmental bodies, regulators or the courts that could result in temporary moratoria on mortgage foreclosures or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 re timelines extend beyond a certain time period, either of which, if such provisions applied, could adversely affect liquidity by reducing our average effective advance rate. In addition, governmental bodies may impose regulatory fines or penalties as a result of our foreclosure processes or impose additional requirements or restrictions on such activities which could increase our operating expenses. Increases in the amount of advances and the length of time to recover advances, fines or increases in operating expenses, and decreases in the advance rate and availability of financing for advances would lead to increased borrowings, reduced cash and higher interest expense which could negatively impact our liquidity and profitability.</w:t>
      </w:r>
    </w:p>
    <w:p>
      <w:pPr>
        <w:spacing w:after="0" w:line="16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 xml:space="preserve">Risks related to Loan Putbacks. </w:t>
      </w:r>
      <w:r>
        <w:rPr>
          <w:rFonts w:ascii="Arial" w:cs="Arial" w:eastAsia="Arial" w:hAnsi="Arial"/>
          <w:sz w:val="18"/>
          <w:szCs w:val="18"/>
          <w:color w:val="auto"/>
        </w:rPr>
        <w:t>Ocwen has been a party to loan sales and securitizations dating back to the 1990s. There is one securitization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UPB of $200 million where Ocwen could be subject to putback risk. This is the only securitization containing loans originated in the past decade were Ocwen provided representations and warranties.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4" w:name="page65"/>
    <w:bookmarkEnd w:id="64"/>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5"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Separation Agreement, dated as of August 10, 2009, by and between Ocwen Financial Corporation and Altisource Portfolio Solutions S.A. (1)</w:t>
      </w:r>
    </w:p>
    <w:p>
      <w:pPr>
        <w:spacing w:after="0" w:line="23" w:lineRule="exact"/>
        <w:rPr>
          <w:rFonts w:ascii="Arial" w:cs="Arial" w:eastAsia="Arial" w:hAnsi="Arial"/>
          <w:sz w:val="18"/>
          <w:szCs w:val="18"/>
          <w:b w:val="1"/>
          <w:bCs w:val="1"/>
          <w:color w:val="auto"/>
        </w:rPr>
      </w:pPr>
    </w:p>
    <w:p>
      <w:pPr>
        <w:ind w:left="1160" w:right="100" w:hanging="689"/>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2.2Asset Purchase Agreement dated as of May 28, 2010, among Barclays Bank PLC, Barclays Capital Real Estate, Inc., Ocwen Loan Servicing, LLC and Ocwen Financial Corporation (2)</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color w:val="auto"/>
        </w:rPr>
        <w:t>Amended and Restated Articles of Incorporation (3)</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6"/>
          <w:szCs w:val="16"/>
          <w:color w:val="auto"/>
        </w:rPr>
        <w:t>Amended and Restated Bylaws (4)</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4.0</w:t>
      </w:r>
      <w:r>
        <w:rPr>
          <w:rFonts w:ascii="Arial" w:cs="Arial" w:eastAsia="Arial" w:hAnsi="Arial"/>
          <w:sz w:val="16"/>
          <w:szCs w:val="16"/>
          <w:color w:val="auto"/>
        </w:rPr>
        <w:t>Form of Certificate of Common Stock (3)</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6"/>
          <w:szCs w:val="16"/>
          <w:color w:val="auto"/>
        </w:rPr>
        <w:t>Certificate of Trust of Ocwen Capital Trust I (5)</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6"/>
          <w:szCs w:val="16"/>
          <w:color w:val="auto"/>
        </w:rPr>
        <w:t>Amended and Restated Declaration of Trust of Ocwen Capital Trust I (5)</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4.3</w:t>
      </w:r>
      <w:r>
        <w:rPr>
          <w:rFonts w:ascii="Arial" w:cs="Arial" w:eastAsia="Arial" w:hAnsi="Arial"/>
          <w:sz w:val="16"/>
          <w:szCs w:val="16"/>
          <w:color w:val="auto"/>
        </w:rPr>
        <w:t>Form of Capital Security of Ocwen Capital Trust I (included in Exhibit 4.4) (5)</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4.4</w:t>
      </w:r>
      <w:r>
        <w:rPr>
          <w:rFonts w:ascii="Arial" w:cs="Arial" w:eastAsia="Arial" w:hAnsi="Arial"/>
          <w:sz w:val="16"/>
          <w:szCs w:val="16"/>
          <w:color w:val="auto"/>
        </w:rPr>
        <w:t>Form of Indenture relating to 10.875% Junior Subordinated Debentures due 2027 of OCN (5)</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4.5</w:t>
      </w:r>
      <w:r>
        <w:rPr>
          <w:rFonts w:ascii="Arial" w:cs="Arial" w:eastAsia="Arial" w:hAnsi="Arial"/>
          <w:sz w:val="16"/>
          <w:szCs w:val="16"/>
          <w:color w:val="auto"/>
        </w:rPr>
        <w:t>Form of 10.875% Junior Subordinated Debentures due 2027 of OCN (included in Exhibit 4.6) (5)</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4.6</w:t>
      </w:r>
      <w:r>
        <w:rPr>
          <w:rFonts w:ascii="Arial" w:cs="Arial" w:eastAsia="Arial" w:hAnsi="Arial"/>
          <w:sz w:val="16"/>
          <w:szCs w:val="16"/>
          <w:color w:val="auto"/>
        </w:rPr>
        <w:t>Form of Guarantee of OCN relating to the Capital Securities of Ocwen Capital Trust I (5)</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4.7</w:t>
      </w:r>
      <w:r>
        <w:rPr>
          <w:rFonts w:ascii="Arial" w:cs="Arial" w:eastAsia="Arial" w:hAnsi="Arial"/>
          <w:sz w:val="16"/>
          <w:szCs w:val="16"/>
          <w:color w:val="auto"/>
        </w:rPr>
        <w:t>Indenture dated as of July 28, 2004, between OCN and the Bank of New York Trust Company, N.A., as trustee (6)</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10.1</w:t>
      </w:r>
      <w:r>
        <w:rPr>
          <w:rFonts w:ascii="Arial" w:cs="Arial" w:eastAsia="Arial" w:hAnsi="Arial"/>
          <w:sz w:val="16"/>
          <w:szCs w:val="16"/>
          <w:color w:val="auto"/>
        </w:rPr>
        <w:t>Tax Matters Agreement, dated as of August 10, 2009, by and between Ocwen Financial Corporation and Altisource Solutions S.à r.l. (1)</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10.2</w:t>
      </w:r>
      <w:r>
        <w:rPr>
          <w:rFonts w:ascii="Arial" w:cs="Arial" w:eastAsia="Arial" w:hAnsi="Arial"/>
          <w:sz w:val="16"/>
          <w:szCs w:val="16"/>
          <w:color w:val="auto"/>
        </w:rPr>
        <w:t>Transition Services Agreement, dated as of August 10, 2009, by and between Ocwen Financial Corporation and Altisource Solutions S.à r.l.</w:t>
      </w:r>
    </w:p>
    <w:p>
      <w:pPr>
        <w:spacing w:after="0" w:line="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10.3</w:t>
      </w:r>
      <w:r>
        <w:rPr>
          <w:rFonts w:ascii="Arial" w:cs="Arial" w:eastAsia="Arial" w:hAnsi="Arial"/>
          <w:sz w:val="16"/>
          <w:szCs w:val="16"/>
          <w:color w:val="auto"/>
        </w:rPr>
        <w:t>Employee Matters Agreement, dated as of August 10, 2009, by and between Ocwen Financial Corporation and Altisource Solutions S.à r.l.</w:t>
      </w:r>
    </w:p>
    <w:p>
      <w:pPr>
        <w:spacing w:after="0" w:line="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b w:val="1"/>
          <w:bCs w:val="1"/>
          <w:color w:val="auto"/>
        </w:rPr>
      </w:pPr>
    </w:p>
    <w:p>
      <w:pPr>
        <w:ind w:left="1160" w:right="620" w:hanging="689"/>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10.4Technology Products Services Agreement, dated as of August 10, 2009, by and between Ocwen Financial Corporation and Altisource Solutions S.à r.l. (1)</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10.5</w:t>
      </w:r>
      <w:r>
        <w:rPr>
          <w:rFonts w:ascii="Arial" w:cs="Arial" w:eastAsia="Arial" w:hAnsi="Arial"/>
          <w:sz w:val="16"/>
          <w:szCs w:val="16"/>
          <w:color w:val="auto"/>
        </w:rPr>
        <w:t>Services Agreement, dated as of August 10, 2009, by and between Ocwen Financial Corporation and Altisource Solutions S.à r.l. (1)</w:t>
      </w:r>
    </w:p>
    <w:p>
      <w:pPr>
        <w:spacing w:after="0" w:line="9" w:lineRule="exact"/>
        <w:rPr>
          <w:rFonts w:ascii="Arial" w:cs="Arial" w:eastAsia="Arial" w:hAnsi="Arial"/>
          <w:sz w:val="18"/>
          <w:szCs w:val="18"/>
          <w:b w:val="1"/>
          <w:bCs w:val="1"/>
          <w:color w:val="auto"/>
        </w:rPr>
      </w:pPr>
    </w:p>
    <w:p>
      <w:pPr>
        <w:ind w:left="1160" w:right="260" w:hanging="689"/>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10.6Data Center and Disaster Recovery Agreement, dated as of August 10, 2009, by and between Ocwen Financial Corporation and Altisource Solutions S.à r.l. (1)</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10.7</w:t>
      </w:r>
      <w:r>
        <w:rPr>
          <w:rFonts w:ascii="Arial" w:cs="Arial" w:eastAsia="Arial" w:hAnsi="Arial"/>
          <w:sz w:val="16"/>
          <w:szCs w:val="16"/>
          <w:color w:val="auto"/>
        </w:rPr>
        <w:t>Intellectual Property Agreement, dated as of August 10, 2009, by and between Ocwen Financial Corporation and Altisource Solutions S.à r.l.</w:t>
      </w:r>
    </w:p>
    <w:p>
      <w:pPr>
        <w:spacing w:after="0" w:line="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b w:val="1"/>
          <w:bCs w:val="1"/>
          <w:color w:val="auto"/>
        </w:rPr>
      </w:pPr>
    </w:p>
    <w:p>
      <w:pPr>
        <w:ind w:left="1160" w:right="40" w:hanging="689"/>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10.8</w:t>
      </w:r>
      <w:r>
        <w:rPr>
          <w:rFonts w:ascii="Arial" w:cs="Arial" w:eastAsia="Arial" w:hAnsi="Arial"/>
          <w:sz w:val="17"/>
          <w:szCs w:val="17"/>
          <w:color w:val="auto"/>
        </w:rPr>
        <w:t>Senior Secured Term Loan Facility Agreement, dated as of July 29, 2010, by and among Ocwen Financial Corporation, certain subsidiaries of Ocwen Financial Corporation, the lenders that are parties to the agreement from time to time and Barclays Bank PLC (7)</w:t>
      </w:r>
    </w:p>
    <w:p>
      <w:pPr>
        <w:jc w:val="right"/>
        <w:ind w:left="1160" w:right="180" w:hanging="689"/>
        <w:spacing w:after="0" w:line="281" w:lineRule="auto"/>
        <w:rPr>
          <w:rFonts w:ascii="Arial" w:cs="Arial" w:eastAsia="Arial" w:hAnsi="Arial"/>
          <w:sz w:val="18"/>
          <w:szCs w:val="18"/>
          <w:b w:val="1"/>
          <w:bCs w:val="1"/>
          <w:color w:val="auto"/>
        </w:rPr>
      </w:pPr>
      <w:r>
        <w:rPr>
          <w:rFonts w:ascii="Arial" w:cs="Arial" w:eastAsia="Arial" w:hAnsi="Arial"/>
          <w:sz w:val="18"/>
          <w:szCs w:val="18"/>
          <w:color w:val="auto"/>
        </w:rPr>
        <w:t>10.9</w:t>
      </w:r>
      <w:r>
        <w:rPr>
          <w:rFonts w:ascii="Arial" w:cs="Arial" w:eastAsia="Arial" w:hAnsi="Arial"/>
          <w:sz w:val="16"/>
          <w:szCs w:val="16"/>
          <w:color w:val="auto"/>
        </w:rPr>
        <w:t>Pledge and Security Agreement, dated as of July 29, 2010, by and between Ocwen Financial Corporation, Ocwen Loan Servicing, LLC and each of the other subsidiaries of Ocwen Financial Corporation that is a party to the agreement from time to time and Barclays Bank PLC (7)</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31.1</w:t>
      </w:r>
      <w:r>
        <w:rPr>
          <w:rFonts w:ascii="Arial" w:cs="Arial" w:eastAsia="Arial" w:hAnsi="Arial"/>
          <w:sz w:val="16"/>
          <w:szCs w:val="16"/>
          <w:color w:val="auto"/>
        </w:rPr>
        <w:t>Certification of the Chief Executive Officer pursuant to Section 302 of the Sarbanes-Oxley Act of 2002 (filed herewith)</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31.2</w:t>
      </w:r>
      <w:r>
        <w:rPr>
          <w:rFonts w:ascii="Arial" w:cs="Arial" w:eastAsia="Arial" w:hAnsi="Arial"/>
          <w:sz w:val="16"/>
          <w:szCs w:val="16"/>
          <w:color w:val="auto"/>
        </w:rPr>
        <w:t>Certification of the Chief Financial Officer pursuant to Section 302 of the Sarbanes-Oxley Act of 2002 (filed herewith)</w:t>
      </w:r>
    </w:p>
    <w:p>
      <w:pPr>
        <w:spacing w:after="0" w:line="9" w:lineRule="exact"/>
        <w:rPr>
          <w:rFonts w:ascii="Arial" w:cs="Arial" w:eastAsia="Arial" w:hAnsi="Arial"/>
          <w:sz w:val="18"/>
          <w:szCs w:val="18"/>
          <w:b w:val="1"/>
          <w:bCs w:val="1"/>
          <w:color w:val="auto"/>
        </w:rPr>
      </w:pPr>
    </w:p>
    <w:p>
      <w:pPr>
        <w:ind w:left="1160" w:right="260" w:hanging="689"/>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32.1Certification of the Chief Executive Officer pursuant to 18 U.S.C. Section 1350, as adopted pursuant to Section 906 of the Sarbanes-Oxley Act of 2002 (filed herewith)</w:t>
      </w:r>
    </w:p>
    <w:p>
      <w:pPr>
        <w:ind w:left="1160" w:right="20" w:hanging="689"/>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32.2Certification of the Chief Financial Officer pursuant to 18 U.S.C. Section 1350, as adopted pursuant to Section 906 of the Sarbanes-Oxley Act of 2002 (filed herewith)</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5" w:name="page66"/>
    <w:bookmarkEnd w:id="65"/>
    <w:p>
      <w:pPr>
        <w:ind w:left="352" w:hanging="352"/>
        <w:spacing w:after="0"/>
        <w:tabs>
          <w:tab w:leader="none" w:pos="352"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4662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6215" cy="8890"/>
                    </a:xfrm>
                    <a:prstGeom prst="rect">
                      <a:avLst/>
                    </a:prstGeom>
                    <a:noFill/>
                  </pic:spPr>
                </pic:pic>
              </a:graphicData>
            </a:graphic>
          </wp:anchor>
        </w:drawing>
        <w:t>Incorporated by reference from the similarly described exhibit included with the Registrant’s Form 8-K filed with the Commission on August 12, 2009.</w:t>
      </w:r>
    </w:p>
    <w:p>
      <w:pPr>
        <w:spacing w:after="0" w:line="46" w:lineRule="exact"/>
        <w:rPr>
          <w:rFonts w:ascii="Arial" w:cs="Arial" w:eastAsia="Arial" w:hAnsi="Arial"/>
          <w:sz w:val="16"/>
          <w:szCs w:val="16"/>
          <w:color w:val="auto"/>
        </w:rPr>
      </w:pPr>
    </w:p>
    <w:p>
      <w:pPr>
        <w:ind w:left="352" w:hanging="352"/>
        <w:spacing w:after="0"/>
        <w:tabs>
          <w:tab w:leader="none" w:pos="3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Commission on June 2, 2010.</w:t>
      </w:r>
    </w:p>
    <w:p>
      <w:pPr>
        <w:spacing w:after="0" w:line="20" w:lineRule="exact"/>
        <w:rPr>
          <w:rFonts w:ascii="Arial" w:cs="Arial" w:eastAsia="Arial" w:hAnsi="Arial"/>
          <w:sz w:val="17"/>
          <w:szCs w:val="17"/>
          <w:color w:val="auto"/>
        </w:rPr>
      </w:pPr>
    </w:p>
    <w:p>
      <w:pPr>
        <w:ind w:left="352" w:right="240" w:hanging="352"/>
        <w:spacing w:after="0" w:line="250" w:lineRule="auto"/>
        <w:tabs>
          <w:tab w:leader="none" w:pos="3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commission on September 25, 1996.</w:t>
      </w:r>
    </w:p>
    <w:p>
      <w:pPr>
        <w:ind w:left="352" w:hanging="352"/>
        <w:spacing w:after="0" w:line="250" w:lineRule="auto"/>
        <w:tabs>
          <w:tab w:leader="none" w:pos="3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2007.</w:t>
      </w:r>
    </w:p>
    <w:p>
      <w:pPr>
        <w:ind w:left="352" w:hanging="352"/>
        <w:spacing w:after="0" w:line="250" w:lineRule="auto"/>
        <w:tabs>
          <w:tab w:leader="none" w:pos="3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our Registration Statement on Form S-1 (File No. 333-28889), as amended, declared effective by the Commission on August 6, 1997.</w:t>
      </w:r>
    </w:p>
    <w:p>
      <w:pPr>
        <w:ind w:left="352" w:right="40" w:hanging="352"/>
        <w:spacing w:after="0" w:line="250" w:lineRule="auto"/>
        <w:tabs>
          <w:tab w:leader="none" w:pos="3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2004.</w:t>
      </w:r>
    </w:p>
    <w:p>
      <w:pPr>
        <w:ind w:left="352" w:right="40" w:hanging="352"/>
        <w:spacing w:after="0" w:line="261" w:lineRule="auto"/>
        <w:tabs>
          <w:tab w:leader="none" w:pos="3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2010.</w:t>
      </w:r>
    </w:p>
    <w:p>
      <w:pPr>
        <w:spacing w:after="0" w:line="33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679" w:right="299" w:bottom="1440" w:gutter="0" w:footer="0" w:header="0"/>
        </w:sectPr>
      </w:pPr>
    </w:p>
    <w:bookmarkStart w:id="66" w:name="page67"/>
    <w:bookmarkEnd w:id="6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OCWEN FINANCIAL CORPORATION</w:t>
      </w:r>
    </w:p>
    <w:p>
      <w:pPr>
        <w:spacing w:after="0" w:line="229" w:lineRule="exact"/>
        <w:rPr>
          <w:sz w:val="20"/>
          <w:szCs w:val="20"/>
          <w:color w:val="auto"/>
        </w:rPr>
      </w:pPr>
    </w:p>
    <w:p>
      <w:pPr>
        <w:spacing w:after="0"/>
        <w:tabs>
          <w:tab w:leader="none" w:pos="900" w:val="left"/>
          <w:tab w:leader="none" w:pos="4100" w:val="left"/>
          <w:tab w:leader="none" w:pos="4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Van Vlack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30359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Van Vlack,</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86"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60" w:hanging="572"/>
        <w:spacing w:after="0" w:line="291"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w:t>
      </w:r>
    </w:p>
    <w:p>
      <w:pPr>
        <w:ind w:left="5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211" w:lineRule="exact"/>
        <w:rPr>
          <w:sz w:val="20"/>
          <w:szCs w:val="20"/>
          <w:color w:val="auto"/>
        </w:rPr>
      </w:pPr>
    </w:p>
    <w:p>
      <w:pPr>
        <w:ind w:left="1260" w:right="120" w:hanging="685"/>
        <w:spacing w:after="0" w:line="264"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60" w:right="260" w:hanging="685"/>
        <w:spacing w:after="0" w:line="264"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60" w:right="420" w:hanging="685"/>
        <w:spacing w:after="0" w:line="342" w:lineRule="auto"/>
        <w:tabs>
          <w:tab w:leader="none" w:pos="12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right="360" w:hanging="685"/>
        <w:spacing w:after="0" w:line="264"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60" w:right="680" w:hanging="685"/>
        <w:spacing w:after="0" w:line="342" w:lineRule="auto"/>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60" w:right="380" w:hanging="685"/>
        <w:spacing w:after="0" w:line="277" w:lineRule="auto"/>
        <w:tabs>
          <w:tab w:leader="none" w:pos="12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800" w:val="left"/>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2010</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223837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Ronald M. Faris</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Van Vlack, certify that:</w:t>
      </w:r>
    </w:p>
    <w:p>
      <w:pPr>
        <w:spacing w:after="0" w:line="225"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60" w:hanging="572"/>
        <w:spacing w:after="0" w:line="291" w:lineRule="auto"/>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w:t>
      </w:r>
    </w:p>
    <w:p>
      <w:pPr>
        <w:ind w:left="5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211" w:lineRule="exact"/>
        <w:rPr>
          <w:sz w:val="20"/>
          <w:szCs w:val="20"/>
          <w:color w:val="auto"/>
        </w:rPr>
      </w:pPr>
    </w:p>
    <w:p>
      <w:pPr>
        <w:ind w:left="1260" w:right="120" w:hanging="685"/>
        <w:spacing w:after="0" w:line="264" w:lineRule="auto"/>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60" w:right="260" w:hanging="685"/>
        <w:spacing w:after="0" w:line="264" w:lineRule="auto"/>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60" w:right="420" w:hanging="685"/>
        <w:spacing w:after="0" w:line="342" w:lineRule="auto"/>
        <w:tabs>
          <w:tab w:leader="none" w:pos="12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right="360" w:hanging="685"/>
        <w:spacing w:after="0" w:line="264" w:lineRule="auto"/>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60" w:right="680" w:hanging="685"/>
        <w:spacing w:after="0" w:line="342" w:lineRule="auto"/>
        <w:tabs>
          <w:tab w:leader="none" w:pos="12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60" w:right="380" w:hanging="685"/>
        <w:spacing w:after="0" w:line="277" w:lineRule="auto"/>
        <w:tabs>
          <w:tab w:leader="none" w:pos="12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800" w:val="left"/>
          <w:tab w:leader="none" w:pos="5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2010</w:t>
      </w:r>
      <w:r>
        <w:rPr>
          <w:sz w:val="20"/>
          <w:szCs w:val="20"/>
          <w:color w:val="auto"/>
        </w:rPr>
        <w:tab/>
      </w:r>
      <w:r>
        <w:rPr>
          <w:rFonts w:ascii="Arial" w:cs="Arial" w:eastAsia="Arial" w:hAnsi="Arial"/>
          <w:sz w:val="16"/>
          <w:szCs w:val="16"/>
          <w:color w:val="auto"/>
        </w:rPr>
        <w:t>/s/ John Van Vlack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223837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John Van Vlack,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am the Chief Excutive Officer of Ocwen Financial Corporation (the “Registrant”).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20" w:right="80" w:hanging="453"/>
        <w:spacing w:after="0" w:line="264" w:lineRule="auto"/>
        <w:tabs>
          <w:tab w:leader="none" w:pos="9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2010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20" w:right="180" w:hanging="453"/>
        <w:spacing w:after="0" w:line="277" w:lineRule="auto"/>
        <w:tabs>
          <w:tab w:leader="none" w:pos="9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7300" w:type="dxa"/>
            <w:vAlign w:val="bottom"/>
          </w:tcPr>
          <w:p>
            <w:pPr>
              <w:spacing w:after="0"/>
              <w:rPr>
                <w:sz w:val="20"/>
                <w:szCs w:val="20"/>
                <w:color w:val="auto"/>
              </w:rPr>
            </w:pP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President and Chief Executive Officer</w:t>
            </w:r>
          </w:p>
        </w:tc>
        <w:tc>
          <w:tcPr>
            <w:tcW w:w="730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420" w:type="dxa"/>
            <w:vAlign w:val="bottom"/>
          </w:tcPr>
          <w:p>
            <w:pPr>
              <w:spacing w:after="0"/>
              <w:rPr>
                <w:sz w:val="20"/>
                <w:szCs w:val="20"/>
                <w:color w:val="auto"/>
              </w:rPr>
            </w:pPr>
            <w:r>
              <w:rPr>
                <w:rFonts w:ascii="Arial" w:cs="Arial" w:eastAsia="Arial" w:hAnsi="Arial"/>
                <w:sz w:val="18"/>
                <w:szCs w:val="18"/>
                <w:color w:val="auto"/>
              </w:rPr>
              <w:t>November 4, 2010</w:t>
            </w:r>
          </w:p>
        </w:tc>
        <w:tc>
          <w:tcPr>
            <w:tcW w:w="7300" w:type="dxa"/>
            <w:vAlign w:val="bottom"/>
          </w:tcPr>
          <w:p>
            <w:pPr>
              <w:spacing w:after="0"/>
              <w:rPr>
                <w:sz w:val="20"/>
                <w:szCs w:val="20"/>
                <w:color w:val="auto"/>
              </w:rPr>
            </w:pPr>
          </w:p>
        </w:tc>
      </w:tr>
      <w:tr>
        <w:trPr>
          <w:trHeight w:val="618"/>
        </w:trPr>
        <w:tc>
          <w:tcPr>
            <w:tcW w:w="7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John Van Vlack, state and attest that:</w:t>
      </w:r>
    </w:p>
    <w:p>
      <w:pPr>
        <w:spacing w:after="0" w:line="21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20" w:right="80" w:hanging="453"/>
        <w:spacing w:after="0" w:line="264" w:lineRule="auto"/>
        <w:tabs>
          <w:tab w:leader="none" w:pos="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2010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20" w:right="180" w:hanging="453"/>
        <w:spacing w:after="0" w:line="277" w:lineRule="auto"/>
        <w:tabs>
          <w:tab w:leader="none" w:pos="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Van Vlack</w:t>
            </w:r>
          </w:p>
        </w:tc>
        <w:tc>
          <w:tcPr>
            <w:tcW w:w="5460" w:type="dxa"/>
            <w:vAlign w:val="bottom"/>
          </w:tcPr>
          <w:p>
            <w:pPr>
              <w:spacing w:after="0"/>
              <w:rPr>
                <w:sz w:val="20"/>
                <w:szCs w:val="20"/>
                <w:color w:val="auto"/>
              </w:rPr>
            </w:pPr>
          </w:p>
        </w:tc>
      </w:tr>
      <w:tr>
        <w:trPr>
          <w:trHeight w:val="202"/>
        </w:trPr>
        <w:tc>
          <w:tcPr>
            <w:tcW w:w="82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Executive Vice President, Chief Financial Officer and</w:t>
            </w:r>
          </w:p>
        </w:tc>
        <w:tc>
          <w:tcPr>
            <w:tcW w:w="546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54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0"/>
                <w:szCs w:val="20"/>
                <w:color w:val="auto"/>
              </w:rPr>
            </w:pPr>
            <w:r>
              <w:rPr>
                <w:rFonts w:ascii="Arial" w:cs="Arial" w:eastAsia="Arial" w:hAnsi="Arial"/>
                <w:sz w:val="18"/>
                <w:szCs w:val="18"/>
                <w:color w:val="auto"/>
              </w:rPr>
              <w:t>November 4, 2010</w:t>
            </w:r>
          </w:p>
        </w:tc>
        <w:tc>
          <w:tcPr>
            <w:tcW w:w="5460" w:type="dxa"/>
            <w:vAlign w:val="bottom"/>
          </w:tcPr>
          <w:p>
            <w:pPr>
              <w:spacing w:after="0"/>
              <w:rPr>
                <w:sz w:val="20"/>
                <w:szCs w:val="20"/>
                <w:color w:val="auto"/>
              </w:rPr>
            </w:pPr>
          </w:p>
        </w:tc>
      </w:tr>
      <w:tr>
        <w:trPr>
          <w:trHeight w:val="618"/>
        </w:trPr>
        <w:tc>
          <w:tcPr>
            <w:tcW w:w="82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x"/>
      <w:numFmt w:val="bullet"/>
      <w:start w:val="1"/>
    </w:lvl>
  </w:abstractNum>
  <w:abstractNum w:abstractNumId="1">
    <w:nsid w:val="2463B9EA"/>
    <w:multiLevelType w:val="hybridMultilevel"/>
    <w:lvl w:ilvl="0">
      <w:lvlJc w:val="left"/>
      <w:lvlText w:val="o"/>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lowerLetter"/>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4"/>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4"/>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2"/>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decimal"/>
      <w:start w:val="7"/>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3"/>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lowerLetter"/>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3"/>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1"/>
    </w:lvl>
    <w:lvl w:ilvl="1">
      <w:lvlJc w:val="left"/>
      <w:lvlText w:val="(%2)"/>
      <w:numFmt w:val="lowerLetter"/>
      <w:start w:val="1"/>
    </w:lvl>
  </w:abstractNum>
  <w:abstractNum w:abstractNumId="69">
    <w:nsid w:val="168E121F"/>
    <w:multiLevelType w:val="hybridMultilevel"/>
    <w:lvl w:ilvl="0">
      <w:lvlJc w:val="left"/>
      <w:lvlText w:val="%1."/>
      <w:numFmt w:val="decimal"/>
      <w:start w:val="5"/>
    </w:lvl>
    <w:lvl w:ilvl="1">
      <w:lvlJc w:val="left"/>
      <w:lvlText w:val="(%2)"/>
      <w:numFmt w:val="lowerLetter"/>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5"/>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
      <w:numFmt w:val="bullet"/>
      <w:start w:val="1"/>
    </w:lvl>
  </w:abstractNum>
  <w:abstractNum w:abstractNumId="74">
    <w:nsid w:val="7BD3EE7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2019-12-10T09:23:08Z</dcterms:created>
  <dcterms:modified xsi:type="dcterms:W3CDTF">2019-12-10T09:23:08Z</dcterms:modified>
</cp:coreProperties>
</file>