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ind w:left="580" w:hanging="572"/>
        <w:spacing w:after="0"/>
        <w:tabs>
          <w:tab w:leader="none" w:pos="580" w:val="left"/>
        </w:tabs>
        <w:numPr>
          <w:ilvl w:val="0"/>
          <w:numId w:val="1"/>
        </w:numPr>
        <w:rPr>
          <w:rFonts w:ascii="Arial" w:cs="Arial" w:eastAsia="Arial" w:hAnsi="Arial"/>
          <w:sz w:val="22"/>
          <w:szCs w:val="22"/>
          <w:color w:val="auto"/>
        </w:rPr>
      </w:pPr>
      <w:r>
        <w:rPr>
          <w:rFonts w:ascii="Arial" w:cs="Arial" w:eastAsia="Arial" w:hAnsi="Arial"/>
          <w:sz w:val="22"/>
          <w:szCs w:val="22"/>
          <w:color w:val="auto"/>
        </w:rPr>
        <w:t>ANNUAL REPORT PURSUANT TO SECTION 13 OR 15(d) OF THE SECURITIES EXCHANGE ACT OF 1934</w:t>
      </w:r>
    </w:p>
    <w:p>
      <w:pPr>
        <w:ind w:left="580"/>
        <w:spacing w:after="0"/>
        <w:rPr>
          <w:sz w:val="20"/>
          <w:szCs w:val="20"/>
          <w:color w:val="auto"/>
        </w:rPr>
      </w:pPr>
      <w:r>
        <w:rPr>
          <w:rFonts w:ascii="Arial" w:cs="Arial" w:eastAsia="Arial" w:hAnsi="Arial"/>
          <w:sz w:val="18"/>
          <w:szCs w:val="18"/>
          <w:color w:val="auto"/>
        </w:rPr>
        <w:t>For the fiscal year ended December 31, 2010</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OR</w:t>
      </w:r>
    </w:p>
    <w:p>
      <w:pPr>
        <w:spacing w:after="0" w:line="6" w:lineRule="exact"/>
        <w:rPr>
          <w:sz w:val="24"/>
          <w:szCs w:val="24"/>
          <w:color w:val="auto"/>
        </w:rPr>
      </w:pPr>
    </w:p>
    <w:p>
      <w:pPr>
        <w:ind w:left="580" w:hanging="572"/>
        <w:spacing w:after="0"/>
        <w:tabs>
          <w:tab w:leader="none" w:pos="580" w:val="left"/>
        </w:tabs>
        <w:numPr>
          <w:ilvl w:val="0"/>
          <w:numId w:val="2"/>
        </w:numPr>
        <w:rPr>
          <w:rFonts w:ascii="Arial" w:cs="Arial" w:eastAsia="Arial" w:hAnsi="Arial"/>
          <w:sz w:val="21"/>
          <w:szCs w:val="21"/>
          <w:color w:val="auto"/>
        </w:rPr>
      </w:pPr>
      <w:r>
        <w:rPr>
          <w:rFonts w:ascii="Arial" w:cs="Arial" w:eastAsia="Arial" w:hAnsi="Arial"/>
          <w:sz w:val="21"/>
          <w:szCs w:val="21"/>
          <w:color w:val="auto"/>
        </w:rPr>
        <w:t>TRANSITION REPORT PURSUANT TO SECTION 13 OR 15(d) OF THE SECURITIES EXCHANGE ACT OF 1934</w:t>
      </w:r>
    </w:p>
    <w:p>
      <w:pPr>
        <w:spacing w:after="0" w:line="7" w:lineRule="exact"/>
        <w:rPr>
          <w:sz w:val="24"/>
          <w:szCs w:val="24"/>
          <w:color w:val="auto"/>
        </w:rPr>
      </w:pPr>
    </w:p>
    <w:p>
      <w:pPr>
        <w:ind w:left="580"/>
        <w:spacing w:after="0"/>
        <w:rPr>
          <w:sz w:val="20"/>
          <w:szCs w:val="20"/>
          <w:color w:val="auto"/>
        </w:rPr>
      </w:pPr>
      <w:r>
        <w:rPr>
          <w:rFonts w:ascii="Arial" w:cs="Arial" w:eastAsia="Arial" w:hAnsi="Arial"/>
          <w:sz w:val="18"/>
          <w:szCs w:val="18"/>
          <w:color w:val="auto"/>
        </w:rPr>
        <w:t>For the transition period from: _____________________to _____________________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1-13219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OCWEN FINANCIAL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our charter)</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020" w:type="dxa"/>
            <w:vAlign w:val="bottom"/>
            <w:gridSpan w:val="2"/>
          </w:tcPr>
          <w:p>
            <w:pPr>
              <w:jc w:val="center"/>
              <w:ind w:left="390"/>
              <w:spacing w:after="0"/>
              <w:rPr>
                <w:sz w:val="20"/>
                <w:szCs w:val="20"/>
                <w:color w:val="auto"/>
              </w:rPr>
            </w:pPr>
            <w:r>
              <w:rPr>
                <w:rFonts w:ascii="Arial" w:cs="Arial" w:eastAsia="Arial" w:hAnsi="Arial"/>
                <w:sz w:val="18"/>
                <w:szCs w:val="18"/>
                <w:b w:val="1"/>
                <w:bCs w:val="1"/>
                <w:color w:val="auto"/>
                <w:w w:val="96"/>
              </w:rPr>
              <w:t>Florida</w:t>
            </w:r>
          </w:p>
        </w:tc>
        <w:tc>
          <w:tcPr>
            <w:tcW w:w="6400" w:type="dxa"/>
            <w:vAlign w:val="bottom"/>
            <w:gridSpan w:val="4"/>
          </w:tcPr>
          <w:p>
            <w:pPr>
              <w:jc w:val="right"/>
              <w:ind w:right="2210"/>
              <w:spacing w:after="0"/>
              <w:rPr>
                <w:sz w:val="20"/>
                <w:szCs w:val="20"/>
                <w:color w:val="auto"/>
              </w:rPr>
            </w:pPr>
            <w:r>
              <w:rPr>
                <w:rFonts w:ascii="Arial" w:cs="Arial" w:eastAsia="Arial" w:hAnsi="Arial"/>
                <w:sz w:val="18"/>
                <w:szCs w:val="18"/>
                <w:b w:val="1"/>
                <w:bCs w:val="1"/>
                <w:color w:val="auto"/>
              </w:rPr>
              <w:t>65-0039856</w:t>
            </w:r>
          </w:p>
        </w:tc>
      </w:tr>
      <w:tr>
        <w:trPr>
          <w:trHeight w:val="230"/>
        </w:trPr>
        <w:tc>
          <w:tcPr>
            <w:tcW w:w="5020" w:type="dxa"/>
            <w:vAlign w:val="bottom"/>
            <w:tcBorders>
              <w:top w:val="single" w:sz="8" w:color="auto"/>
            </w:tcBorders>
            <w:gridSpan w:val="2"/>
          </w:tcPr>
          <w:p>
            <w:pPr>
              <w:jc w:val="center"/>
              <w:ind w:left="3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8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54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04"/>
        </w:trPr>
        <w:tc>
          <w:tcPr>
            <w:tcW w:w="5020" w:type="dxa"/>
            <w:vAlign w:val="bottom"/>
            <w:gridSpan w:val="2"/>
          </w:tcPr>
          <w:p>
            <w:pPr>
              <w:jc w:val="center"/>
              <w:ind w:left="390"/>
              <w:spacing w:after="0"/>
              <w:rPr>
                <w:sz w:val="20"/>
                <w:szCs w:val="20"/>
                <w:color w:val="auto"/>
              </w:rPr>
            </w:pPr>
            <w:r>
              <w:rPr>
                <w:rFonts w:ascii="Arial" w:cs="Arial" w:eastAsia="Arial" w:hAnsi="Arial"/>
                <w:sz w:val="18"/>
                <w:szCs w:val="18"/>
                <w:color w:val="auto"/>
                <w:w w:val="92"/>
              </w:rPr>
              <w:t>2002 Summit Boulevard</w:t>
            </w: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6"/>
        </w:trPr>
        <w:tc>
          <w:tcPr>
            <w:tcW w:w="5020" w:type="dxa"/>
            <w:vAlign w:val="bottom"/>
            <w:gridSpan w:val="2"/>
          </w:tcPr>
          <w:p>
            <w:pPr>
              <w:jc w:val="center"/>
              <w:ind w:left="390"/>
              <w:spacing w:after="0" w:line="216" w:lineRule="exact"/>
              <w:rPr>
                <w:sz w:val="20"/>
                <w:szCs w:val="20"/>
                <w:color w:val="auto"/>
              </w:rPr>
            </w:pPr>
            <w:r>
              <w:rPr>
                <w:rFonts w:ascii="Arial" w:cs="Arial" w:eastAsia="Arial" w:hAnsi="Arial"/>
                <w:sz w:val="18"/>
                <w:szCs w:val="18"/>
                <w:color w:val="auto"/>
                <w:w w:val="88"/>
              </w:rPr>
              <w:t>6</w:t>
            </w:r>
            <w:r>
              <w:rPr>
                <w:rFonts w:ascii="Arial" w:cs="Arial" w:eastAsia="Arial" w:hAnsi="Arial"/>
                <w:sz w:val="25"/>
                <w:szCs w:val="25"/>
                <w:color w:val="auto"/>
                <w:w w:val="88"/>
                <w:vertAlign w:val="superscript"/>
              </w:rPr>
              <w:t>th</w:t>
            </w:r>
            <w:r>
              <w:rPr>
                <w:rFonts w:ascii="Arial" w:cs="Arial" w:eastAsia="Arial" w:hAnsi="Arial"/>
                <w:sz w:val="18"/>
                <w:szCs w:val="18"/>
                <w:color w:val="auto"/>
                <w:w w:val="88"/>
              </w:rPr>
              <w:t xml:space="preserve"> Floor</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5020" w:type="dxa"/>
            <w:vAlign w:val="bottom"/>
            <w:gridSpan w:val="2"/>
          </w:tcPr>
          <w:p>
            <w:pPr>
              <w:jc w:val="center"/>
              <w:ind w:left="390"/>
              <w:spacing w:after="0"/>
              <w:rPr>
                <w:sz w:val="20"/>
                <w:szCs w:val="20"/>
                <w:color w:val="auto"/>
              </w:rPr>
            </w:pPr>
            <w:r>
              <w:rPr>
                <w:rFonts w:ascii="Arial" w:cs="Arial" w:eastAsia="Arial" w:hAnsi="Arial"/>
                <w:sz w:val="18"/>
                <w:szCs w:val="18"/>
                <w:color w:val="auto"/>
                <w:w w:val="90"/>
              </w:rPr>
              <w:t>Atlanta, Georgia</w:t>
            </w:r>
          </w:p>
        </w:tc>
        <w:tc>
          <w:tcPr>
            <w:tcW w:w="6400" w:type="dxa"/>
            <w:vAlign w:val="bottom"/>
            <w:gridSpan w:val="4"/>
          </w:tcPr>
          <w:p>
            <w:pPr>
              <w:jc w:val="right"/>
              <w:ind w:right="2410"/>
              <w:spacing w:after="0"/>
              <w:rPr>
                <w:sz w:val="20"/>
                <w:szCs w:val="20"/>
                <w:color w:val="auto"/>
              </w:rPr>
            </w:pPr>
            <w:r>
              <w:rPr>
                <w:rFonts w:ascii="Arial" w:cs="Arial" w:eastAsia="Arial" w:hAnsi="Arial"/>
                <w:sz w:val="18"/>
                <w:szCs w:val="18"/>
                <w:color w:val="auto"/>
              </w:rPr>
              <w:t>30319</w:t>
            </w:r>
          </w:p>
        </w:tc>
      </w:tr>
      <w:tr>
        <w:trPr>
          <w:trHeight w:val="230"/>
        </w:trPr>
        <w:tc>
          <w:tcPr>
            <w:tcW w:w="5020" w:type="dxa"/>
            <w:vAlign w:val="bottom"/>
            <w:gridSpan w:val="2"/>
          </w:tcPr>
          <w:p>
            <w:pPr>
              <w:jc w:val="center"/>
              <w:ind w:left="390"/>
              <w:spacing w:after="0"/>
              <w:rPr>
                <w:sz w:val="20"/>
                <w:szCs w:val="20"/>
                <w:color w:val="auto"/>
              </w:rPr>
            </w:pPr>
            <w:r>
              <w:rPr>
                <w:rFonts w:ascii="Arial" w:cs="Arial" w:eastAsia="Arial" w:hAnsi="Arial"/>
                <w:sz w:val="18"/>
                <w:szCs w:val="18"/>
                <w:color w:val="auto"/>
                <w:w w:val="92"/>
              </w:rPr>
              <w:t>(Address of principal executive office)</w:t>
            </w: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420" w:type="dxa"/>
            <w:vAlign w:val="bottom"/>
          </w:tcPr>
          <w:p>
            <w:pPr>
              <w:jc w:val="center"/>
              <w:ind w:right="1970"/>
              <w:spacing w:after="0"/>
              <w:rPr>
                <w:sz w:val="20"/>
                <w:szCs w:val="20"/>
                <w:color w:val="auto"/>
              </w:rPr>
            </w:pPr>
            <w:r>
              <w:rPr>
                <w:rFonts w:ascii="Arial" w:cs="Arial" w:eastAsia="Arial" w:hAnsi="Arial"/>
                <w:sz w:val="18"/>
                <w:szCs w:val="18"/>
                <w:color w:val="auto"/>
                <w:w w:val="94"/>
              </w:rPr>
              <w:t>(Zip Code)</w:t>
            </w:r>
          </w:p>
        </w:tc>
      </w:tr>
      <w:tr>
        <w:trPr>
          <w:trHeight w:val="466"/>
        </w:trPr>
        <w:tc>
          <w:tcPr>
            <w:tcW w:w="344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jc w:val="right"/>
              <w:ind w:right="1630"/>
              <w:spacing w:after="0"/>
              <w:rPr>
                <w:sz w:val="20"/>
                <w:szCs w:val="20"/>
                <w:color w:val="auto"/>
              </w:rPr>
            </w:pPr>
            <w:r>
              <w:rPr>
                <w:rFonts w:ascii="Arial" w:cs="Arial" w:eastAsia="Arial" w:hAnsi="Arial"/>
                <w:sz w:val="18"/>
                <w:szCs w:val="18"/>
                <w:b w:val="1"/>
                <w:bCs w:val="1"/>
                <w:color w:val="auto"/>
              </w:rPr>
              <w:t>(561) 682-8000</w:t>
            </w:r>
          </w:p>
        </w:tc>
        <w:tc>
          <w:tcPr>
            <w:tcW w:w="3420" w:type="dxa"/>
            <w:vAlign w:val="bottom"/>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4"/>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c>
          <w:tcPr>
            <w:tcW w:w="3420" w:type="dxa"/>
            <w:vAlign w:val="bottom"/>
          </w:tcPr>
          <w:p>
            <w:pPr>
              <w:spacing w:after="0"/>
              <w:rPr>
                <w:sz w:val="20"/>
                <w:szCs w:val="20"/>
                <w:color w:val="auto"/>
              </w:rPr>
            </w:pPr>
          </w:p>
        </w:tc>
      </w:tr>
      <w:tr>
        <w:trPr>
          <w:trHeight w:val="427"/>
        </w:trPr>
        <w:tc>
          <w:tcPr>
            <w:tcW w:w="3440" w:type="dxa"/>
            <w:vAlign w:val="bottom"/>
          </w:tcPr>
          <w:p>
            <w:pPr>
              <w:spacing w:after="0"/>
              <w:rPr>
                <w:sz w:val="24"/>
                <w:szCs w:val="24"/>
                <w:color w:val="auto"/>
              </w:rPr>
            </w:pPr>
          </w:p>
        </w:tc>
        <w:tc>
          <w:tcPr>
            <w:tcW w:w="7980" w:type="dxa"/>
            <w:vAlign w:val="bottom"/>
            <w:gridSpan w:val="5"/>
          </w:tcPr>
          <w:p>
            <w:pPr>
              <w:ind w:left="20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220"/>
        </w:trPr>
        <w:tc>
          <w:tcPr>
            <w:tcW w:w="502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0"/>
              </w:rPr>
              <w:t>Common Stock, $.01 par value</w:t>
            </w: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6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1"/>
              </w:rPr>
              <w:t>New York Stock Exchange (NYSE)</w:t>
            </w:r>
          </w:p>
        </w:tc>
      </w:tr>
      <w:tr>
        <w:trPr>
          <w:trHeight w:val="230"/>
        </w:trPr>
        <w:tc>
          <w:tcPr>
            <w:tcW w:w="502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(Title of each class)</w:t>
            </w: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6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(Name of each exchange on which registered)</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 (g) of the Act: Not applicable.</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Yes o  No x</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ind w:left="10540"/>
        <w:spacing w:after="0"/>
        <w:rPr>
          <w:sz w:val="20"/>
          <w:szCs w:val="20"/>
          <w:color w:val="auto"/>
        </w:rPr>
      </w:pPr>
      <w:r>
        <w:rPr>
          <w:rFonts w:ascii="Arial" w:cs="Arial" w:eastAsia="Arial" w:hAnsi="Arial"/>
          <w:sz w:val="17"/>
          <w:szCs w:val="17"/>
          <w:color w:val="auto"/>
        </w:rPr>
        <w:t>Yes o  No x</w:t>
      </w:r>
    </w:p>
    <w:p>
      <w:pPr>
        <w:spacing w:after="0" w:line="249" w:lineRule="exact"/>
        <w:rPr>
          <w:sz w:val="24"/>
          <w:szCs w:val="24"/>
          <w:color w:val="auto"/>
        </w:rPr>
      </w:pPr>
    </w:p>
    <w:p>
      <w:pPr>
        <w:ind w:right="48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540"/>
        <w:spacing w:after="0"/>
        <w:rPr>
          <w:sz w:val="20"/>
          <w:szCs w:val="20"/>
          <w:color w:val="auto"/>
        </w:rPr>
      </w:pPr>
      <w:r>
        <w:rPr>
          <w:rFonts w:ascii="Arial" w:cs="Arial" w:eastAsia="Arial" w:hAnsi="Arial"/>
          <w:sz w:val="17"/>
          <w:szCs w:val="17"/>
          <w:color w:val="auto"/>
        </w:rPr>
        <w:t>Yes x  No o</w:t>
      </w:r>
    </w:p>
    <w:p>
      <w:pPr>
        <w:spacing w:after="0" w:line="249"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post such files).</w:t>
      </w:r>
    </w:p>
    <w:p>
      <w:pPr>
        <w:ind w:left="10540"/>
        <w:spacing w:after="0"/>
        <w:rPr>
          <w:sz w:val="20"/>
          <w:szCs w:val="20"/>
          <w:color w:val="auto"/>
        </w:rPr>
      </w:pPr>
      <w:r>
        <w:rPr>
          <w:rFonts w:ascii="Arial" w:cs="Arial" w:eastAsia="Arial" w:hAnsi="Arial"/>
          <w:sz w:val="16"/>
          <w:szCs w:val="16"/>
          <w:color w:val="auto"/>
        </w:rPr>
        <w:t>Yes o  No o</w:t>
      </w:r>
    </w:p>
    <w:p>
      <w:pPr>
        <w:spacing w:after="0" w:line="261" w:lineRule="exact"/>
        <w:rPr>
          <w:sz w:val="24"/>
          <w:szCs w:val="24"/>
          <w:color w:val="auto"/>
        </w:rPr>
      </w:pPr>
    </w:p>
    <w:p>
      <w:pPr>
        <w:jc w:val="both"/>
        <w:ind w:right="6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208"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468" w:right="239" w:bottom="0" w:gutter="0" w:footer="0" w:header="0"/>
        </w:sectPr>
      </w:pPr>
    </w:p>
    <w:p>
      <w:pPr>
        <w:spacing w:after="0" w:line="174" w:lineRule="exact"/>
        <w:rPr>
          <w:sz w:val="24"/>
          <w:szCs w:val="24"/>
          <w:color w:val="auto"/>
        </w:rPr>
      </w:pPr>
    </w:p>
    <w:p>
      <w:pPr>
        <w:ind w:left="36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56" w:lineRule="exact"/>
        <w:rPr>
          <w:sz w:val="24"/>
          <w:szCs w:val="24"/>
          <w:color w:val="auto"/>
        </w:rPr>
      </w:pPr>
    </w:p>
    <w:p>
      <w:pPr>
        <w:sectPr>
          <w:pgSz w:w="11900" w:h="16838" w:orient="portrait"/>
          <w:cols w:equalWidth="0" w:num="4">
            <w:col w:w="2020" w:space="100"/>
            <w:col w:w="4940" w:space="720"/>
            <w:col w:w="1960" w:space="680"/>
            <w:col w:w="1000"/>
          </w:cols>
          <w:pgMar w:left="240" w:top="468" w:right="239" w:bottom="0"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o Nox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Aggregate market value of the common stock of the registrant held by nonaffiliates as of June 30, 2010: $780,985,547</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outstanding as of February 22, 2011: 100,726,947 shares</w:t>
      </w:r>
    </w:p>
    <w:p>
      <w:pPr>
        <w:spacing w:after="0" w:line="25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DOCUMENTS INCORPORATED BY REFERENCE: Portions of our definitive Proxy Statement with respect to our Annual Meeting of Shareholders to be held on May 12, 2011, are incorporated by reference into Part III, Items 10 - 12 and 14.</w:t>
      </w:r>
    </w:p>
    <w:p>
      <w:pPr>
        <w:sectPr>
          <w:pgSz w:w="11900" w:h="16838" w:orient="portrait"/>
          <w:cols w:equalWidth="0" w:num="1">
            <w:col w:w="11420"/>
          </w:cols>
          <w:pgMar w:left="240" w:top="468" w:right="239" w:bottom="0" w:gutter="0" w:footer="0" w:header="0"/>
          <w:type w:val="continuous"/>
        </w:sectPr>
      </w:pPr>
    </w:p>
    <w:bookmarkStart w:id="1" w:name="page2"/>
    <w:bookmarkEnd w:id="1"/>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249555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980" w:type="dxa"/>
            <w:vAlign w:val="bottom"/>
            <w:gridSpan w:val="17"/>
          </w:tcPr>
          <w:p>
            <w:pPr>
              <w:jc w:val="center"/>
              <w:ind w:right="2620"/>
              <w:spacing w:after="0"/>
              <w:rPr>
                <w:sz w:val="20"/>
                <w:szCs w:val="20"/>
                <w:color w:val="auto"/>
              </w:rPr>
            </w:pPr>
            <w:r>
              <w:rPr>
                <w:rFonts w:ascii="Arial" w:cs="Arial" w:eastAsia="Arial" w:hAnsi="Arial"/>
                <w:sz w:val="18"/>
                <w:szCs w:val="18"/>
                <w:b w:val="1"/>
                <w:bCs w:val="1"/>
                <w:color w:val="auto"/>
              </w:rPr>
              <w:t>OCWEN FINANCIAL CORPORATION</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980" w:type="dxa"/>
            <w:vAlign w:val="bottom"/>
            <w:gridSpan w:val="17"/>
          </w:tcPr>
          <w:p>
            <w:pPr>
              <w:jc w:val="center"/>
              <w:ind w:right="2640"/>
              <w:spacing w:after="0"/>
              <w:rPr>
                <w:sz w:val="20"/>
                <w:szCs w:val="20"/>
                <w:color w:val="auto"/>
              </w:rPr>
            </w:pPr>
            <w:r>
              <w:rPr>
                <w:rFonts w:ascii="Arial" w:cs="Arial" w:eastAsia="Arial" w:hAnsi="Arial"/>
                <w:sz w:val="18"/>
                <w:szCs w:val="18"/>
                <w:b w:val="1"/>
                <w:bCs w:val="1"/>
                <w:color w:val="auto"/>
                <w:w w:val="98"/>
              </w:rPr>
              <w:t>2010 FORM 10-K ANNUAL REPORT</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120" w:type="dxa"/>
            <w:vAlign w:val="bottom"/>
            <w:gridSpan w:val="16"/>
          </w:tcPr>
          <w:p>
            <w:pPr>
              <w:jc w:val="center"/>
              <w:ind w:right="3540"/>
              <w:spacing w:after="0"/>
              <w:rPr>
                <w:sz w:val="20"/>
                <w:szCs w:val="20"/>
                <w:color w:val="auto"/>
              </w:rPr>
            </w:pPr>
            <w:r>
              <w:rPr>
                <w:rFonts w:ascii="Arial" w:cs="Arial" w:eastAsia="Arial" w:hAnsi="Arial"/>
                <w:sz w:val="18"/>
                <w:szCs w:val="18"/>
                <w:b w:val="1"/>
                <w:bCs w:val="1"/>
                <w:color w:val="auto"/>
                <w:w w:val="99"/>
              </w:rPr>
              <w:t>TABLE OF CONTENTS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5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568"/>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gridSpan w:val="2"/>
          </w:tcPr>
          <w:p>
            <w:pPr>
              <w:ind w:left="200"/>
              <w:spacing w:after="0"/>
              <w:rPr>
                <w:sz w:val="20"/>
                <w:szCs w:val="20"/>
                <w:color w:val="auto"/>
              </w:rPr>
            </w:pPr>
            <w:r>
              <w:rPr>
                <w:rFonts w:ascii="Arial" w:cs="Arial" w:eastAsia="Arial" w:hAnsi="Arial"/>
                <w:sz w:val="18"/>
                <w:szCs w:val="18"/>
                <w:b w:val="1"/>
                <w:bCs w:val="1"/>
                <w:color w:val="auto"/>
              </w:rPr>
              <w:t>PAGE</w:t>
            </w:r>
          </w:p>
        </w:tc>
      </w:tr>
      <w:tr>
        <w:trPr>
          <w:trHeight w:val="392"/>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20" w:type="dxa"/>
            <w:vAlign w:val="bottom"/>
            <w:gridSpan w:val="13"/>
          </w:tcPr>
          <w:p>
            <w:pPr>
              <w:jc w:val="center"/>
              <w:ind w:right="5140"/>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620" w:type="dxa"/>
            <w:vAlign w:val="bottom"/>
            <w:gridSpan w:val="3"/>
          </w:tcPr>
          <w:p>
            <w:pPr>
              <w:spacing w:after="0"/>
              <w:rPr>
                <w:sz w:val="24"/>
                <w:szCs w:val="24"/>
                <w:color w:val="auto"/>
              </w:rPr>
            </w:pPr>
          </w:p>
        </w:tc>
        <w:tc>
          <w:tcPr>
            <w:tcW w:w="3660" w:type="dxa"/>
            <w:vAlign w:val="bottom"/>
            <w:gridSpan w:val="14"/>
          </w:tcPr>
          <w:p>
            <w:pPr>
              <w:ind w:left="360"/>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80" w:type="dxa"/>
            <w:vAlign w:val="bottom"/>
            <w:tcBorders>
              <w:top w:val="single" w:sz="8" w:color="0000EE"/>
            </w:tcBorders>
            <w:gridSpan w:val="2"/>
          </w:tcPr>
          <w:p>
            <w:pPr>
              <w:spacing w:after="0"/>
              <w:rPr>
                <w:sz w:val="24"/>
                <w:szCs w:val="24"/>
                <w:color w:val="auto"/>
              </w:rPr>
            </w:pPr>
          </w:p>
        </w:tc>
        <w:tc>
          <w:tcPr>
            <w:tcW w:w="5140" w:type="dxa"/>
            <w:vAlign w:val="bottom"/>
            <w:gridSpan w:val="11"/>
          </w:tcPr>
          <w:p>
            <w:pPr>
              <w:spacing w:after="0"/>
              <w:rPr>
                <w:sz w:val="24"/>
                <w:szCs w:val="24"/>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3"/>
              </w:rPr>
            </w:pPr>
            <w:hyperlink w:anchor="page17">
              <w:r>
                <w:rPr>
                  <w:rFonts w:ascii="Arial" w:cs="Arial" w:eastAsia="Arial" w:hAnsi="Arial"/>
                  <w:sz w:val="18"/>
                  <w:szCs w:val="18"/>
                  <w:color w:val="0000EE"/>
                  <w:w w:val="83"/>
                </w:rPr>
                <w:t>Item 1A.</w:t>
              </w:r>
            </w:hyperlink>
          </w:p>
        </w:tc>
        <w:tc>
          <w:tcPr>
            <w:tcW w:w="540" w:type="dxa"/>
            <w:vAlign w:val="bottom"/>
            <w:gridSpan w:val="2"/>
          </w:tcPr>
          <w:p>
            <w:pPr>
              <w:spacing w:after="0"/>
              <w:rPr>
                <w:sz w:val="17"/>
                <w:szCs w:val="17"/>
                <w:color w:val="auto"/>
              </w:rPr>
            </w:pPr>
          </w:p>
        </w:tc>
        <w:tc>
          <w:tcPr>
            <w:tcW w:w="9380" w:type="dxa"/>
            <w:vAlign w:val="bottom"/>
            <w:gridSpan w:val="27"/>
          </w:tcPr>
          <w:p>
            <w:pPr>
              <w:ind w:left="360"/>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9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3"/>
              </w:rPr>
            </w:pPr>
            <w:hyperlink w:anchor="page24">
              <w:r>
                <w:rPr>
                  <w:rFonts w:ascii="Arial" w:cs="Arial" w:eastAsia="Arial" w:hAnsi="Arial"/>
                  <w:sz w:val="18"/>
                  <w:szCs w:val="18"/>
                  <w:color w:val="0000EE"/>
                  <w:w w:val="83"/>
                </w:rPr>
                <w:t>Item 1B.</w:t>
              </w:r>
            </w:hyperlink>
          </w:p>
        </w:tc>
        <w:tc>
          <w:tcPr>
            <w:tcW w:w="540" w:type="dxa"/>
            <w:vAlign w:val="bottom"/>
            <w:gridSpan w:val="2"/>
          </w:tcPr>
          <w:p>
            <w:pPr>
              <w:spacing w:after="0"/>
              <w:rPr>
                <w:sz w:val="17"/>
                <w:szCs w:val="17"/>
                <w:color w:val="auto"/>
              </w:rPr>
            </w:pPr>
          </w:p>
        </w:tc>
        <w:tc>
          <w:tcPr>
            <w:tcW w:w="9380" w:type="dxa"/>
            <w:vAlign w:val="bottom"/>
            <w:gridSpan w:val="27"/>
          </w:tcPr>
          <w:p>
            <w:pPr>
              <w:ind w:left="360"/>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Unresolved Staff Comments</w:t>
              </w:r>
            </w:hyperlink>
          </w:p>
        </w:tc>
        <w:tc>
          <w:tcPr>
            <w:tcW w:w="9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2.</w:t>
              </w:r>
            </w:hyperlink>
          </w:p>
        </w:tc>
        <w:tc>
          <w:tcPr>
            <w:tcW w:w="80" w:type="dxa"/>
            <w:vAlign w:val="bottom"/>
          </w:tcPr>
          <w:p>
            <w:pPr>
              <w:spacing w:after="0"/>
              <w:rPr>
                <w:sz w:val="17"/>
                <w:szCs w:val="17"/>
                <w:color w:val="auto"/>
              </w:rPr>
            </w:pPr>
          </w:p>
        </w:tc>
        <w:tc>
          <w:tcPr>
            <w:tcW w:w="540" w:type="dxa"/>
            <w:vAlign w:val="bottom"/>
            <w:gridSpan w:val="2"/>
          </w:tcPr>
          <w:p>
            <w:pPr>
              <w:spacing w:after="0"/>
              <w:rPr>
                <w:sz w:val="17"/>
                <w:szCs w:val="17"/>
                <w:color w:val="auto"/>
              </w:rPr>
            </w:pPr>
          </w:p>
        </w:tc>
        <w:tc>
          <w:tcPr>
            <w:tcW w:w="9380" w:type="dxa"/>
            <w:vAlign w:val="bottom"/>
            <w:gridSpan w:val="27"/>
          </w:tcPr>
          <w:p>
            <w:pPr>
              <w:ind w:left="360"/>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Properties</w:t>
              </w:r>
            </w:hyperlink>
          </w:p>
        </w:tc>
        <w:tc>
          <w:tcPr>
            <w:tcW w:w="9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3.</w:t>
              </w:r>
            </w:hyperlink>
          </w:p>
        </w:tc>
        <w:tc>
          <w:tcPr>
            <w:tcW w:w="620" w:type="dxa"/>
            <w:vAlign w:val="bottom"/>
            <w:gridSpan w:val="3"/>
          </w:tcPr>
          <w:p>
            <w:pPr>
              <w:spacing w:after="0"/>
              <w:rPr>
                <w:sz w:val="17"/>
                <w:szCs w:val="17"/>
                <w:color w:val="auto"/>
              </w:rPr>
            </w:pPr>
          </w:p>
        </w:tc>
        <w:tc>
          <w:tcPr>
            <w:tcW w:w="9380" w:type="dxa"/>
            <w:vAlign w:val="bottom"/>
            <w:gridSpan w:val="27"/>
          </w:tcPr>
          <w:p>
            <w:pPr>
              <w:ind w:left="360"/>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9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gridSpan w:val="14"/>
          </w:tcPr>
          <w:p>
            <w:pPr>
              <w:jc w:val="center"/>
              <w:ind w:right="5100"/>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w:t>
              </w:r>
            </w:hyperlink>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00" w:type="dxa"/>
            <w:vAlign w:val="bottom"/>
            <w:gridSpan w:val="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5.</w:t>
              </w:r>
            </w:hyperlink>
          </w:p>
        </w:tc>
        <w:tc>
          <w:tcPr>
            <w:tcW w:w="540" w:type="dxa"/>
            <w:vAlign w:val="bottom"/>
            <w:gridSpan w:val="2"/>
          </w:tcPr>
          <w:p>
            <w:pPr>
              <w:spacing w:after="0"/>
              <w:rPr>
                <w:sz w:val="24"/>
                <w:szCs w:val="24"/>
                <w:color w:val="auto"/>
              </w:rPr>
            </w:pPr>
          </w:p>
        </w:tc>
        <w:tc>
          <w:tcPr>
            <w:tcW w:w="9380" w:type="dxa"/>
            <w:vAlign w:val="bottom"/>
            <w:gridSpan w:val="27"/>
          </w:tcPr>
          <w:p>
            <w:pPr>
              <w:ind w:left="360"/>
              <w:spacing w:after="0"/>
              <w:rPr>
                <w:rFonts w:ascii="Arial" w:cs="Arial" w:eastAsia="Arial" w:hAnsi="Arial"/>
                <w:sz w:val="18"/>
                <w:szCs w:val="18"/>
                <w:color w:val="0000EE"/>
              </w:rPr>
            </w:pPr>
            <w:hyperlink w:anchor="page26">
              <w:r>
                <w:rPr>
                  <w:rFonts w:ascii="Arial" w:cs="Arial" w:eastAsia="Arial" w:hAnsi="Arial"/>
                  <w:sz w:val="18"/>
                  <w:szCs w:val="18"/>
                  <w:color w:val="0000EE"/>
                </w:rPr>
                <w:t>Market for Registrant’s Common Equity, Related Stockholder Matters and Issuer Purchases of Equity Securities</w:t>
              </w:r>
            </w:hyperlink>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6.</w:t>
              </w:r>
            </w:hyperlink>
          </w:p>
        </w:tc>
        <w:tc>
          <w:tcPr>
            <w:tcW w:w="80" w:type="dxa"/>
            <w:vAlign w:val="bottom"/>
          </w:tcPr>
          <w:p>
            <w:pPr>
              <w:spacing w:after="0"/>
              <w:rPr>
                <w:sz w:val="17"/>
                <w:szCs w:val="17"/>
                <w:color w:val="auto"/>
              </w:rPr>
            </w:pPr>
          </w:p>
        </w:tc>
        <w:tc>
          <w:tcPr>
            <w:tcW w:w="540" w:type="dxa"/>
            <w:vAlign w:val="bottom"/>
            <w:gridSpan w:val="2"/>
          </w:tcPr>
          <w:p>
            <w:pPr>
              <w:spacing w:after="0"/>
              <w:rPr>
                <w:sz w:val="17"/>
                <w:szCs w:val="17"/>
                <w:color w:val="auto"/>
              </w:rPr>
            </w:pPr>
          </w:p>
        </w:tc>
        <w:tc>
          <w:tcPr>
            <w:tcW w:w="9380" w:type="dxa"/>
            <w:vAlign w:val="bottom"/>
            <w:gridSpan w:val="27"/>
          </w:tcPr>
          <w:p>
            <w:pPr>
              <w:ind w:left="36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Selected Financial Data</w:t>
              </w:r>
            </w:hyperlink>
          </w:p>
        </w:tc>
        <w:tc>
          <w:tcPr>
            <w:tcW w:w="9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Item 7.</w:t>
              </w:r>
            </w:hyperlink>
          </w:p>
        </w:tc>
        <w:tc>
          <w:tcPr>
            <w:tcW w:w="620" w:type="dxa"/>
            <w:vAlign w:val="bottom"/>
            <w:gridSpan w:val="3"/>
          </w:tcPr>
          <w:p>
            <w:pPr>
              <w:spacing w:after="0"/>
              <w:rPr>
                <w:sz w:val="17"/>
                <w:szCs w:val="17"/>
                <w:color w:val="auto"/>
              </w:rPr>
            </w:pPr>
          </w:p>
        </w:tc>
        <w:tc>
          <w:tcPr>
            <w:tcW w:w="9380" w:type="dxa"/>
            <w:vAlign w:val="bottom"/>
            <w:gridSpan w:val="27"/>
          </w:tcPr>
          <w:p>
            <w:pPr>
              <w:ind w:left="360"/>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3"/>
              </w:rPr>
            </w:pPr>
            <w:hyperlink w:anchor="page52">
              <w:r>
                <w:rPr>
                  <w:rFonts w:ascii="Arial" w:cs="Arial" w:eastAsia="Arial" w:hAnsi="Arial"/>
                  <w:sz w:val="18"/>
                  <w:szCs w:val="18"/>
                  <w:color w:val="0000EE"/>
                  <w:w w:val="83"/>
                </w:rPr>
                <w:t>Item 7A.</w:t>
              </w:r>
            </w:hyperlink>
          </w:p>
        </w:tc>
        <w:tc>
          <w:tcPr>
            <w:tcW w:w="540" w:type="dxa"/>
            <w:vAlign w:val="bottom"/>
            <w:gridSpan w:val="2"/>
          </w:tcPr>
          <w:p>
            <w:pPr>
              <w:spacing w:after="0"/>
              <w:rPr>
                <w:sz w:val="17"/>
                <w:szCs w:val="17"/>
                <w:color w:val="auto"/>
              </w:rPr>
            </w:pPr>
          </w:p>
        </w:tc>
        <w:tc>
          <w:tcPr>
            <w:tcW w:w="9380" w:type="dxa"/>
            <w:vAlign w:val="bottom"/>
            <w:gridSpan w:val="27"/>
          </w:tcPr>
          <w:p>
            <w:pPr>
              <w:ind w:left="360"/>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Quantitative and Qualitative Disclosures about Market Risk</w:t>
              </w:r>
            </w:hyperlink>
          </w:p>
        </w:tc>
        <w:tc>
          <w:tcPr>
            <w:tcW w:w="9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7"/>
                <w:szCs w:val="17"/>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Item 8.</w:t>
              </w:r>
            </w:hyperlink>
          </w:p>
        </w:tc>
        <w:tc>
          <w:tcPr>
            <w:tcW w:w="80" w:type="dxa"/>
            <w:vAlign w:val="bottom"/>
          </w:tcPr>
          <w:p>
            <w:pPr>
              <w:spacing w:after="0"/>
              <w:rPr>
                <w:sz w:val="17"/>
                <w:szCs w:val="17"/>
                <w:color w:val="auto"/>
              </w:rPr>
            </w:pPr>
          </w:p>
        </w:tc>
        <w:tc>
          <w:tcPr>
            <w:tcW w:w="540" w:type="dxa"/>
            <w:vAlign w:val="bottom"/>
            <w:gridSpan w:val="2"/>
          </w:tcPr>
          <w:p>
            <w:pPr>
              <w:spacing w:after="0"/>
              <w:rPr>
                <w:sz w:val="17"/>
                <w:szCs w:val="17"/>
                <w:color w:val="auto"/>
              </w:rPr>
            </w:pPr>
          </w:p>
        </w:tc>
        <w:tc>
          <w:tcPr>
            <w:tcW w:w="9380" w:type="dxa"/>
            <w:vAlign w:val="bottom"/>
            <w:gridSpan w:val="27"/>
          </w:tcPr>
          <w:p>
            <w:pPr>
              <w:ind w:left="360"/>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Financial Statements and Supplementary Data</w:t>
              </w:r>
            </w:hyperlink>
          </w:p>
        </w:tc>
        <w:tc>
          <w:tcPr>
            <w:tcW w:w="9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Item 9.</w:t>
              </w:r>
            </w:hyperlink>
          </w:p>
        </w:tc>
        <w:tc>
          <w:tcPr>
            <w:tcW w:w="620" w:type="dxa"/>
            <w:vAlign w:val="bottom"/>
            <w:gridSpan w:val="3"/>
          </w:tcPr>
          <w:p>
            <w:pPr>
              <w:spacing w:after="0"/>
              <w:rPr>
                <w:sz w:val="17"/>
                <w:szCs w:val="17"/>
                <w:color w:val="auto"/>
              </w:rPr>
            </w:pPr>
          </w:p>
        </w:tc>
        <w:tc>
          <w:tcPr>
            <w:tcW w:w="9380" w:type="dxa"/>
            <w:vAlign w:val="bottom"/>
            <w:gridSpan w:val="27"/>
          </w:tcPr>
          <w:p>
            <w:pPr>
              <w:ind w:left="360"/>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Changes in and Disagreements with Accountants on Accounting and Financial Disclosure</w:t>
              </w:r>
            </w:hyperlink>
          </w:p>
        </w:tc>
        <w:tc>
          <w:tcPr>
            <w:tcW w:w="9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3"/>
              </w:rPr>
            </w:pPr>
            <w:hyperlink w:anchor="page55">
              <w:r>
                <w:rPr>
                  <w:rFonts w:ascii="Arial" w:cs="Arial" w:eastAsia="Arial" w:hAnsi="Arial"/>
                  <w:sz w:val="18"/>
                  <w:szCs w:val="18"/>
                  <w:color w:val="0000EE"/>
                  <w:w w:val="83"/>
                </w:rPr>
                <w:t>Item 9A.</w:t>
              </w:r>
            </w:hyperlink>
          </w:p>
        </w:tc>
        <w:tc>
          <w:tcPr>
            <w:tcW w:w="540" w:type="dxa"/>
            <w:vAlign w:val="bottom"/>
            <w:gridSpan w:val="2"/>
          </w:tcPr>
          <w:p>
            <w:pPr>
              <w:spacing w:after="0"/>
              <w:rPr>
                <w:sz w:val="17"/>
                <w:szCs w:val="17"/>
                <w:color w:val="auto"/>
              </w:rPr>
            </w:pPr>
          </w:p>
        </w:tc>
        <w:tc>
          <w:tcPr>
            <w:tcW w:w="9380" w:type="dxa"/>
            <w:vAlign w:val="bottom"/>
            <w:gridSpan w:val="27"/>
          </w:tcPr>
          <w:p>
            <w:pPr>
              <w:ind w:left="360"/>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Controls and Procedures</w:t>
              </w:r>
            </w:hyperlink>
          </w:p>
        </w:tc>
        <w:tc>
          <w:tcPr>
            <w:tcW w:w="9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3"/>
              </w:rPr>
            </w:pPr>
            <w:hyperlink w:anchor="page56">
              <w:r>
                <w:rPr>
                  <w:rFonts w:ascii="Arial" w:cs="Arial" w:eastAsia="Arial" w:hAnsi="Arial"/>
                  <w:sz w:val="18"/>
                  <w:szCs w:val="18"/>
                  <w:color w:val="0000EE"/>
                  <w:w w:val="83"/>
                </w:rPr>
                <w:t>Item 9B.</w:t>
              </w:r>
            </w:hyperlink>
          </w:p>
        </w:tc>
        <w:tc>
          <w:tcPr>
            <w:tcW w:w="540" w:type="dxa"/>
            <w:vAlign w:val="bottom"/>
            <w:gridSpan w:val="2"/>
          </w:tcPr>
          <w:p>
            <w:pPr>
              <w:spacing w:after="0"/>
              <w:rPr>
                <w:sz w:val="17"/>
                <w:szCs w:val="17"/>
                <w:color w:val="auto"/>
              </w:rPr>
            </w:pPr>
          </w:p>
        </w:tc>
        <w:tc>
          <w:tcPr>
            <w:tcW w:w="9380" w:type="dxa"/>
            <w:vAlign w:val="bottom"/>
            <w:gridSpan w:val="27"/>
          </w:tcPr>
          <w:p>
            <w:pPr>
              <w:ind w:left="360"/>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Other Information</w:t>
              </w:r>
            </w:hyperlink>
          </w:p>
        </w:tc>
        <w:tc>
          <w:tcPr>
            <w:tcW w:w="9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Borders>
              <w:bottom w:val="single" w:sz="8" w:color="0000EE"/>
            </w:tcBorders>
            <w:gridSpan w:val="7"/>
          </w:tcPr>
          <w:p>
            <w:pPr>
              <w:jc w:val="center"/>
              <w:ind w:right="20"/>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PART III</w:t>
              </w:r>
            </w:hyperlink>
          </w:p>
        </w:tc>
        <w:tc>
          <w:tcPr>
            <w:tcW w:w="5040" w:type="dxa"/>
            <w:vAlign w:val="bottom"/>
            <w:gridSpan w:val="8"/>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1140" w:type="dxa"/>
            <w:vAlign w:val="bottom"/>
            <w:gridSpan w:val="4"/>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10.</w:t>
              </w:r>
            </w:hyperlink>
          </w:p>
        </w:tc>
        <w:tc>
          <w:tcPr>
            <w:tcW w:w="9380" w:type="dxa"/>
            <w:vAlign w:val="bottom"/>
            <w:gridSpan w:val="27"/>
          </w:tcPr>
          <w:p>
            <w:pPr>
              <w:ind w:left="360"/>
              <w:spacing w:after="0"/>
              <w:rPr>
                <w:rFonts w:ascii="Arial" w:cs="Arial" w:eastAsia="Arial" w:hAnsi="Arial"/>
                <w:sz w:val="18"/>
                <w:szCs w:val="18"/>
                <w:color w:val="0000EE"/>
              </w:rPr>
            </w:pPr>
            <w:hyperlink w:anchor="page56">
              <w:r>
                <w:rPr>
                  <w:rFonts w:ascii="Arial" w:cs="Arial" w:eastAsia="Arial" w:hAnsi="Arial"/>
                  <w:sz w:val="18"/>
                  <w:szCs w:val="18"/>
                  <w:color w:val="0000EE"/>
                </w:rPr>
                <w:t>Directors, Executive Officers and Corporate Governance</w:t>
              </w:r>
            </w:hyperlink>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4"/>
                <w:szCs w:val="24"/>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gridSpan w:val="4"/>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Item 11.</w:t>
              </w:r>
            </w:hyperlink>
          </w:p>
        </w:tc>
        <w:tc>
          <w:tcPr>
            <w:tcW w:w="9380" w:type="dxa"/>
            <w:vAlign w:val="bottom"/>
            <w:gridSpan w:val="27"/>
          </w:tcPr>
          <w:p>
            <w:pPr>
              <w:ind w:left="360"/>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Executive Compensation</w:t>
              </w:r>
            </w:hyperlink>
          </w:p>
        </w:tc>
        <w:tc>
          <w:tcPr>
            <w:tcW w:w="9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gridSpan w:val="4"/>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Item 12.</w:t>
              </w:r>
            </w:hyperlink>
          </w:p>
        </w:tc>
        <w:tc>
          <w:tcPr>
            <w:tcW w:w="9380" w:type="dxa"/>
            <w:vAlign w:val="bottom"/>
            <w:gridSpan w:val="27"/>
          </w:tcPr>
          <w:p>
            <w:pPr>
              <w:ind w:left="360"/>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Security Ownership of Certain Beneficial Owners and Management and Related Stockholder Matters</w:t>
              </w:r>
            </w:hyperlink>
          </w:p>
        </w:tc>
        <w:tc>
          <w:tcPr>
            <w:tcW w:w="9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00" w:type="dxa"/>
            <w:vAlign w:val="bottom"/>
            <w:tcBorders>
              <w:right w:val="single" w:sz="8" w:color="0000EE"/>
            </w:tcBorders>
            <w:gridSpan w:val="10"/>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gridSpan w:val="4"/>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Item 13.</w:t>
              </w:r>
            </w:hyperlink>
          </w:p>
        </w:tc>
        <w:tc>
          <w:tcPr>
            <w:tcW w:w="9380" w:type="dxa"/>
            <w:vAlign w:val="bottom"/>
            <w:gridSpan w:val="27"/>
          </w:tcPr>
          <w:p>
            <w:pPr>
              <w:ind w:left="360"/>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Certain Relationships and Related Transactions, and Director Independence</w:t>
              </w:r>
            </w:hyperlink>
          </w:p>
        </w:tc>
        <w:tc>
          <w:tcPr>
            <w:tcW w:w="9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00" w:type="dxa"/>
            <w:vAlign w:val="bottom"/>
            <w:tcBorders>
              <w:right w:val="single" w:sz="8" w:color="0000EE"/>
            </w:tcBorders>
            <w:gridSpan w:val="10"/>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gridSpan w:val="4"/>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Item 14.</w:t>
              </w:r>
            </w:hyperlink>
          </w:p>
        </w:tc>
        <w:tc>
          <w:tcPr>
            <w:tcW w:w="9380" w:type="dxa"/>
            <w:vAlign w:val="bottom"/>
            <w:gridSpan w:val="27"/>
          </w:tcPr>
          <w:p>
            <w:pPr>
              <w:ind w:left="360"/>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Principal Accounting Fees and Services</w:t>
              </w:r>
            </w:hyperlink>
          </w:p>
        </w:tc>
        <w:tc>
          <w:tcPr>
            <w:tcW w:w="9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780" w:type="dxa"/>
            <w:vAlign w:val="bottom"/>
            <w:gridSpan w:val="15"/>
          </w:tcPr>
          <w:p>
            <w:pPr>
              <w:jc w:val="center"/>
              <w:ind w:right="5060"/>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PART IV</w:t>
              </w:r>
            </w:hyperlink>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1140" w:type="dxa"/>
            <w:vAlign w:val="bottom"/>
            <w:gridSpan w:val="4"/>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15.</w:t>
              </w:r>
            </w:hyperlink>
          </w:p>
        </w:tc>
        <w:tc>
          <w:tcPr>
            <w:tcW w:w="3620" w:type="dxa"/>
            <w:vAlign w:val="bottom"/>
            <w:gridSpan w:val="13"/>
          </w:tcPr>
          <w:p>
            <w:pPr>
              <w:ind w:left="360"/>
              <w:spacing w:after="0"/>
              <w:rPr>
                <w:rFonts w:ascii="Arial" w:cs="Arial" w:eastAsia="Arial" w:hAnsi="Arial"/>
                <w:sz w:val="18"/>
                <w:szCs w:val="18"/>
                <w:color w:val="0000EE"/>
              </w:rPr>
            </w:pPr>
            <w:hyperlink w:anchor="page56">
              <w:r>
                <w:rPr>
                  <w:rFonts w:ascii="Arial" w:cs="Arial" w:eastAsia="Arial" w:hAnsi="Arial"/>
                  <w:sz w:val="18"/>
                  <w:szCs w:val="18"/>
                  <w:color w:val="0000EE"/>
                </w:rPr>
                <w:t>Exhibits, Financial Statement Schedules</w:t>
              </w:r>
            </w:hyperlink>
          </w:p>
        </w:tc>
        <w:tc>
          <w:tcPr>
            <w:tcW w:w="700" w:type="dxa"/>
            <w:vAlign w:val="bottom"/>
            <w:tcBorders>
              <w:top w:val="single" w:sz="8" w:color="0000EE"/>
            </w:tcBorders>
            <w:gridSpan w:val="5"/>
          </w:tcPr>
          <w:p>
            <w:pPr>
              <w:spacing w:after="0"/>
              <w:rPr>
                <w:sz w:val="24"/>
                <w:szCs w:val="24"/>
                <w:color w:val="auto"/>
              </w:rPr>
            </w:pPr>
          </w:p>
        </w:tc>
        <w:tc>
          <w:tcPr>
            <w:tcW w:w="5060" w:type="dxa"/>
            <w:vAlign w:val="bottom"/>
            <w:gridSpan w:val="9"/>
          </w:tcPr>
          <w:p>
            <w:pPr>
              <w:spacing w:after="0"/>
              <w:rPr>
                <w:sz w:val="24"/>
                <w:szCs w:val="24"/>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4"/>
                <w:szCs w:val="24"/>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gridSpan w:val="4"/>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Signatures</w:t>
              </w:r>
            </w:hyperlink>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7"/>
                <w:szCs w:val="17"/>
                <w:color w:val="auto"/>
              </w:rPr>
            </w:pPr>
          </w:p>
        </w:tc>
      </w:tr>
      <w:tr>
        <w:trPr>
          <w:trHeight w:val="601"/>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660" w:type="dxa"/>
            <w:vAlign w:val="bottom"/>
            <w:gridSpan w:val="21"/>
          </w:tcPr>
          <w:p>
            <w:pPr>
              <w:jc w:val="center"/>
              <w:ind w:left="4390"/>
              <w:spacing w:after="0"/>
              <w:rPr>
                <w:sz w:val="20"/>
                <w:szCs w:val="20"/>
                <w:color w:val="auto"/>
              </w:rPr>
            </w:pPr>
            <w:r>
              <w:rPr>
                <w:rFonts w:ascii="Arial" w:cs="Arial" w:eastAsia="Arial" w:hAnsi="Arial"/>
                <w:sz w:val="18"/>
                <w:szCs w:val="18"/>
                <w:color w:val="auto"/>
                <w:w w:val="99"/>
              </w:rPr>
              <w:t>1</w:t>
            </w: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5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744"/>
        <w:spacing w:after="0" w:line="259" w:lineRule="auto"/>
        <w:rPr>
          <w:sz w:val="20"/>
          <w:szCs w:val="20"/>
          <w:color w:val="auto"/>
        </w:rPr>
      </w:pPr>
      <w:r>
        <w:rPr>
          <w:rFonts w:ascii="Arial" w:cs="Arial" w:eastAsia="Arial" w:hAnsi="Arial"/>
          <w:sz w:val="18"/>
          <w:szCs w:val="18"/>
          <w:color w:val="auto"/>
        </w:rPr>
        <w:t>This Annual Report contains forward-looking statements within the meaning of Section 27A of the Securities Act of 1933, as amended, and Section 21E of the Securities Exchange Act of 1934, as amended. All statements, other than statements of historical fact, included in this report, including, without limitation, statements regarding our financial position, business strategy and other plans and objectives for our future operations, are forward-looking statements.</w:t>
      </w:r>
    </w:p>
    <w:p>
      <w:pPr>
        <w:spacing w:after="0" w:line="214" w:lineRule="exact"/>
        <w:rPr>
          <w:sz w:val="20"/>
          <w:szCs w:val="20"/>
          <w:color w:val="auto"/>
        </w:rPr>
      </w:pPr>
    </w:p>
    <w:p>
      <w:pPr>
        <w:ind w:right="80" w:firstLine="744"/>
        <w:spacing w:after="0" w:line="276" w:lineRule="auto"/>
        <w:rPr>
          <w:sz w:val="20"/>
          <w:szCs w:val="20"/>
          <w:color w:val="auto"/>
        </w:rPr>
      </w:pPr>
      <w:r>
        <w:rPr>
          <w:rFonts w:ascii="Arial" w:cs="Arial" w:eastAsia="Arial" w:hAnsi="Arial"/>
          <w:sz w:val="17"/>
          <w:szCs w:val="17"/>
          <w:color w:val="auto"/>
        </w:rPr>
        <w:t>These statements include declarations regarding our management’s beliefs and current expectations. In some cases, you can identify forward-looking statements by terminology such as “may,” “will,” “should,” “expects,” “plans,” “anticipates,” “believes,” “estimates,” “predicts” or “continue” or the negative of such terms or other comparable terminology. These forward-looking statements are subject to inherent risks and uncertainties in predicting future results and conditions that could cause the actual results to differ materially from those projected in these forward-l ooking statements. Some, but not all, of the risks and uncertainties include those referred to in the section entitled “Risk Factors” and the following:</w:t>
      </w:r>
    </w:p>
    <w:p>
      <w:pPr>
        <w:spacing w:after="0" w:line="200" w:lineRule="exact"/>
        <w:rPr>
          <w:sz w:val="20"/>
          <w:szCs w:val="20"/>
          <w:color w:val="auto"/>
        </w:rPr>
      </w:pPr>
    </w:p>
    <w:p>
      <w:pPr>
        <w:ind w:left="1380" w:hanging="562"/>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assumptions related to the sources of liquidity, our ability to fund advances and the adequacy of financial resources;</w:t>
      </w:r>
    </w:p>
    <w:p>
      <w:pPr>
        <w:spacing w:after="0" w:line="23" w:lineRule="exact"/>
        <w:rPr>
          <w:rFonts w:ascii="Arial" w:cs="Arial" w:eastAsia="Arial" w:hAnsi="Arial"/>
          <w:sz w:val="18"/>
          <w:szCs w:val="18"/>
          <w:color w:val="auto"/>
        </w:rPr>
      </w:pPr>
    </w:p>
    <w:p>
      <w:pPr>
        <w:ind w:left="1380" w:hanging="562"/>
        <w:spacing w:after="0"/>
        <w:tabs>
          <w:tab w:leader="none" w:pos="1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estimates regarding prepayment speeds, float balances, delinquency rates, advances and other servicing portfolio characteristics;</w:t>
      </w:r>
    </w:p>
    <w:p>
      <w:pPr>
        <w:spacing w:after="0" w:line="20" w:lineRule="exact"/>
        <w:rPr>
          <w:rFonts w:ascii="Arial" w:cs="Arial" w:eastAsia="Arial" w:hAnsi="Arial"/>
          <w:sz w:val="17"/>
          <w:szCs w:val="17"/>
          <w:color w:val="auto"/>
        </w:rPr>
      </w:pPr>
    </w:p>
    <w:p>
      <w:pPr>
        <w:ind w:left="1380" w:hanging="562"/>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projections as to the performance of our asset management vehicles;</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assumptions about our ability to grow or otherwise adapt our business;</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continue to sell our non-core assets;</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reduce our cost structure;</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ability to successfully modify delinquent loans and sell foreclosed properties;</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regarding our reserves, valuations and anticipated realization on assets; and</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as to the effect of resolution of pending legal proceedings on our financial condition.</w:t>
      </w:r>
    </w:p>
    <w:p>
      <w:pPr>
        <w:spacing w:after="0" w:line="238" w:lineRule="exact"/>
        <w:rPr>
          <w:sz w:val="20"/>
          <w:szCs w:val="20"/>
          <w:color w:val="auto"/>
        </w:rPr>
      </w:pPr>
    </w:p>
    <w:p>
      <w:pPr>
        <w:ind w:right="20" w:firstLine="747"/>
        <w:spacing w:after="0" w:line="264" w:lineRule="auto"/>
        <w:rPr>
          <w:sz w:val="20"/>
          <w:szCs w:val="20"/>
          <w:color w:val="auto"/>
        </w:rPr>
      </w:pPr>
      <w:r>
        <w:rPr>
          <w:rFonts w:ascii="Arial" w:cs="Arial" w:eastAsia="Arial" w:hAnsi="Arial"/>
          <w:sz w:val="18"/>
          <w:szCs w:val="18"/>
          <w:color w:val="auto"/>
        </w:rPr>
        <w:t>Forward-looking statements are not guarantees of future performance and involve a number of assumptions, risks and uncertainties that could cause actual results to materially differ from expected results. Important factors that could cause actual results to differ include, but are not limited to, the risks discussed in “Risk Factors” above and the following:</w:t>
      </w:r>
    </w:p>
    <w:p>
      <w:pPr>
        <w:spacing w:after="0" w:line="208" w:lineRule="exact"/>
        <w:rPr>
          <w:sz w:val="20"/>
          <w:szCs w:val="20"/>
          <w:color w:val="auto"/>
        </w:rPr>
      </w:pPr>
    </w:p>
    <w:p>
      <w:pPr>
        <w:ind w:left="1380" w:hanging="562"/>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of adequate, affordable and timely sources of liquidity;</w:t>
      </w:r>
    </w:p>
    <w:p>
      <w:pPr>
        <w:spacing w:after="0" w:line="23" w:lineRule="exact"/>
        <w:rPr>
          <w:rFonts w:ascii="Arial" w:cs="Arial" w:eastAsia="Arial" w:hAnsi="Arial"/>
          <w:sz w:val="18"/>
          <w:szCs w:val="18"/>
          <w:color w:val="auto"/>
        </w:rPr>
      </w:pPr>
    </w:p>
    <w:p>
      <w:pPr>
        <w:ind w:left="1380" w:hanging="562"/>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delinquencies, advances and availability of servicing;</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9" w:lineRule="exact"/>
        <w:rPr>
          <w:rFonts w:ascii="Arial" w:cs="Arial" w:eastAsia="Arial" w:hAnsi="Arial"/>
          <w:sz w:val="18"/>
          <w:szCs w:val="18"/>
          <w:color w:val="auto"/>
        </w:rPr>
      </w:pPr>
    </w:p>
    <w:p>
      <w:pPr>
        <w:ind w:left="1380" w:right="540" w:hanging="562"/>
        <w:spacing w:after="0" w:line="250" w:lineRule="auto"/>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actions of loan owners, including mortgage-backed securities investors, regarding loan putbacks and other servicing practices;</w:t>
      </w:r>
    </w:p>
    <w:p>
      <w:pPr>
        <w:ind w:left="1380" w:right="320" w:hanging="562"/>
        <w:spacing w:after="0" w:line="250" w:lineRule="auto"/>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processes for judicial and non-judicial foreclosure proceedings, including potential additional costs, delays or moratoria in the future or claims pertaining to past practices;</w:t>
      </w:r>
    </w:p>
    <w:p>
      <w:pPr>
        <w:ind w:left="1380" w:hanging="562"/>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inquiries from government agencies into past servicing and foreclosure practices;</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legislation, regulations, government programs and policies, and industry initiatives; and</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dispute resolution and litigation.</w:t>
      </w:r>
    </w:p>
    <w:p>
      <w:pPr>
        <w:spacing w:after="0" w:line="238" w:lineRule="exact"/>
        <w:rPr>
          <w:sz w:val="20"/>
          <w:szCs w:val="20"/>
          <w:color w:val="auto"/>
        </w:rPr>
      </w:pPr>
    </w:p>
    <w:p>
      <w:pPr>
        <w:ind w:right="160" w:firstLine="747"/>
        <w:spacing w:after="0" w:line="259" w:lineRule="auto"/>
        <w:rPr>
          <w:sz w:val="20"/>
          <w:szCs w:val="20"/>
          <w:color w:val="auto"/>
        </w:rPr>
      </w:pPr>
      <w:r>
        <w:rPr>
          <w:rFonts w:ascii="Arial" w:cs="Arial" w:eastAsia="Arial" w:hAnsi="Arial"/>
          <w:sz w:val="18"/>
          <w:szCs w:val="18"/>
          <w:color w:val="auto"/>
        </w:rPr>
        <w:t>Further information on the risks specific to our business is detailed within this report and our other reports and filings with the Securities and Exchange Commission (SEC), including our Quarterly Reports on Form 10-Q and Current Reports on Form 8-K. Forward-looking statements speak only as of the date they were made and should not be relied upon. Ocwen Financial Corporation undertakes no obligation to update or revise forward-looking statements.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 (Dollars in thousands,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firstLine="747"/>
        <w:spacing w:after="0" w:line="273" w:lineRule="auto"/>
        <w:rPr>
          <w:sz w:val="20"/>
          <w:szCs w:val="20"/>
          <w:color w:val="auto"/>
        </w:rPr>
      </w:pPr>
      <w:r>
        <w:rPr>
          <w:rFonts w:ascii="Arial" w:cs="Arial" w:eastAsia="Arial" w:hAnsi="Arial"/>
          <w:sz w:val="17"/>
          <w:szCs w:val="17"/>
          <w:color w:val="auto"/>
        </w:rPr>
        <w:t>Ocwen Financial Corporation, through its subsidiaries, is a leading provider of residential and commercial mortgage loan servicing, special servicing and asset management services. When we use the terms “Ocwen,” “OCN,” “we,” “us” and “our,” we are referring to Ocwen Financial Corporation and its consolidated subsidiaries. Ocwen is headquartered in Atlanta, Georgia and has offices in Orlando and West Palm Beach, Florida and Washington, DC and support operations in India and Uruguay. OCN is a Florida corporation organized in February 1988. Ocwen Loan Servicing, LLC (OLS), a wholly owned subsidiary of Ocwen, is a licensed mortgage servi cer in all 50 states, the District of Columbia and two U.S. territories. As of December 31, 2010, we serviced 479,165 loans with an aggregate unpaid principal balance (UPB) of $73,886,391.</w:t>
      </w:r>
    </w:p>
    <w:p>
      <w:pPr>
        <w:spacing w:after="0" w:line="205" w:lineRule="exact"/>
        <w:rPr>
          <w:sz w:val="20"/>
          <w:szCs w:val="20"/>
          <w:color w:val="auto"/>
        </w:rPr>
      </w:pPr>
    </w:p>
    <w:p>
      <w:pPr>
        <w:ind w:right="340" w:firstLine="747"/>
        <w:spacing w:after="0" w:line="286" w:lineRule="auto"/>
        <w:rPr>
          <w:sz w:val="20"/>
          <w:szCs w:val="20"/>
          <w:color w:val="auto"/>
        </w:rPr>
      </w:pPr>
      <w:r>
        <w:rPr>
          <w:rFonts w:ascii="Arial" w:cs="Arial" w:eastAsia="Arial" w:hAnsi="Arial"/>
          <w:sz w:val="17"/>
          <w:szCs w:val="17"/>
          <w:color w:val="auto"/>
        </w:rPr>
        <w:t>On August 10, 2009, we completed the distribution of our Ocwen Solutions (OS) line of business (the Separation) via the spin-off of a separate publicly traded company, Altisource Portfolio Solutions S.A. (Altisource). Altisource common stock is listed on the NASDAQ market under the ticker symbol “ASPS.” We distributed all of the shares of Altisource common stock to OCN’s shareholders of record as of August 4, 2009.</w:t>
      </w:r>
    </w:p>
    <w:p>
      <w:pPr>
        <w:spacing w:after="0" w:line="193" w:lineRule="exact"/>
        <w:rPr>
          <w:sz w:val="20"/>
          <w:szCs w:val="20"/>
          <w:color w:val="auto"/>
        </w:rPr>
      </w:pPr>
    </w:p>
    <w:p>
      <w:pPr>
        <w:ind w:right="80" w:firstLine="747"/>
        <w:spacing w:after="0" w:line="297" w:lineRule="auto"/>
        <w:rPr>
          <w:sz w:val="20"/>
          <w:szCs w:val="20"/>
          <w:color w:val="auto"/>
        </w:rPr>
      </w:pPr>
      <w:r>
        <w:rPr>
          <w:rFonts w:ascii="Arial" w:cs="Arial" w:eastAsia="Arial" w:hAnsi="Arial"/>
          <w:sz w:val="16"/>
          <w:szCs w:val="16"/>
          <w:color w:val="auto"/>
        </w:rPr>
        <w:t>On September 1, 2010, Ocwen, through OLS, completed the acquisition of the U.S. non-prime mortgage servicing business of Barclays Bank PLC known as “HomEq Servicing” including, but not limited to, the mortgage servicing rights and associated servicer advances of the business as well as the servicing platforms based in Sacramento, California and Raleigh, North Carolina (the “HomEq Acquisition”). The sellers were Barclays Bank PLC (Barclays), and Barclays Capital Real Estate Inc. (BCRE). The HomeEq Acquisition was completed in accordance with the provisions of the Asset Purchase Agreement dated May 28, 2010 among Barclays, BCRE, OLS and Ocwen. This transaction did not re sult in the transfer of ownership of any legal entities.</w:t>
      </w:r>
    </w:p>
    <w:p>
      <w:pPr>
        <w:spacing w:after="0" w:line="185" w:lineRule="exact"/>
        <w:rPr>
          <w:sz w:val="20"/>
          <w:szCs w:val="20"/>
          <w:color w:val="auto"/>
        </w:rPr>
      </w:pPr>
    </w:p>
    <w:p>
      <w:pPr>
        <w:ind w:right="380" w:firstLine="747"/>
        <w:spacing w:after="0" w:line="308" w:lineRule="auto"/>
        <w:rPr>
          <w:sz w:val="20"/>
          <w:szCs w:val="20"/>
          <w:color w:val="auto"/>
        </w:rPr>
      </w:pPr>
      <w:r>
        <w:rPr>
          <w:rFonts w:ascii="Arial" w:cs="Arial" w:eastAsia="Arial" w:hAnsi="Arial"/>
          <w:sz w:val="17"/>
          <w:szCs w:val="17"/>
          <w:color w:val="auto"/>
        </w:rPr>
        <w:t>Ocwen acquired HomEq Servicing in order to grow our Servicing segment. With the close of the HomEq Acquisition, Ocwen boarded onto its servicing platform approximately 134,000 residential mortgage loans with an aggregate UPB of approximately $22,400,000.</w:t>
      </w:r>
    </w:p>
    <w:p>
      <w:pPr>
        <w:spacing w:after="0" w:line="174" w:lineRule="exact"/>
        <w:rPr>
          <w:sz w:val="20"/>
          <w:szCs w:val="20"/>
          <w:color w:val="auto"/>
        </w:rPr>
      </w:pPr>
    </w:p>
    <w:p>
      <w:pPr>
        <w:ind w:right="120" w:firstLine="747"/>
        <w:spacing w:after="0" w:line="255" w:lineRule="auto"/>
        <w:rPr>
          <w:sz w:val="20"/>
          <w:szCs w:val="20"/>
          <w:color w:val="auto"/>
        </w:rPr>
      </w:pPr>
      <w:r>
        <w:rPr>
          <w:rFonts w:ascii="Arial" w:cs="Arial" w:eastAsia="Arial" w:hAnsi="Arial"/>
          <w:sz w:val="18"/>
          <w:szCs w:val="18"/>
          <w:color w:val="auto"/>
        </w:rPr>
        <w:t>OLS paid an initial aggregate purchase price of $1,196,747 in cash upon closing of the HomEq Acquisition. Of this amount, $852,617 was funded by notes issued through a new $1,011,000 structured servicing advance financing facility, $150,000 was paid from funds held in escrow in accordance with the terms of the new $350,000 senior secured term loan facility and $194,130 consisted of cash and funds borrowed pursuant to the senior secured term loan facility. See Note 14 and Note 16 to the Consolidated Financial Statements for additional details regarding the terms of the notes supporting these facilities. The initial purchase price was reduced by $29,625 pursuant to an initial true-up of advances on September 30, 2010. We do not anticipate any further adjustments subsequent to December 31, 2010.</w:t>
      </w:r>
    </w:p>
    <w:p>
      <w:pPr>
        <w:spacing w:after="0" w:line="220" w:lineRule="exact"/>
        <w:rPr>
          <w:sz w:val="20"/>
          <w:szCs w:val="20"/>
          <w:color w:val="auto"/>
        </w:rPr>
      </w:pPr>
    </w:p>
    <w:p>
      <w:pPr>
        <w:ind w:right="100" w:firstLine="747"/>
        <w:spacing w:after="0" w:line="255" w:lineRule="auto"/>
        <w:rPr>
          <w:sz w:val="20"/>
          <w:szCs w:val="20"/>
          <w:color w:val="auto"/>
        </w:rPr>
      </w:pPr>
      <w:r>
        <w:rPr>
          <w:rFonts w:ascii="Arial" w:cs="Arial" w:eastAsia="Arial" w:hAnsi="Arial"/>
          <w:sz w:val="18"/>
          <w:szCs w:val="18"/>
          <w:color w:val="auto"/>
        </w:rPr>
        <w:t>Following the closing, our reorganization and streamlining of the operations of HomEq Servicing obligated Ocwen to pay severance to all HomEq Servicing employees who entered into an employment agreement with Ocwen. The duties of these employees have been transferred to existing and newly-hired employees in the U.S., India and Uruguay. We incurred non-recurring costs of $52,603, including severance and Worker Adjustment and Retraining Notification Act (WARN Act) compensation of $32,954, occupancy and equipment costs of $15,104 and professional fees of $3,977. Occupancy and equipment costs include lease termination costs of $7,794 and a charge of $5,840 to write off leasehold improvements in co nnection with our decision to shutdown the leased HomEq facilities that we acquired.</w:t>
      </w:r>
    </w:p>
    <w:p>
      <w:pPr>
        <w:spacing w:after="0" w:line="220" w:lineRule="exact"/>
        <w:rPr>
          <w:sz w:val="20"/>
          <w:szCs w:val="20"/>
          <w:color w:val="auto"/>
        </w:rPr>
      </w:pPr>
    </w:p>
    <w:p>
      <w:pPr>
        <w:ind w:right="40" w:firstLine="744"/>
        <w:spacing w:after="0" w:line="264" w:lineRule="auto"/>
        <w:rPr>
          <w:sz w:val="20"/>
          <w:szCs w:val="20"/>
          <w:color w:val="auto"/>
        </w:rPr>
      </w:pPr>
      <w:r>
        <w:rPr>
          <w:rFonts w:ascii="Arial" w:cs="Arial" w:eastAsia="Arial" w:hAnsi="Arial"/>
          <w:sz w:val="18"/>
          <w:szCs w:val="18"/>
          <w:color w:val="auto"/>
        </w:rPr>
        <w:t>We accounted for the transaction using the acquisition method of accounting which requires, among other things, that the assets acquired and liabilities assumed be recognized at their fair values as of the acquisition date. See Note 2 to the Consolidated Financial Statements for additional information regarding the HomEq Acquisition.</w:t>
      </w:r>
    </w:p>
    <w:p>
      <w:pPr>
        <w:spacing w:after="0" w:line="208" w:lineRule="exact"/>
        <w:rPr>
          <w:sz w:val="20"/>
          <w:szCs w:val="20"/>
          <w:color w:val="auto"/>
        </w:rPr>
      </w:pPr>
    </w:p>
    <w:p>
      <w:pPr>
        <w:ind w:firstLine="747"/>
        <w:spacing w:after="0" w:line="257" w:lineRule="auto"/>
        <w:rPr>
          <w:sz w:val="20"/>
          <w:szCs w:val="20"/>
          <w:color w:val="auto"/>
        </w:rPr>
      </w:pPr>
      <w:r>
        <w:rPr>
          <w:rFonts w:ascii="Arial" w:cs="Arial" w:eastAsia="Arial" w:hAnsi="Arial"/>
          <w:sz w:val="18"/>
          <w:szCs w:val="18"/>
          <w:color w:val="auto"/>
        </w:rPr>
        <w:t>Effective October 1, 2010, Ocwen and the other stockholders of BMS Holdings, Inc. (BMS Holdings) no longer own any interest in BMS. The stock of BMS was transferred to debt holders as part of a restructuring plan. Ocwen no longer has a business relationship with BMS or its affiliates. Following the restructuring, BMS Holdings has no assets or operations. BMS Holdings had acquired BMS on July 31, 2006. Since the second quarter of 2008, we carried our investment in BMS Holdings at zero and did not recognize any income or losses. On October 15, 2010, BMS Holdings changed its name to BHI Liquidation, Inc. (BHI).</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5" w:name="page6"/>
    <w:bookmarkEnd w:id="5"/>
    <w:p>
      <w:pPr>
        <w:ind w:right="160" w:firstLine="747"/>
        <w:spacing w:after="0" w:line="264" w:lineRule="auto"/>
        <w:rPr>
          <w:sz w:val="20"/>
          <w:szCs w:val="20"/>
          <w:color w:val="auto"/>
        </w:rPr>
      </w:pPr>
      <w:r>
        <w:rPr>
          <w:rFonts w:ascii="Arial" w:cs="Arial" w:eastAsia="Arial" w:hAnsi="Arial"/>
          <w:sz w:val="18"/>
          <w:szCs w:val="18"/>
          <w:color w:val="auto"/>
        </w:rPr>
        <w:t>On December 3, 2009, we finalized and consummated the transaction to dispose of our investment in Bankhaus Oswald Kruber GmbH &amp; Co. KG (BOK), our wholly owned German banking subsidiary that we acquired in 2004. We report the operating results of BOK as discontinued operations in our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STRATEGY AND OUTLOOK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40" w:firstLine="747"/>
        <w:spacing w:after="0" w:line="264" w:lineRule="auto"/>
        <w:rPr>
          <w:sz w:val="20"/>
          <w:szCs w:val="20"/>
          <w:color w:val="auto"/>
        </w:rPr>
      </w:pPr>
      <w:r>
        <w:rPr>
          <w:rFonts w:ascii="Arial" w:cs="Arial" w:eastAsia="Arial" w:hAnsi="Arial"/>
          <w:sz w:val="18"/>
          <w:szCs w:val="18"/>
          <w:color w:val="auto"/>
        </w:rPr>
        <w:t>Ocwen is a leader in the servicing industry in increasing cash flows and improving loan values for mortgage loan investors and in keeping Americans in their homes through foreclosure prevention. Our leadership in the industry is evidenced by our high cure rate for delinquent loans and the above average rate of continuing performance by borrowers whose loans we modify.</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competitive strengths are:</w:t>
      </w:r>
    </w:p>
    <w:p>
      <w:pPr>
        <w:spacing w:after="0" w:line="252" w:lineRule="exact"/>
        <w:rPr>
          <w:sz w:val="20"/>
          <w:szCs w:val="20"/>
          <w:color w:val="auto"/>
        </w:rPr>
      </w:pPr>
    </w:p>
    <w:p>
      <w:pPr>
        <w:ind w:left="1380" w:right="440" w:hanging="562"/>
        <w:spacing w:after="0" w:line="312" w:lineRule="auto"/>
        <w:tabs>
          <w:tab w:leader="none" w:pos="13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Lowest Cost Provider</w:t>
      </w:r>
      <w:r>
        <w:rPr>
          <w:rFonts w:ascii="Arial" w:cs="Arial" w:eastAsia="Arial" w:hAnsi="Arial"/>
          <w:sz w:val="16"/>
          <w:szCs w:val="16"/>
          <w:color w:val="auto"/>
        </w:rPr>
        <w:t>. We believe that OLS has the lowest operating cost in the sub-prime mortgage servicing industry and special</w:t>
      </w:r>
      <w:r>
        <w:rPr>
          <w:rFonts w:ascii="Arial" w:cs="Arial" w:eastAsia="Arial" w:hAnsi="Arial"/>
          <w:sz w:val="16"/>
          <w:szCs w:val="16"/>
          <w:i w:val="1"/>
          <w:iCs w:val="1"/>
          <w:color w:val="auto"/>
        </w:rPr>
        <w:t xml:space="preserve"> </w:t>
      </w:r>
      <w:r>
        <w:rPr>
          <w:rFonts w:ascii="Arial" w:cs="Arial" w:eastAsia="Arial" w:hAnsi="Arial"/>
          <w:sz w:val="16"/>
          <w:szCs w:val="16"/>
          <w:color w:val="auto"/>
        </w:rPr>
        <w:t>servicing industry. Based on average industry cost information provided by a third party valuation consultant on November 30, 2010, OLS’ net cost to service a non-performing loan was 63% lower than the average net cost for the subprime industry.</w:t>
      </w:r>
    </w:p>
    <w:p>
      <w:pPr>
        <w:spacing w:after="0" w:line="146" w:lineRule="exact"/>
        <w:rPr>
          <w:rFonts w:ascii="Arial" w:cs="Arial" w:eastAsia="Arial" w:hAnsi="Arial"/>
          <w:sz w:val="16"/>
          <w:szCs w:val="16"/>
          <w:color w:val="auto"/>
        </w:rPr>
      </w:pPr>
    </w:p>
    <w:p>
      <w:pPr>
        <w:ind w:left="1380" w:hanging="562"/>
        <w:spacing w:after="0" w:line="277" w:lineRule="auto"/>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Scalable Servicing Platform</w:t>
      </w:r>
      <w:r>
        <w:rPr>
          <w:rFonts w:ascii="Arial" w:cs="Arial" w:eastAsia="Arial" w:hAnsi="Arial"/>
          <w:sz w:val="18"/>
          <w:szCs w:val="18"/>
          <w:color w:val="auto"/>
        </w:rPr>
        <w:t>. We believe that OLS has the most scalable platform in the subprime and special servicing industries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our superior technology. Recent examples of our ability to scale our platform include:</w:t>
      </w:r>
    </w:p>
    <w:p>
      <w:pPr>
        <w:spacing w:after="0" w:line="197" w:lineRule="exact"/>
        <w:rPr>
          <w:rFonts w:ascii="Arial" w:cs="Arial" w:eastAsia="Arial" w:hAnsi="Arial"/>
          <w:sz w:val="18"/>
          <w:szCs w:val="18"/>
          <w:color w:val="auto"/>
        </w:rPr>
      </w:pPr>
    </w:p>
    <w:p>
      <w:pPr>
        <w:ind w:left="1960" w:hanging="574"/>
        <w:spacing w:after="0"/>
        <w:tabs>
          <w:tab w:leader="none" w:pos="1960" w:val="left"/>
        </w:tabs>
        <w:numPr>
          <w:ilvl w:val="1"/>
          <w:numId w:val="5"/>
        </w:numPr>
        <w:rPr>
          <w:rFonts w:ascii="Arial" w:cs="Arial" w:eastAsia="Arial" w:hAnsi="Arial"/>
          <w:sz w:val="17"/>
          <w:szCs w:val="17"/>
          <w:color w:val="auto"/>
        </w:rPr>
      </w:pPr>
      <w:r>
        <w:rPr>
          <w:rFonts w:ascii="Arial" w:cs="Arial" w:eastAsia="Arial" w:hAnsi="Arial"/>
          <w:sz w:val="17"/>
          <w:szCs w:val="17"/>
          <w:color w:val="auto"/>
        </w:rPr>
        <w:t>Transfer in, via a special servicing agreement, of approximately $4 billion of delinquent Freddie Mac loans in August of 2009</w:t>
      </w:r>
    </w:p>
    <w:p>
      <w:pPr>
        <w:spacing w:after="0" w:line="34" w:lineRule="exact"/>
        <w:rPr>
          <w:rFonts w:ascii="Arial" w:cs="Arial" w:eastAsia="Arial" w:hAnsi="Arial"/>
          <w:sz w:val="17"/>
          <w:szCs w:val="17"/>
          <w:color w:val="auto"/>
        </w:rPr>
      </w:pPr>
    </w:p>
    <w:p>
      <w:pPr>
        <w:ind w:left="1960" w:hanging="574"/>
        <w:spacing w:after="0"/>
        <w:tabs>
          <w:tab w:leader="none" w:pos="1960" w:val="left"/>
        </w:tabs>
        <w:numPr>
          <w:ilvl w:val="1"/>
          <w:numId w:val="5"/>
        </w:numPr>
        <w:rPr>
          <w:rFonts w:ascii="Arial" w:cs="Arial" w:eastAsia="Arial" w:hAnsi="Arial"/>
          <w:sz w:val="16"/>
          <w:szCs w:val="16"/>
          <w:color w:val="auto"/>
        </w:rPr>
      </w:pPr>
      <w:r>
        <w:rPr>
          <w:rFonts w:ascii="Arial" w:cs="Arial" w:eastAsia="Arial" w:hAnsi="Arial"/>
          <w:sz w:val="16"/>
          <w:szCs w:val="16"/>
          <w:color w:val="auto"/>
        </w:rPr>
        <w:t>Transfer in, via a subservicing agreement, of approximately $9.7 billion of subprime loans in November and December of 2009,</w:t>
      </w:r>
    </w:p>
    <w:p>
      <w:pPr>
        <w:spacing w:after="0" w:line="32" w:lineRule="exact"/>
        <w:rPr>
          <w:rFonts w:ascii="Arial" w:cs="Arial" w:eastAsia="Arial" w:hAnsi="Arial"/>
          <w:sz w:val="16"/>
          <w:szCs w:val="16"/>
          <w:color w:val="auto"/>
        </w:rPr>
      </w:pPr>
    </w:p>
    <w:p>
      <w:pPr>
        <w:ind w:left="1960" w:right="80" w:hanging="574"/>
        <w:spacing w:after="0" w:line="250" w:lineRule="auto"/>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Transfer in, via a mortgage servicing rights (MSRs) acquisition, of approximately $6.9 billion of subprime loans in April and May of 2010; and</w:t>
      </w:r>
    </w:p>
    <w:p>
      <w:pPr>
        <w:ind w:left="1960" w:hanging="574"/>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HomEq Acquisition of approximately $22.4 billion of subprime loans on September 1, 2010.</w:t>
      </w:r>
    </w:p>
    <w:p>
      <w:pPr>
        <w:spacing w:after="0" w:line="237" w:lineRule="exact"/>
        <w:rPr>
          <w:rFonts w:ascii="Arial" w:cs="Arial" w:eastAsia="Arial" w:hAnsi="Arial"/>
          <w:sz w:val="18"/>
          <w:szCs w:val="18"/>
          <w:color w:val="auto"/>
        </w:rPr>
      </w:pPr>
    </w:p>
    <w:p>
      <w:pPr>
        <w:ind w:left="1380" w:right="80" w:hanging="562"/>
        <w:spacing w:after="0" w:line="277" w:lineRule="auto"/>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Superior Loss Mitigation and Cash Management. </w:t>
      </w:r>
      <w:r>
        <w:rPr>
          <w:rFonts w:ascii="Arial" w:cs="Arial" w:eastAsia="Arial" w:hAnsi="Arial"/>
          <w:sz w:val="18"/>
          <w:szCs w:val="18"/>
          <w:color w:val="auto"/>
        </w:rPr>
        <w:t>We believe that OLS provides the highest servicing quality in the subprime sector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following third-party studies:</w:t>
      </w:r>
    </w:p>
    <w:p>
      <w:pPr>
        <w:spacing w:after="0" w:line="197" w:lineRule="exact"/>
        <w:rPr>
          <w:rFonts w:ascii="Arial" w:cs="Arial" w:eastAsia="Arial" w:hAnsi="Arial"/>
          <w:sz w:val="18"/>
          <w:szCs w:val="18"/>
          <w:color w:val="auto"/>
        </w:rPr>
      </w:pPr>
    </w:p>
    <w:p>
      <w:pPr>
        <w:ind w:left="1960" w:right="340" w:hanging="574"/>
        <w:spacing w:after="0" w:line="258" w:lineRule="auto"/>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Credit Suisse (2008) – Ocwen had the highest payment rate of all servicers on 90+ delinquent loans for 2006 vintage subprime loans. Ocwen’s payment rate was more than double the midpoint of all servicers reported.</w:t>
      </w:r>
    </w:p>
    <w:p>
      <w:pPr>
        <w:spacing w:after="0" w:line="1" w:lineRule="exact"/>
        <w:rPr>
          <w:rFonts w:ascii="Arial" w:cs="Arial" w:eastAsia="Arial" w:hAnsi="Arial"/>
          <w:sz w:val="18"/>
          <w:szCs w:val="18"/>
          <w:color w:val="auto"/>
        </w:rPr>
      </w:pPr>
    </w:p>
    <w:p>
      <w:pPr>
        <w:ind w:left="1960" w:right="280" w:hanging="574"/>
        <w:spacing w:after="0" w:line="265" w:lineRule="auto"/>
        <w:tabs>
          <w:tab w:leader="none" w:pos="1960" w:val="left"/>
        </w:tabs>
        <w:numPr>
          <w:ilvl w:val="1"/>
          <w:numId w:val="5"/>
        </w:numPr>
        <w:rPr>
          <w:rFonts w:ascii="Arial" w:cs="Arial" w:eastAsia="Arial" w:hAnsi="Arial"/>
          <w:sz w:val="17"/>
          <w:szCs w:val="17"/>
          <w:color w:val="auto"/>
        </w:rPr>
      </w:pPr>
      <w:r>
        <w:rPr>
          <w:rFonts w:ascii="Arial" w:cs="Arial" w:eastAsia="Arial" w:hAnsi="Arial"/>
          <w:sz w:val="17"/>
          <w:szCs w:val="17"/>
          <w:color w:val="auto"/>
        </w:rPr>
        <w:t>Bank of America/Merrill Lynch (July 2009) – Ocwen had the highest roll rate from 90+ delinquent to current on both fixed rate and adjustable rate subprime loans. Ocwen’s results were more than double the midpoint for all servicers reported.</w:t>
      </w:r>
    </w:p>
    <w:p>
      <w:pPr>
        <w:ind w:left="1960" w:right="180" w:hanging="574"/>
        <w:spacing w:after="0" w:line="250" w:lineRule="auto"/>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Deutsche Bank (May 2010) – Ocwen was ranked first in a measure called “Recovery Score,” which evaluates the results of short sales and real estate owned sales based on the timeline to liquidate and loss severity.</w:t>
      </w:r>
    </w:p>
    <w:p>
      <w:pPr>
        <w:ind w:left="1960" w:hanging="574"/>
        <w:spacing w:after="0"/>
        <w:tabs>
          <w:tab w:leader="none" w:pos="1960" w:val="left"/>
        </w:tabs>
        <w:numPr>
          <w:ilvl w:val="1"/>
          <w:numId w:val="5"/>
        </w:numPr>
        <w:rPr>
          <w:rFonts w:ascii="Arial" w:cs="Arial" w:eastAsia="Arial" w:hAnsi="Arial"/>
          <w:sz w:val="17"/>
          <w:szCs w:val="17"/>
          <w:color w:val="auto"/>
        </w:rPr>
      </w:pPr>
      <w:r>
        <w:rPr>
          <w:rFonts w:ascii="Arial" w:cs="Arial" w:eastAsia="Arial" w:hAnsi="Arial"/>
          <w:sz w:val="17"/>
          <w:szCs w:val="17"/>
          <w:color w:val="auto"/>
        </w:rPr>
        <w:t>J.P. Morgan (June 2010) – Ocwen was ranked first in Quality Rank, which considers the re-default rate for loans modified.</w:t>
      </w:r>
    </w:p>
    <w:p>
      <w:pPr>
        <w:spacing w:after="0" w:line="20" w:lineRule="exact"/>
        <w:rPr>
          <w:rFonts w:ascii="Arial" w:cs="Arial" w:eastAsia="Arial" w:hAnsi="Arial"/>
          <w:sz w:val="17"/>
          <w:szCs w:val="17"/>
          <w:color w:val="auto"/>
        </w:rPr>
      </w:pPr>
    </w:p>
    <w:p>
      <w:pPr>
        <w:ind w:left="1960" w:right="280" w:hanging="574"/>
        <w:spacing w:after="0" w:line="255" w:lineRule="auto"/>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Fannie Mae Reports on the federal Home Affordable Modification Program (HAMP) (various dates in 2010) – Ocwen was consistently ranked among the top three servicers in terms of the number of trial modifications and the speed of converting trial modifications to permanent modifications.</w:t>
      </w:r>
    </w:p>
    <w:p>
      <w:pPr>
        <w:spacing w:after="0" w:line="217" w:lineRule="exact"/>
        <w:rPr>
          <w:rFonts w:ascii="Arial" w:cs="Arial" w:eastAsia="Arial" w:hAnsi="Arial"/>
          <w:sz w:val="18"/>
          <w:szCs w:val="18"/>
          <w:color w:val="auto"/>
        </w:rPr>
      </w:pPr>
    </w:p>
    <w:p>
      <w:pPr>
        <w:ind w:left="1380" w:right="120" w:hanging="562"/>
        <w:spacing w:after="0" w:line="264" w:lineRule="auto"/>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Generate Substantial Cash Flow. </w:t>
      </w:r>
      <w:r>
        <w:rPr>
          <w:rFonts w:ascii="Arial" w:cs="Arial" w:eastAsia="Arial" w:hAnsi="Arial"/>
          <w:sz w:val="18"/>
          <w:szCs w:val="18"/>
          <w:color w:val="auto"/>
        </w:rPr>
        <w:t>Our servicing business generates substantial cash flow. Healthy margins are augmented by the add-back</w:t>
      </w:r>
      <w:r>
        <w:rPr>
          <w:rFonts w:ascii="Arial" w:cs="Arial" w:eastAsia="Arial" w:hAnsi="Arial"/>
          <w:sz w:val="18"/>
          <w:szCs w:val="18"/>
          <w:i w:val="1"/>
          <w:iCs w:val="1"/>
          <w:color w:val="auto"/>
        </w:rPr>
        <w:t xml:space="preserve"> </w:t>
      </w:r>
      <w:r>
        <w:rPr>
          <w:rFonts w:ascii="Arial" w:cs="Arial" w:eastAsia="Arial" w:hAnsi="Arial"/>
          <w:sz w:val="18"/>
          <w:szCs w:val="18"/>
          <w:color w:val="auto"/>
        </w:rPr>
        <w:t>of non-cash amortization expense. Cash flow is further enhanced by reducing delinquencies and the associated advances which allows Ocwen to recover the advance haircut and reduce asset intensity.</w:t>
      </w:r>
    </w:p>
    <w:p>
      <w:pPr>
        <w:spacing w:after="0" w:line="181" w:lineRule="exact"/>
        <w:rPr>
          <w:sz w:val="20"/>
          <w:szCs w:val="20"/>
          <w:color w:val="auto"/>
        </w:rPr>
      </w:pPr>
    </w:p>
    <w:p>
      <w:pPr>
        <w:ind w:right="20" w:firstLine="744"/>
        <w:spacing w:after="0" w:line="270" w:lineRule="auto"/>
        <w:rPr>
          <w:sz w:val="20"/>
          <w:szCs w:val="20"/>
          <w:color w:val="auto"/>
        </w:rPr>
      </w:pPr>
      <w:r>
        <w:rPr>
          <w:rFonts w:ascii="Arial" w:cs="Arial" w:eastAsia="Arial" w:hAnsi="Arial"/>
          <w:sz w:val="17"/>
          <w:szCs w:val="17"/>
          <w:color w:val="auto"/>
        </w:rPr>
        <w:t>We believe that we achieve these superior results largely because of superior technology and processes. Our servicing platform runs on an information technology system developed over a period of more than 20 years at a cost of more than $140,000. We license this technology from Altisource under long-term agreements. This system is highly robust, retaining more data than the systems used by most other mortgage servicers. The system integrates non-linear loss mitigation models that optimize client cash flow by maximizing loan modifications and other borrower resolutions while also minimizing both re-defaults on modifications and foreclosures. The technology also integrates into the borrower com munication process artificial intelligence, driven by behavioral and psychological principles, that provides dynamic solutions to borrowers. By tailoring “what we say” and “how we say it” to each individual borrower, we create a “market of one.” As a result, we are able to increase borrower acceptance rates of loan modifications and other resolution alternatives and at the same time increase compliance. These tools are continuously improved via feedback loops from controlled testing and monitoring of alternative solutions. Currently, Altisource employs over 300 software developers, modelers and psychology professionals focused on process improvement, borrower behavior, automation of manual processes and improvement of resolution models.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Strategic Priorities</w:t>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long-term success of any mortgage servicer is driven primarily by four criteria:</w:t>
      </w:r>
    </w:p>
    <w:p>
      <w:pPr>
        <w:spacing w:after="0" w:line="252" w:lineRule="exact"/>
        <w:rPr>
          <w:sz w:val="20"/>
          <w:szCs w:val="20"/>
          <w:color w:val="auto"/>
        </w:rPr>
      </w:pPr>
    </w:p>
    <w:p>
      <w:pPr>
        <w:ind w:left="1380" w:hanging="562"/>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Access to new servicing business</w:t>
      </w:r>
    </w:p>
    <w:p>
      <w:pPr>
        <w:spacing w:after="0" w:line="23" w:lineRule="exact"/>
        <w:rPr>
          <w:rFonts w:ascii="Arial" w:cs="Arial" w:eastAsia="Arial" w:hAnsi="Arial"/>
          <w:sz w:val="18"/>
          <w:szCs w:val="18"/>
          <w:color w:val="auto"/>
        </w:rPr>
      </w:pPr>
    </w:p>
    <w:p>
      <w:pPr>
        <w:ind w:left="1380" w:hanging="562"/>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 of servicing</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Ability to manage delinquencies and advances</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 of capital</w:t>
      </w:r>
    </w:p>
    <w:p>
      <w:pPr>
        <w:spacing w:after="0" w:line="211" w:lineRule="exact"/>
        <w:rPr>
          <w:sz w:val="20"/>
          <w:szCs w:val="20"/>
          <w:color w:val="auto"/>
        </w:rPr>
      </w:pPr>
    </w:p>
    <w:p>
      <w:pPr>
        <w:ind w:firstLine="747"/>
        <w:spacing w:after="0" w:line="264" w:lineRule="auto"/>
        <w:rPr>
          <w:sz w:val="20"/>
          <w:szCs w:val="20"/>
          <w:color w:val="auto"/>
        </w:rPr>
      </w:pPr>
      <w:r>
        <w:rPr>
          <w:rFonts w:ascii="Arial" w:cs="Arial" w:eastAsia="Arial" w:hAnsi="Arial"/>
          <w:sz w:val="18"/>
          <w:szCs w:val="18"/>
          <w:color w:val="auto"/>
        </w:rPr>
        <w:t>Ocwen is an established industry leader in cost of servicing and ability to manage delinquencies and advances. While we will continue to pursue improvements in these areas, our plan for 2011 is to focus more heavily on access to new servicing business and on reducing our cost of capital relative to our peers, both banks and non-banks.</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accessing new servicing business, we have a four-pronged strategy:</w:t>
      </w:r>
    </w:p>
    <w:p>
      <w:pPr>
        <w:spacing w:after="0" w:line="252" w:lineRule="exact"/>
        <w:rPr>
          <w:sz w:val="20"/>
          <w:szCs w:val="20"/>
          <w:color w:val="auto"/>
        </w:rPr>
      </w:pPr>
    </w:p>
    <w:p>
      <w:pPr>
        <w:ind w:left="1380" w:hanging="562"/>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Acquisition of existing servicing platforms</w:t>
      </w:r>
    </w:p>
    <w:p>
      <w:pPr>
        <w:spacing w:after="0" w:line="23" w:lineRule="exact"/>
        <w:rPr>
          <w:rFonts w:ascii="Arial" w:cs="Arial" w:eastAsia="Arial" w:hAnsi="Arial"/>
          <w:sz w:val="18"/>
          <w:szCs w:val="18"/>
          <w:color w:val="auto"/>
        </w:rPr>
      </w:pPr>
    </w:p>
    <w:p>
      <w:pPr>
        <w:ind w:left="1380" w:hanging="562"/>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Special servicing opportunities (both residential and commercial)</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Flow servicing</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servicing segments</w:t>
      </w:r>
    </w:p>
    <w:p>
      <w:pPr>
        <w:spacing w:after="0" w:line="211" w:lineRule="exact"/>
        <w:rPr>
          <w:sz w:val="20"/>
          <w:szCs w:val="20"/>
          <w:color w:val="auto"/>
        </w:rPr>
      </w:pPr>
    </w:p>
    <w:p>
      <w:pPr>
        <w:ind w:right="60" w:firstLine="747"/>
        <w:spacing w:after="0" w:line="271" w:lineRule="auto"/>
        <w:rPr>
          <w:sz w:val="20"/>
          <w:szCs w:val="20"/>
          <w:color w:val="auto"/>
        </w:rPr>
      </w:pPr>
      <w:r>
        <w:rPr>
          <w:rFonts w:ascii="Arial" w:cs="Arial" w:eastAsia="Arial" w:hAnsi="Arial"/>
          <w:sz w:val="17"/>
          <w:szCs w:val="17"/>
          <w:color w:val="auto"/>
        </w:rPr>
        <w:t>In 2011, we will continue to pursue subservicing transactions, the acquisition of existing servicing portfolios and platforms and special servicing opportunities. We have been able to grow our average residential UPB serviced by 36% annually since the end of 2008 without access to a flow of new business. On flow servicing, we are working with Altisource and its Lenders One business (which generated upwards of 6% of new loans originated in the U.S. in 2010) to create a new entity to securitize newly originated loans. We believe that this venture can improve the economics for the members of Lenders One and allow Ocwen to compete for servicing rights that align with our interest in servicing new ly originated FHA loans. Should proposed changes in the servicing fee structure be implemented in a manner that allows Ocwen to compete for the servicing of Fannie Mae and Freddie Mac loans, the potential flow of new loans into Ocwen’s servicing business could increase. With our highly automated platform, we can quickly scale our servicing capabilities to handle acquired loan portfolios with only modest additions to infrastructure.</w:t>
      </w:r>
    </w:p>
    <w:p>
      <w:pPr>
        <w:spacing w:after="0" w:line="179" w:lineRule="exact"/>
        <w:rPr>
          <w:sz w:val="20"/>
          <w:szCs w:val="20"/>
          <w:color w:val="auto"/>
        </w:rPr>
      </w:pPr>
    </w:p>
    <w:p>
      <w:pPr>
        <w:ind w:right="220" w:firstLine="744"/>
        <w:spacing w:after="0" w:line="264" w:lineRule="auto"/>
        <w:rPr>
          <w:sz w:val="20"/>
          <w:szCs w:val="20"/>
          <w:color w:val="auto"/>
        </w:rPr>
      </w:pPr>
      <w:r>
        <w:rPr>
          <w:rFonts w:ascii="Arial" w:cs="Arial" w:eastAsia="Arial" w:hAnsi="Arial"/>
          <w:sz w:val="18"/>
          <w:szCs w:val="18"/>
          <w:color w:val="auto"/>
        </w:rPr>
        <w:t>We also plan on evaluating and developing capabilities to service new segments of the servicing industry such as reverse mortgages and home equity lines of credit. In addition, we plan to deploy a full on-shore servicing alternative for entities that limit or prohibit offshore activities by their service providers.</w:t>
      </w:r>
    </w:p>
    <w:p>
      <w:pPr>
        <w:spacing w:after="0" w:line="181" w:lineRule="exact"/>
        <w:rPr>
          <w:sz w:val="20"/>
          <w:szCs w:val="20"/>
          <w:color w:val="auto"/>
        </w:rPr>
      </w:pPr>
    </w:p>
    <w:p>
      <w:pPr>
        <w:ind w:right="100" w:firstLine="747"/>
        <w:spacing w:after="0" w:line="255" w:lineRule="auto"/>
        <w:rPr>
          <w:sz w:val="20"/>
          <w:szCs w:val="20"/>
          <w:color w:val="auto"/>
        </w:rPr>
      </w:pPr>
      <w:r>
        <w:rPr>
          <w:rFonts w:ascii="Arial" w:cs="Arial" w:eastAsia="Arial" w:hAnsi="Arial"/>
          <w:sz w:val="18"/>
          <w:szCs w:val="18"/>
          <w:color w:val="auto"/>
        </w:rPr>
        <w:t>Ocwen Financial Corporation (Ocwen) is pursuing a strategic opportunity that could significantly reduce the amount of capital we require through our relationship with a newly formed entity called Home Loan Servicing Solutions, Ltd. (HLSS). Initially formed by Ocwen’s Chairman William C. Erbey, HLSS intends to acquire and hold mortgage servicing rights (MSRs) and related advances in a more efficient manner than is currently feasible for Ocwen. HLSS intends to purchase from Ocwen a portfolio of MSRs and assume the related match funded liabilities (the Initial Acquisition). The MSRs in the Initial Acquisition will be a portion of those that Ocwen had acquired from Barclays Bank PLC on Sept ember 1, 2010 in its purchase of the “HomEq Servicing” business.</w:t>
      </w:r>
    </w:p>
    <w:p>
      <w:pPr>
        <w:spacing w:after="0" w:line="193" w:lineRule="exact"/>
        <w:rPr>
          <w:sz w:val="20"/>
          <w:szCs w:val="20"/>
          <w:color w:val="auto"/>
        </w:rPr>
      </w:pPr>
    </w:p>
    <w:p>
      <w:pPr>
        <w:ind w:right="80" w:firstLine="737"/>
        <w:spacing w:after="0" w:line="255" w:lineRule="auto"/>
        <w:rPr>
          <w:sz w:val="20"/>
          <w:szCs w:val="20"/>
          <w:color w:val="auto"/>
        </w:rPr>
      </w:pPr>
      <w:r>
        <w:rPr>
          <w:rFonts w:ascii="Arial" w:cs="Arial" w:eastAsia="Arial" w:hAnsi="Arial"/>
          <w:sz w:val="18"/>
          <w:szCs w:val="18"/>
          <w:color w:val="auto"/>
        </w:rPr>
        <w:t>As part of the Initial Acquisition, which HLSS intends to finance though proceeds from an initial public offering, HLSS will engage Ocwen to subservice the subject MSRs pursuant to a subservicing agreement. Although Ocwen’s servicing fee and float income will decline under this subservicing agreement, we expect that the impact on net income will be partly offset by increased subservicing fee revenue and by reduced expenses for MSR amortization and interest on advance financing. We also expect the decline in our match funded advances and MSRs to be partly offset by the reduction in match funded liabilities with the difference accruing to cash. We may use this cash in any combination to p ay down debt, repurchase stock or purchase additional MSRs. We expect that the reduction in the equity required to run Ocwen’s servicing business will be greater than the reduction in net income, thus improving the return on equity of our servicing business.</w:t>
      </w:r>
    </w:p>
    <w:p>
      <w:pPr>
        <w:spacing w:after="0" w:line="189" w:lineRule="exact"/>
        <w:rPr>
          <w:sz w:val="20"/>
          <w:szCs w:val="20"/>
          <w:color w:val="auto"/>
        </w:rPr>
      </w:pPr>
    </w:p>
    <w:p>
      <w:pPr>
        <w:ind w:right="40" w:firstLine="747"/>
        <w:spacing w:after="0" w:line="273" w:lineRule="auto"/>
        <w:rPr>
          <w:sz w:val="20"/>
          <w:szCs w:val="20"/>
          <w:color w:val="auto"/>
        </w:rPr>
      </w:pPr>
      <w:r>
        <w:rPr>
          <w:rFonts w:ascii="Arial" w:cs="Arial" w:eastAsia="Arial" w:hAnsi="Arial"/>
          <w:sz w:val="17"/>
          <w:szCs w:val="17"/>
          <w:color w:val="auto"/>
        </w:rPr>
        <w:t>HLSS may acquire additional servicing rights from and enter into related subservicing arrangements with Ocwen in the future. HLSS may also acquire servicing rights from third parties, which could increase the benefit of this strategy to Ocwen by boosting the size of our subservicing portfolio with little or no capital requirement on the part of Ocwen. If HLSS is successful in acquiring all or most of Ocwen’s portfolio of MSRs over time, Ocwen could evolve into a “capital-light” fee-for-service business. There is no assurance that Ocwen will consummate the sale of the MSRs to HLSS. Any MSRs acquired by HLSS, both with respect to the Initial Acquisition and any subsequent acqu isitions, will be subject to customary requirements for the transfer of MSRs from one servicer to another, including consents from certain third parties.</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7" w:name="page8"/>
    <w:bookmarkEnd w:id="7"/>
    <w:p>
      <w:pPr>
        <w:ind w:left="360"/>
        <w:spacing w:after="0"/>
        <w:rPr>
          <w:sz w:val="20"/>
          <w:szCs w:val="20"/>
          <w:color w:val="auto"/>
        </w:rPr>
      </w:pPr>
      <w:r>
        <w:rPr>
          <w:rFonts w:ascii="Arial" w:cs="Arial" w:eastAsia="Arial" w:hAnsi="Arial"/>
          <w:sz w:val="18"/>
          <w:szCs w:val="18"/>
          <w:color w:val="auto"/>
        </w:rPr>
        <w:t>Results of our revenue growth initiatives during 2010 include:</w:t>
      </w:r>
    </w:p>
    <w:p>
      <w:pPr>
        <w:spacing w:after="0" w:line="252" w:lineRule="exact"/>
        <w:rPr>
          <w:sz w:val="20"/>
          <w:szCs w:val="20"/>
          <w:color w:val="auto"/>
        </w:rPr>
      </w:pPr>
    </w:p>
    <w:p>
      <w:pPr>
        <w:ind w:left="1380" w:right="200" w:hanging="562"/>
        <w:spacing w:after="0" w:line="264" w:lineRule="auto"/>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March 29, 2010, we entered into a Servicing Rights Purchase and Sale Agreement under which we agreed to purchase from Saxon Mortgage Services, Inc. the rights to service approximately 38,000 mortgage loans with an aggregate UPB of approximately $6.9 billion (the Saxon Acquisition). This acquisition was completed on May 3, 2010.</w:t>
      </w:r>
    </w:p>
    <w:p>
      <w:pPr>
        <w:spacing w:after="0" w:line="181" w:lineRule="exact"/>
        <w:rPr>
          <w:rFonts w:ascii="Arial" w:cs="Arial" w:eastAsia="Arial" w:hAnsi="Arial"/>
          <w:sz w:val="18"/>
          <w:szCs w:val="18"/>
          <w:color w:val="auto"/>
        </w:rPr>
      </w:pPr>
    </w:p>
    <w:p>
      <w:pPr>
        <w:ind w:left="1380" w:right="220" w:hanging="562"/>
        <w:spacing w:after="0" w:line="259" w:lineRule="auto"/>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May 28, 2010, we entered into an Asset Purchase Agreement pursuant to which OLS agreed to acquire the U.S. non-prime mortgage servicing business known as HomEq Servicing. The HomEq Acquisition closed on September 1, 2010, and we boarded approximately 134,000 residential loans with an aggregate UPB of approximately $22.4 billion onto Ocwen’s platform increasing the size of our Servicing business to $76.7 billion in UPB on the closing date.</w:t>
      </w:r>
    </w:p>
    <w:p>
      <w:pPr>
        <w:spacing w:after="0" w:line="214" w:lineRule="exact"/>
        <w:rPr>
          <w:sz w:val="20"/>
          <w:szCs w:val="20"/>
          <w:color w:val="auto"/>
        </w:rPr>
      </w:pPr>
    </w:p>
    <w:p>
      <w:pPr>
        <w:ind w:firstLine="747"/>
        <w:spacing w:after="0" w:line="293" w:lineRule="auto"/>
        <w:rPr>
          <w:sz w:val="20"/>
          <w:szCs w:val="20"/>
          <w:color w:val="auto"/>
        </w:rPr>
      </w:pPr>
      <w:r>
        <w:rPr>
          <w:rFonts w:ascii="Arial" w:cs="Arial" w:eastAsia="Arial" w:hAnsi="Arial"/>
          <w:sz w:val="16"/>
          <w:szCs w:val="16"/>
          <w:color w:val="auto"/>
        </w:rPr>
        <w:t>Certain Residential Mortgage Backed Securities (RMBS) investor groups have expressed interest in seeking to transfer servicing on some seasoned non-agency securitized loan portfolios in order to improve returns. Ocwen has discussed servicing opportunities with certain of these investors who have cited Ocwen’s consistently high ranking in third-party servicing effectiveness studies. If this prospect develops, it could represent an opportunity for Ocwen, but it could also be a threat if servicing were to be transferred away from Ocwen without compensation on PSAs that have exceeded maximum loss limits in the contract. Most non-agency PSAs serviced y Ocwen and others have exceeded the pre- set maximum delinquency or cumulative loss triggers that allow the servicing to be transferred, although we are not aware of any transfers that have been made solely for this reason.</w:t>
      </w:r>
    </w:p>
    <w:p>
      <w:pPr>
        <w:spacing w:after="0" w:line="192" w:lineRule="exact"/>
        <w:rPr>
          <w:sz w:val="20"/>
          <w:szCs w:val="20"/>
          <w:color w:val="auto"/>
        </w:rPr>
      </w:pPr>
    </w:p>
    <w:p>
      <w:pPr>
        <w:ind w:right="20" w:firstLine="744"/>
        <w:spacing w:after="0" w:line="286" w:lineRule="auto"/>
        <w:rPr>
          <w:sz w:val="20"/>
          <w:szCs w:val="20"/>
          <w:color w:val="auto"/>
        </w:rPr>
      </w:pPr>
      <w:r>
        <w:rPr>
          <w:rFonts w:ascii="Arial" w:cs="Arial" w:eastAsia="Arial" w:hAnsi="Arial"/>
          <w:sz w:val="17"/>
          <w:szCs w:val="17"/>
          <w:color w:val="auto"/>
        </w:rPr>
        <w:t>There is also the possibility that servicing of certain loans may be lost if they transfer back to the originator as a result of loan putbacks. Our view is that delinquent loans are the most likely loans to be put back which could reduce revenue but improve profitability as delinquent loans require advances and cost more to service. To date there have been no MSRs moved or loans put back as a result of these developments.</w:t>
      </w:r>
    </w:p>
    <w:p>
      <w:pPr>
        <w:spacing w:after="0" w:line="193" w:lineRule="exact"/>
        <w:rPr>
          <w:sz w:val="20"/>
          <w:szCs w:val="20"/>
          <w:color w:val="auto"/>
        </w:rPr>
      </w:pPr>
    </w:p>
    <w:p>
      <w:pPr>
        <w:ind w:right="20" w:firstLine="747"/>
        <w:spacing w:after="0" w:line="290" w:lineRule="auto"/>
        <w:rPr>
          <w:sz w:val="20"/>
          <w:szCs w:val="20"/>
          <w:color w:val="auto"/>
        </w:rPr>
      </w:pPr>
      <w:r>
        <w:rPr>
          <w:rFonts w:ascii="Arial" w:cs="Arial" w:eastAsia="Arial" w:hAnsi="Arial"/>
          <w:sz w:val="16"/>
          <w:szCs w:val="16"/>
          <w:color w:val="auto"/>
        </w:rPr>
        <w:t>Inquiries into servicer foreclosure practices are continuing and bring the possibility of action by state or federal government bodies, regulators or courts that could have an adverse effect on the average foreclosure timeline and increase asset intensity. The average number of days to complete a foreclosure action has extended by 53 days in judicial foreclosure states and 43 days in traditional non-judicial foreclosure states through 2010 as compared to 2009 and may extend further. Despite this timeline extension, the 90+ non-performing delinquency rate on the Ocwen portfolio, excluding servicing acquired in 2010, has decreased from 18.8% at the end of 2009 to 18.7% at December 31, 2010. Thi s improvement occurred because fewer loans entered delinquency and because of improved loss mitigation. It is not possible to predict the full financial impact of changes in foreclosure practices, but if the extension of timelines causes delinquency rates to rise, this could lead to a delay in revenue recognition and collections, an increase in operating expenses and an increase in the advance ratio. An increase in the advance ratio would lead to increased borrowings, reduced cash and higher interest expense.</w:t>
      </w:r>
    </w:p>
    <w:p>
      <w:pPr>
        <w:spacing w:after="0" w:line="186" w:lineRule="exact"/>
        <w:rPr>
          <w:sz w:val="20"/>
          <w:szCs w:val="20"/>
          <w:color w:val="auto"/>
        </w:rPr>
      </w:pPr>
    </w:p>
    <w:p>
      <w:pPr>
        <w:ind w:right="60" w:firstLine="648"/>
        <w:spacing w:after="0" w:line="277" w:lineRule="auto"/>
        <w:rPr>
          <w:sz w:val="20"/>
          <w:szCs w:val="20"/>
          <w:color w:val="auto"/>
        </w:rPr>
      </w:pPr>
      <w:r>
        <w:rPr>
          <w:rFonts w:ascii="Arial" w:cs="Arial" w:eastAsia="Arial" w:hAnsi="Arial"/>
          <w:sz w:val="19"/>
          <w:szCs w:val="19"/>
          <w:color w:val="auto"/>
        </w:rPr>
        <w:t>Ocwen has been a party to loan sales and securitizations dating back to the 1990s. The majority of securities issued in these transactions has been retired and are not subject to putback risk. There is one remaining securitization with an original UPB of approximately $200,000 where Ocwen provided representations and warranties and the loans were originated in the last decade. Ocwen performed due diligence on each of the loans included in this securitization. The outstanding UPB of this securitization was $58,132 at December 31, 2010 and outstanding notes were $59,007. Ocwen is not aware of any inquiries or claims regarding loan putbacks for any transaction where we made representations and warranties. We do not expect loan putbacks to result in any material change to our financial p osition, operating results or liquidity.</w:t>
      </w:r>
    </w:p>
    <w:p>
      <w:pPr>
        <w:spacing w:after="0" w:line="160" w:lineRule="exact"/>
        <w:rPr>
          <w:sz w:val="20"/>
          <w:szCs w:val="20"/>
          <w:color w:val="auto"/>
        </w:rPr>
      </w:pPr>
    </w:p>
    <w:p>
      <w:pPr>
        <w:ind w:right="260" w:firstLine="744"/>
        <w:spacing w:after="0" w:line="293" w:lineRule="auto"/>
        <w:rPr>
          <w:sz w:val="20"/>
          <w:szCs w:val="20"/>
          <w:color w:val="auto"/>
        </w:rPr>
      </w:pPr>
      <w:r>
        <w:rPr>
          <w:rFonts w:ascii="Arial" w:cs="Arial" w:eastAsia="Arial" w:hAnsi="Arial"/>
          <w:sz w:val="16"/>
          <w:szCs w:val="16"/>
          <w:color w:val="auto"/>
        </w:rPr>
        <w:t>We will continue in 2011 to roll out new initiatives designed to improve our ability to manage delinquencies and advances. These initiatives will also be designed to improve borrower customer service levels, increase loan modifications and reduce re-defaults on loan modifications. We have already begun rolling out our “Shared Appreciation Modification” which incorporates principal reductions and lower payments for borrowers while still providing some ability for investors to recoup losses if property values increase over time. We are also rolling out in 2011 our “Appointment Model” approach for communicating with our delinquent borrowers. We believe the Appointment Mod el approach will be far superior to the two most widely used and widely criticized alternative servicing methods of (i) specifically assigned resolution specialists and (ii) randomly assigned resolution specialists.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OPERATING SEGMENTS</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current business segments are:</w:t>
      </w:r>
    </w:p>
    <w:p>
      <w:pPr>
        <w:spacing w:after="0" w:line="252" w:lineRule="exact"/>
        <w:rPr>
          <w:sz w:val="20"/>
          <w:szCs w:val="20"/>
          <w:color w:val="auto"/>
        </w:rPr>
      </w:pPr>
    </w:p>
    <w:p>
      <w:pPr>
        <w:ind w:left="1380" w:hanging="562"/>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Servicing</w:t>
      </w:r>
    </w:p>
    <w:p>
      <w:pPr>
        <w:spacing w:after="0" w:line="23" w:lineRule="exact"/>
        <w:rPr>
          <w:rFonts w:ascii="Arial" w:cs="Arial" w:eastAsia="Arial" w:hAnsi="Arial"/>
          <w:sz w:val="18"/>
          <w:szCs w:val="18"/>
          <w:color w:val="auto"/>
        </w:rPr>
      </w:pPr>
    </w:p>
    <w:p>
      <w:pPr>
        <w:ind w:left="1380" w:hanging="562"/>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Loans and Residuals</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Asset Management Vehicles (AMV)</w:t>
      </w:r>
    </w:p>
    <w:p>
      <w:pPr>
        <w:spacing w:after="0" w:line="211" w:lineRule="exact"/>
        <w:rPr>
          <w:sz w:val="20"/>
          <w:szCs w:val="20"/>
          <w:color w:val="auto"/>
        </w:rPr>
      </w:pPr>
    </w:p>
    <w:p>
      <w:pPr>
        <w:ind w:right="200" w:firstLine="744"/>
        <w:spacing w:after="0" w:line="277" w:lineRule="auto"/>
        <w:rPr>
          <w:sz w:val="20"/>
          <w:szCs w:val="20"/>
          <w:color w:val="auto"/>
        </w:rPr>
      </w:pPr>
      <w:r>
        <w:rPr>
          <w:rFonts w:ascii="Arial" w:cs="Arial" w:eastAsia="Arial" w:hAnsi="Arial"/>
          <w:sz w:val="18"/>
          <w:szCs w:val="18"/>
          <w:color w:val="auto"/>
        </w:rPr>
        <w:t>These three segments comprise our Ocwen Asset Management (OAM) line of business that, in addition to our core residential servicing business, includes our equity investments in AMVs and our remaining investments in subprime loans and residual securities.</w:t>
      </w:r>
    </w:p>
    <w:p>
      <w:pPr>
        <w:spacing w:after="0" w:line="197" w:lineRule="exact"/>
        <w:rPr>
          <w:sz w:val="20"/>
          <w:szCs w:val="20"/>
          <w:color w:val="auto"/>
        </w:rPr>
      </w:pPr>
    </w:p>
    <w:p>
      <w:pPr>
        <w:ind w:right="100" w:firstLine="747"/>
        <w:spacing w:after="0" w:line="302" w:lineRule="auto"/>
        <w:rPr>
          <w:sz w:val="20"/>
          <w:szCs w:val="20"/>
          <w:color w:val="auto"/>
        </w:rPr>
      </w:pPr>
      <w:r>
        <w:rPr>
          <w:rFonts w:ascii="Arial" w:cs="Arial" w:eastAsia="Arial" w:hAnsi="Arial"/>
          <w:sz w:val="16"/>
          <w:szCs w:val="16"/>
          <w:color w:val="auto"/>
        </w:rPr>
        <w:t>Prior to August 10, 2009, our operations included the Ocwen Solutions (OS) line of business. OS consisted of our former unsecured collections business, residential fee-based loan processing businesses and technology platforms as well as our equity investment in BMS Holdings and the international commercial loan servicing business that we conducted through Global Servicing Solutions, LLC (GSS). With the exception of our interests in GSS and BMS Holdings (now BHI), which have minimal or no book value, we distributed the assets, liabilities and operations of OS in the Separation.</w:t>
      </w:r>
    </w:p>
    <w:p>
      <w:pPr>
        <w:spacing w:after="0" w:line="181" w:lineRule="exact"/>
        <w:rPr>
          <w:sz w:val="20"/>
          <w:szCs w:val="20"/>
          <w:color w:val="auto"/>
        </w:rPr>
      </w:pPr>
    </w:p>
    <w:p>
      <w:pPr>
        <w:ind w:right="20" w:firstLine="747"/>
        <w:spacing w:after="0" w:line="264" w:lineRule="auto"/>
        <w:rPr>
          <w:sz w:val="20"/>
          <w:szCs w:val="20"/>
          <w:color w:val="auto"/>
        </w:rPr>
      </w:pPr>
      <w:r>
        <w:rPr>
          <w:rFonts w:ascii="Arial" w:cs="Arial" w:eastAsia="Arial" w:hAnsi="Arial"/>
          <w:sz w:val="18"/>
          <w:szCs w:val="18"/>
          <w:color w:val="auto"/>
        </w:rPr>
        <w:t>Beginning in 2011, with the growth in our Servicing segment and continuing reductions in the Loans and Residuals and AMV segments, we plan to change our internal management reporting to focus on the Servicing segment and include the results for Loans and Residuals and AMVs in Corporate Items &amp; Other. Our segment reporting in 2011 will be updated to reflect this change.</w:t>
      </w:r>
    </w:p>
    <w:p>
      <w:pPr>
        <w:spacing w:after="0" w:line="208" w:lineRule="exact"/>
        <w:rPr>
          <w:sz w:val="20"/>
          <w:szCs w:val="20"/>
          <w:color w:val="auto"/>
        </w:rPr>
      </w:pPr>
    </w:p>
    <w:p>
      <w:pPr>
        <w:ind w:right="420" w:firstLine="747"/>
        <w:spacing w:after="0" w:line="277" w:lineRule="auto"/>
        <w:rPr>
          <w:sz w:val="20"/>
          <w:szCs w:val="20"/>
          <w:color w:val="auto"/>
        </w:rPr>
      </w:pPr>
      <w:r>
        <w:rPr>
          <w:rFonts w:ascii="Arial" w:cs="Arial" w:eastAsia="Arial" w:hAnsi="Arial"/>
          <w:sz w:val="18"/>
          <w:szCs w:val="18"/>
          <w:color w:val="auto"/>
        </w:rPr>
        <w:t>See Management’s Discussion and Analysis of Financial Condition and Results of Operations—Segment Results and Financial Condition and Note 29 to the Consolidated Financial Statements for additional financial information regarding each of our segments.</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Segment Results and Assets as of and for the years ended December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2010</w:t>
            </w:r>
          </w:p>
        </w:tc>
        <w:tc>
          <w:tcPr>
            <w:tcW w:w="8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2009</w:t>
            </w:r>
          </w:p>
        </w:tc>
        <w:tc>
          <w:tcPr>
            <w:tcW w:w="8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2008</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Segment</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External Revenue</w:t>
            </w:r>
          </w:p>
        </w:tc>
        <w:tc>
          <w:tcPr>
            <w:tcW w:w="2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80" w:type="dxa"/>
            <w:vAlign w:val="bottom"/>
            <w:tcBorders>
              <w:right w:val="single" w:sz="8" w:color="EAF9E8"/>
            </w:tcBorders>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60"/>
              <w:spacing w:after="0"/>
              <w:rPr>
                <w:sz w:val="20"/>
                <w:szCs w:val="20"/>
                <w:color w:val="auto"/>
              </w:rPr>
            </w:pPr>
            <w:r>
              <w:rPr>
                <w:rFonts w:ascii="Arial" w:cs="Arial" w:eastAsia="Arial" w:hAnsi="Arial"/>
                <w:sz w:val="18"/>
                <w:szCs w:val="18"/>
                <w:color w:val="auto"/>
              </w:rPr>
              <w:t>Servicing</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358,441</w:t>
            </w:r>
          </w:p>
        </w:tc>
        <w:tc>
          <w:tcPr>
            <w:tcW w:w="3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99.5%</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271,561</w:t>
            </w:r>
          </w:p>
        </w:tc>
        <w:tc>
          <w:tcPr>
            <w:tcW w:w="3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71.3%</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339,278</w:t>
            </w:r>
          </w:p>
        </w:tc>
        <w:tc>
          <w:tcPr>
            <w:tcW w:w="3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EAF9E8"/>
          </w:tcPr>
          <w:p>
            <w:pPr>
              <w:ind w:left="60"/>
              <w:spacing w:after="0"/>
              <w:rPr>
                <w:sz w:val="20"/>
                <w:szCs w:val="20"/>
                <w:color w:val="auto"/>
              </w:rPr>
            </w:pPr>
            <w:r>
              <w:rPr>
                <w:rFonts w:ascii="Arial" w:cs="Arial" w:eastAsia="Arial" w:hAnsi="Arial"/>
                <w:sz w:val="18"/>
                <w:szCs w:val="18"/>
                <w:color w:val="auto"/>
              </w:rPr>
              <w:t>Loans and Residuals</w:t>
            </w:r>
          </w:p>
        </w:tc>
        <w:tc>
          <w:tcPr>
            <w:tcW w:w="2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360" w:type="dxa"/>
            <w:vAlign w:val="bottom"/>
            <w:gridSpan w:val="3"/>
            <w:shd w:val="clear" w:color="auto" w:fill="EAF9E8"/>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EAF9E8"/>
            </w:tcBorders>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EAF9E8"/>
          </w:tcPr>
          <w:p>
            <w:pPr>
              <w:spacing w:after="0"/>
              <w:rPr>
                <w:sz w:val="18"/>
                <w:szCs w:val="18"/>
                <w:color w:val="auto"/>
              </w:rPr>
            </w:pPr>
          </w:p>
        </w:tc>
        <w:tc>
          <w:tcPr>
            <w:tcW w:w="1360" w:type="dxa"/>
            <w:vAlign w:val="bottom"/>
            <w:gridSpan w:val="3"/>
            <w:shd w:val="clear" w:color="auto" w:fill="EAF9E8"/>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EAF9E8"/>
          </w:tcPr>
          <w:p>
            <w:pPr>
              <w:spacing w:after="0"/>
              <w:rPr>
                <w:sz w:val="18"/>
                <w:szCs w:val="18"/>
                <w:color w:val="auto"/>
              </w:rPr>
            </w:pPr>
          </w:p>
        </w:tc>
        <w:tc>
          <w:tcPr>
            <w:tcW w:w="1340" w:type="dxa"/>
            <w:vAlign w:val="bottom"/>
            <w:gridSpan w:val="3"/>
            <w:shd w:val="clear" w:color="auto" w:fill="EAF9E8"/>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60"/>
              <w:spacing w:after="0"/>
              <w:rPr>
                <w:sz w:val="20"/>
                <w:szCs w:val="20"/>
                <w:color w:val="auto"/>
              </w:rPr>
            </w:pPr>
            <w:r>
              <w:rPr>
                <w:rFonts w:ascii="Arial" w:cs="Arial" w:eastAsia="Arial" w:hAnsi="Arial"/>
                <w:sz w:val="18"/>
                <w:szCs w:val="18"/>
                <w:color w:val="auto"/>
              </w:rPr>
              <w:t>Asset Management Vehicles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523</w:t>
            </w:r>
          </w:p>
        </w:tc>
        <w:tc>
          <w:tcPr>
            <w:tcW w:w="3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1,381</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2,751</w:t>
            </w: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EAF9E8"/>
          </w:tcPr>
          <w:p>
            <w:pPr>
              <w:ind w:left="60"/>
              <w:spacing w:after="0"/>
              <w:rPr>
                <w:sz w:val="20"/>
                <w:szCs w:val="20"/>
                <w:color w:val="auto"/>
              </w:rPr>
            </w:pPr>
            <w:r>
              <w:rPr>
                <w:rFonts w:ascii="Arial" w:cs="Arial" w:eastAsia="Arial" w:hAnsi="Arial"/>
                <w:sz w:val="18"/>
                <w:szCs w:val="18"/>
                <w:color w:val="auto"/>
              </w:rPr>
              <w:t>Mortgage Services</w:t>
            </w:r>
          </w:p>
        </w:tc>
        <w:tc>
          <w:tcPr>
            <w:tcW w:w="2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360" w:type="dxa"/>
            <w:vAlign w:val="bottom"/>
            <w:gridSpan w:val="3"/>
            <w:shd w:val="clear" w:color="auto" w:fill="EAF9E8"/>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EAF9E8"/>
            </w:tcBorders>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54,052</w:t>
            </w:r>
          </w:p>
        </w:tc>
        <w:tc>
          <w:tcPr>
            <w:tcW w:w="32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14.2</w:t>
            </w:r>
          </w:p>
        </w:tc>
        <w:tc>
          <w:tcPr>
            <w:tcW w:w="3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58,706</w:t>
            </w:r>
          </w:p>
        </w:tc>
        <w:tc>
          <w:tcPr>
            <w:tcW w:w="3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60"/>
              <w:spacing w:after="0"/>
              <w:rPr>
                <w:sz w:val="20"/>
                <w:szCs w:val="20"/>
                <w:color w:val="auto"/>
              </w:rPr>
            </w:pPr>
            <w:r>
              <w:rPr>
                <w:rFonts w:ascii="Arial" w:cs="Arial" w:eastAsia="Arial" w:hAnsi="Arial"/>
                <w:sz w:val="18"/>
                <w:szCs w:val="18"/>
                <w:color w:val="auto"/>
              </w:rPr>
              <w:t>Financial Services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40,293</w:t>
            </w:r>
          </w:p>
        </w:tc>
        <w:tc>
          <w:tcPr>
            <w:tcW w:w="3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73,835</w:t>
            </w: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EAF9E8"/>
          </w:tcPr>
          <w:p>
            <w:pPr>
              <w:ind w:left="60"/>
              <w:spacing w:after="0"/>
              <w:rPr>
                <w:sz w:val="20"/>
                <w:szCs w:val="20"/>
                <w:color w:val="auto"/>
              </w:rPr>
            </w:pPr>
            <w:r>
              <w:rPr>
                <w:rFonts w:ascii="Arial" w:cs="Arial" w:eastAsia="Arial" w:hAnsi="Arial"/>
                <w:sz w:val="18"/>
                <w:szCs w:val="18"/>
                <w:color w:val="auto"/>
              </w:rPr>
              <w:t>Technology Products</w:t>
            </w:r>
          </w:p>
        </w:tc>
        <w:tc>
          <w:tcPr>
            <w:tcW w:w="2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360" w:type="dxa"/>
            <w:vAlign w:val="bottom"/>
            <w:gridSpan w:val="3"/>
            <w:shd w:val="clear" w:color="auto" w:fill="EAF9E8"/>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EAF9E8"/>
            </w:tcBorders>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12,375</w:t>
            </w:r>
          </w:p>
        </w:tc>
        <w:tc>
          <w:tcPr>
            <w:tcW w:w="32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17,402</w:t>
            </w:r>
          </w:p>
        </w:tc>
        <w:tc>
          <w:tcPr>
            <w:tcW w:w="3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60"/>
              <w:spacing w:after="0"/>
              <w:rPr>
                <w:sz w:val="20"/>
                <w:szCs w:val="20"/>
                <w:color w:val="auto"/>
              </w:rPr>
            </w:pPr>
            <w:r>
              <w:rPr>
                <w:rFonts w:ascii="Arial" w:cs="Arial" w:eastAsia="Arial" w:hAnsi="Arial"/>
                <w:sz w:val="18"/>
                <w:szCs w:val="18"/>
                <w:color w:val="auto"/>
              </w:rPr>
              <w:t>Corporate Items and Other</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1,066</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Consolidated</w:t>
            </w:r>
          </w:p>
        </w:tc>
        <w:tc>
          <w:tcPr>
            <w:tcW w:w="220" w:type="dxa"/>
            <w:vAlign w:val="bottom"/>
            <w:shd w:val="clear" w:color="auto" w:fill="EAF9E8"/>
          </w:tcPr>
          <w:p>
            <w:pPr>
              <w:spacing w:after="0"/>
              <w:rPr>
                <w:sz w:val="22"/>
                <w:szCs w:val="22"/>
                <w:color w:val="auto"/>
              </w:rPr>
            </w:pPr>
          </w:p>
        </w:tc>
        <w:tc>
          <w:tcPr>
            <w:tcW w:w="30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360,381</w:t>
            </w:r>
          </w:p>
        </w:tc>
        <w:tc>
          <w:tcPr>
            <w:tcW w:w="22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100" w:type="dxa"/>
            <w:vAlign w:val="bottom"/>
            <w:tcBorders>
              <w:right w:val="single" w:sz="8" w:color="EAF9E8"/>
            </w:tcBorders>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EAF9E8"/>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380,728</w:t>
            </w:r>
          </w:p>
        </w:tc>
        <w:tc>
          <w:tcPr>
            <w:tcW w:w="320" w:type="dxa"/>
            <w:vAlign w:val="bottom"/>
            <w:shd w:val="clear" w:color="auto" w:fill="EAF9E8"/>
          </w:tcPr>
          <w:p>
            <w:pPr>
              <w:spacing w:after="0"/>
              <w:rPr>
                <w:sz w:val="22"/>
                <w:szCs w:val="22"/>
                <w:color w:val="auto"/>
              </w:rPr>
            </w:pPr>
          </w:p>
        </w:tc>
        <w:tc>
          <w:tcPr>
            <w:tcW w:w="11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EAF9E8"/>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492,128</w:t>
            </w:r>
          </w:p>
        </w:tc>
        <w:tc>
          <w:tcPr>
            <w:tcW w:w="300" w:type="dxa"/>
            <w:vAlign w:val="bottom"/>
            <w:shd w:val="clear" w:color="auto" w:fill="EAF9E8"/>
          </w:tcPr>
          <w:p>
            <w:pPr>
              <w:spacing w:after="0"/>
              <w:rPr>
                <w:sz w:val="22"/>
                <w:szCs w:val="22"/>
                <w:color w:val="auto"/>
              </w:rPr>
            </w:pP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20" w:type="dxa"/>
            <w:vAlign w:val="bottom"/>
            <w:shd w:val="clear" w:color="auto" w:fill="EAF9E8"/>
          </w:tcPr>
          <w:p>
            <w:pPr>
              <w:spacing w:after="0" w:line="198" w:lineRule="exact"/>
              <w:rPr>
                <w:sz w:val="20"/>
                <w:szCs w:val="20"/>
                <w:color w:val="auto"/>
              </w:rPr>
            </w:pPr>
            <w:r>
              <w:rPr>
                <w:rFonts w:ascii="Arial" w:cs="Arial" w:eastAsia="Arial" w:hAnsi="Arial"/>
                <w:sz w:val="18"/>
                <w:szCs w:val="18"/>
                <w:b w:val="1"/>
                <w:bCs w:val="1"/>
                <w:color w:val="auto"/>
              </w:rPr>
              <w:t>Income (Loss) from Continuing</w:t>
            </w:r>
          </w:p>
        </w:tc>
        <w:tc>
          <w:tcPr>
            <w:tcW w:w="22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280" w:type="dxa"/>
            <w:vAlign w:val="bottom"/>
            <w:tcBorders>
              <w:right w:val="single" w:sz="8" w:color="EAF9E8"/>
            </w:tcBorders>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shd w:val="clear" w:color="auto" w:fill="EAF9E8"/>
          </w:tcPr>
          <w:p>
            <w:pPr>
              <w:ind w:left="60"/>
              <w:spacing w:after="0"/>
              <w:rPr>
                <w:sz w:val="20"/>
                <w:szCs w:val="20"/>
                <w:color w:val="auto"/>
              </w:rPr>
            </w:pPr>
            <w:r>
              <w:rPr>
                <w:rFonts w:ascii="Arial" w:cs="Arial" w:eastAsia="Arial" w:hAnsi="Arial"/>
                <w:sz w:val="18"/>
                <w:szCs w:val="18"/>
                <w:b w:val="1"/>
                <w:bCs w:val="1"/>
                <w:color w:val="auto"/>
              </w:rPr>
              <w:t>Operations before Income Taxes</w:t>
            </w:r>
          </w:p>
        </w:tc>
        <w:tc>
          <w:tcPr>
            <w:tcW w:w="220" w:type="dxa"/>
            <w:vAlign w:val="bottom"/>
            <w:shd w:val="clear" w:color="auto" w:fill="EAF9E8"/>
          </w:tcPr>
          <w:p>
            <w:pPr>
              <w:spacing w:after="0"/>
              <w:rPr>
                <w:sz w:val="20"/>
                <w:szCs w:val="20"/>
                <w:color w:val="auto"/>
              </w:rPr>
            </w:pPr>
          </w:p>
        </w:tc>
        <w:tc>
          <w:tcPr>
            <w:tcW w:w="300" w:type="dxa"/>
            <w:vAlign w:val="bottom"/>
            <w:shd w:val="clear" w:color="auto" w:fill="EAF9E8"/>
          </w:tcPr>
          <w:p>
            <w:pPr>
              <w:spacing w:after="0"/>
              <w:rPr>
                <w:sz w:val="20"/>
                <w:szCs w:val="20"/>
                <w:color w:val="auto"/>
              </w:rPr>
            </w:pPr>
          </w:p>
        </w:tc>
        <w:tc>
          <w:tcPr>
            <w:tcW w:w="84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300" w:type="dxa"/>
            <w:vAlign w:val="bottom"/>
            <w:shd w:val="clear" w:color="auto" w:fill="EAF9E8"/>
          </w:tcPr>
          <w:p>
            <w:pPr>
              <w:spacing w:after="0"/>
              <w:rPr>
                <w:sz w:val="20"/>
                <w:szCs w:val="20"/>
                <w:color w:val="auto"/>
              </w:rPr>
            </w:pPr>
          </w:p>
        </w:tc>
        <w:tc>
          <w:tcPr>
            <w:tcW w:w="820" w:type="dxa"/>
            <w:vAlign w:val="bottom"/>
            <w:shd w:val="clear" w:color="auto" w:fill="EAF9E8"/>
          </w:tcPr>
          <w:p>
            <w:pPr>
              <w:spacing w:after="0"/>
              <w:rPr>
                <w:sz w:val="20"/>
                <w:szCs w:val="20"/>
                <w:color w:val="auto"/>
              </w:rPr>
            </w:pPr>
          </w:p>
        </w:tc>
        <w:tc>
          <w:tcPr>
            <w:tcW w:w="280" w:type="dxa"/>
            <w:vAlign w:val="bottom"/>
            <w:tcBorders>
              <w:right w:val="single" w:sz="8" w:color="EAF9E8"/>
            </w:tcBorders>
            <w:shd w:val="clear" w:color="auto" w:fill="EAF9E8"/>
          </w:tcPr>
          <w:p>
            <w:pPr>
              <w:spacing w:after="0"/>
              <w:rPr>
                <w:sz w:val="20"/>
                <w:szCs w:val="20"/>
                <w:color w:val="auto"/>
              </w:rPr>
            </w:pPr>
          </w:p>
        </w:tc>
        <w:tc>
          <w:tcPr>
            <w:tcW w:w="300" w:type="dxa"/>
            <w:vAlign w:val="bottom"/>
            <w:shd w:val="clear" w:color="auto" w:fill="EAF9E8"/>
          </w:tcPr>
          <w:p>
            <w:pPr>
              <w:spacing w:after="0"/>
              <w:rPr>
                <w:sz w:val="20"/>
                <w:szCs w:val="20"/>
                <w:color w:val="auto"/>
              </w:rPr>
            </w:pPr>
          </w:p>
        </w:tc>
        <w:tc>
          <w:tcPr>
            <w:tcW w:w="84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82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300" w:type="dxa"/>
            <w:vAlign w:val="bottom"/>
            <w:shd w:val="clear" w:color="auto" w:fill="EAF9E8"/>
          </w:tcPr>
          <w:p>
            <w:pPr>
              <w:spacing w:after="0"/>
              <w:rPr>
                <w:sz w:val="20"/>
                <w:szCs w:val="20"/>
                <w:color w:val="auto"/>
              </w:rPr>
            </w:pPr>
          </w:p>
        </w:tc>
        <w:tc>
          <w:tcPr>
            <w:tcW w:w="82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300" w:type="dxa"/>
            <w:vAlign w:val="bottom"/>
            <w:shd w:val="clear" w:color="auto" w:fill="EAF9E8"/>
          </w:tcPr>
          <w:p>
            <w:pPr>
              <w:spacing w:after="0"/>
              <w:rPr>
                <w:sz w:val="20"/>
                <w:szCs w:val="20"/>
                <w:color w:val="auto"/>
              </w:rPr>
            </w:pPr>
          </w:p>
        </w:tc>
        <w:tc>
          <w:tcPr>
            <w:tcW w:w="84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60"/>
              <w:spacing w:after="0"/>
              <w:rPr>
                <w:sz w:val="20"/>
                <w:szCs w:val="20"/>
                <w:color w:val="auto"/>
              </w:rPr>
            </w:pPr>
            <w:r>
              <w:rPr>
                <w:rFonts w:ascii="Arial" w:cs="Arial" w:eastAsia="Arial" w:hAnsi="Arial"/>
                <w:sz w:val="18"/>
                <w:szCs w:val="18"/>
                <w:color w:val="auto"/>
              </w:rPr>
              <w:t>Servicing</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78,195</w:t>
            </w:r>
          </w:p>
        </w:tc>
        <w:tc>
          <w:tcPr>
            <w:tcW w:w="3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199.7%</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87,681</w:t>
            </w:r>
          </w:p>
        </w:tc>
        <w:tc>
          <w:tcPr>
            <w:tcW w:w="3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94.0%</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100,770</w:t>
            </w:r>
          </w:p>
        </w:tc>
        <w:tc>
          <w:tcPr>
            <w:tcW w:w="3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EAF9E8"/>
          </w:tcPr>
          <w:p>
            <w:pPr>
              <w:ind w:left="60"/>
              <w:spacing w:after="0"/>
              <w:rPr>
                <w:sz w:val="20"/>
                <w:szCs w:val="20"/>
                <w:color w:val="auto"/>
              </w:rPr>
            </w:pPr>
            <w:r>
              <w:rPr>
                <w:rFonts w:ascii="Arial" w:cs="Arial" w:eastAsia="Arial" w:hAnsi="Arial"/>
                <w:sz w:val="18"/>
                <w:szCs w:val="18"/>
                <w:color w:val="auto"/>
              </w:rPr>
              <w:t>Loans and Residuals</w:t>
            </w:r>
          </w:p>
        </w:tc>
        <w:tc>
          <w:tcPr>
            <w:tcW w:w="2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(2,846)</w:t>
            </w:r>
          </w:p>
        </w:tc>
        <w:tc>
          <w:tcPr>
            <w:tcW w:w="300" w:type="dxa"/>
            <w:vAlign w:val="bottom"/>
            <w:shd w:val="clear" w:color="auto" w:fill="EAF9E8"/>
          </w:tcPr>
          <w:p>
            <w:pPr>
              <w:spacing w:after="0"/>
              <w:rPr>
                <w:sz w:val="18"/>
                <w:szCs w:val="18"/>
                <w:color w:val="auto"/>
              </w:rPr>
            </w:pPr>
          </w:p>
        </w:tc>
        <w:tc>
          <w:tcPr>
            <w:tcW w:w="1100" w:type="dxa"/>
            <w:vAlign w:val="bottom"/>
            <w:tcBorders>
              <w:right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(7.3)</w:t>
            </w:r>
          </w:p>
        </w:tc>
        <w:tc>
          <w:tcPr>
            <w:tcW w:w="3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(9,121)</w:t>
            </w:r>
          </w:p>
        </w:tc>
        <w:tc>
          <w:tcPr>
            <w:tcW w:w="32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(9.8)</w:t>
            </w:r>
          </w:p>
        </w:tc>
        <w:tc>
          <w:tcPr>
            <w:tcW w:w="3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(14,682)</w:t>
            </w:r>
          </w:p>
        </w:tc>
        <w:tc>
          <w:tcPr>
            <w:tcW w:w="3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60"/>
              <w:spacing w:after="0"/>
              <w:rPr>
                <w:sz w:val="20"/>
                <w:szCs w:val="20"/>
                <w:color w:val="auto"/>
              </w:rPr>
            </w:pPr>
            <w:r>
              <w:rPr>
                <w:rFonts w:ascii="Arial" w:cs="Arial" w:eastAsia="Arial" w:hAnsi="Arial"/>
                <w:sz w:val="18"/>
                <w:szCs w:val="18"/>
                <w:color w:val="auto"/>
              </w:rPr>
              <w:t>Asset Management Vehicles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(797)</w:t>
            </w:r>
          </w:p>
        </w:tc>
        <w:tc>
          <w:tcPr>
            <w:tcW w:w="3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(5,317)</w:t>
            </w:r>
          </w:p>
        </w:tc>
        <w:tc>
          <w:tcPr>
            <w:tcW w:w="3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(9,813)</w:t>
            </w:r>
          </w:p>
        </w:tc>
        <w:tc>
          <w:tcPr>
            <w:tcW w:w="3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EAF9E8"/>
          </w:tcPr>
          <w:p>
            <w:pPr>
              <w:ind w:left="60"/>
              <w:spacing w:after="0"/>
              <w:rPr>
                <w:sz w:val="20"/>
                <w:szCs w:val="20"/>
                <w:color w:val="auto"/>
              </w:rPr>
            </w:pPr>
            <w:r>
              <w:rPr>
                <w:rFonts w:ascii="Arial" w:cs="Arial" w:eastAsia="Arial" w:hAnsi="Arial"/>
                <w:sz w:val="18"/>
                <w:szCs w:val="18"/>
                <w:color w:val="auto"/>
              </w:rPr>
              <w:t>Mortgage Services</w:t>
            </w:r>
          </w:p>
        </w:tc>
        <w:tc>
          <w:tcPr>
            <w:tcW w:w="2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360" w:type="dxa"/>
            <w:vAlign w:val="bottom"/>
            <w:gridSpan w:val="3"/>
            <w:shd w:val="clear" w:color="auto" w:fill="EAF9E8"/>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EAF9E8"/>
            </w:tcBorders>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17,815</w:t>
            </w:r>
          </w:p>
        </w:tc>
        <w:tc>
          <w:tcPr>
            <w:tcW w:w="32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19.1</w:t>
            </w:r>
          </w:p>
        </w:tc>
        <w:tc>
          <w:tcPr>
            <w:tcW w:w="3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13,262</w:t>
            </w:r>
          </w:p>
        </w:tc>
        <w:tc>
          <w:tcPr>
            <w:tcW w:w="3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60"/>
              <w:spacing w:after="0"/>
              <w:rPr>
                <w:sz w:val="20"/>
                <w:szCs w:val="20"/>
                <w:color w:val="auto"/>
              </w:rPr>
            </w:pPr>
            <w:r>
              <w:rPr>
                <w:rFonts w:ascii="Arial" w:cs="Arial" w:eastAsia="Arial" w:hAnsi="Arial"/>
                <w:sz w:val="18"/>
                <w:szCs w:val="18"/>
                <w:color w:val="auto"/>
              </w:rPr>
              <w:t>Financial Services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(5,969)</w:t>
            </w:r>
          </w:p>
        </w:tc>
        <w:tc>
          <w:tcPr>
            <w:tcW w:w="3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(7,875)</w:t>
            </w:r>
          </w:p>
        </w:tc>
        <w:tc>
          <w:tcPr>
            <w:tcW w:w="3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EAF9E8"/>
          </w:tcPr>
          <w:p>
            <w:pPr>
              <w:ind w:left="60"/>
              <w:spacing w:after="0"/>
              <w:rPr>
                <w:sz w:val="20"/>
                <w:szCs w:val="20"/>
                <w:color w:val="auto"/>
              </w:rPr>
            </w:pPr>
            <w:r>
              <w:rPr>
                <w:rFonts w:ascii="Arial" w:cs="Arial" w:eastAsia="Arial" w:hAnsi="Arial"/>
                <w:sz w:val="18"/>
                <w:szCs w:val="18"/>
                <w:color w:val="auto"/>
              </w:rPr>
              <w:t>Technology Products</w:t>
            </w:r>
          </w:p>
        </w:tc>
        <w:tc>
          <w:tcPr>
            <w:tcW w:w="2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360" w:type="dxa"/>
            <w:vAlign w:val="bottom"/>
            <w:gridSpan w:val="3"/>
            <w:shd w:val="clear" w:color="auto" w:fill="EAF9E8"/>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EAF9E8"/>
            </w:tcBorders>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9,590</w:t>
            </w:r>
          </w:p>
        </w:tc>
        <w:tc>
          <w:tcPr>
            <w:tcW w:w="32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10.3</w:t>
            </w:r>
          </w:p>
        </w:tc>
        <w:tc>
          <w:tcPr>
            <w:tcW w:w="3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3,580</w:t>
            </w:r>
          </w:p>
        </w:tc>
        <w:tc>
          <w:tcPr>
            <w:tcW w:w="3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60"/>
              <w:spacing w:after="0"/>
              <w:rPr>
                <w:sz w:val="20"/>
                <w:szCs w:val="20"/>
                <w:color w:val="auto"/>
              </w:rPr>
            </w:pPr>
            <w:r>
              <w:rPr>
                <w:rFonts w:ascii="Arial" w:cs="Arial" w:eastAsia="Arial" w:hAnsi="Arial"/>
                <w:sz w:val="18"/>
                <w:szCs w:val="18"/>
                <w:color w:val="auto"/>
              </w:rPr>
              <w:t>Corporate Items and Other</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(35,398)</w:t>
            </w:r>
          </w:p>
        </w:tc>
        <w:tc>
          <w:tcPr>
            <w:tcW w:w="3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(90.4)</w:t>
            </w: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(1,418)</w:t>
            </w:r>
          </w:p>
        </w:tc>
        <w:tc>
          <w:tcPr>
            <w:tcW w:w="3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(54,260)</w:t>
            </w:r>
          </w:p>
        </w:tc>
        <w:tc>
          <w:tcPr>
            <w:tcW w:w="3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0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Consolidated</w:t>
            </w:r>
          </w:p>
        </w:tc>
        <w:tc>
          <w:tcPr>
            <w:tcW w:w="220" w:type="dxa"/>
            <w:vAlign w:val="bottom"/>
            <w:shd w:val="clear" w:color="auto" w:fill="EAF9E8"/>
          </w:tcPr>
          <w:p>
            <w:pPr>
              <w:spacing w:after="0"/>
              <w:rPr>
                <w:sz w:val="20"/>
                <w:szCs w:val="20"/>
                <w:color w:val="auto"/>
              </w:rPr>
            </w:pPr>
          </w:p>
        </w:tc>
        <w:tc>
          <w:tcPr>
            <w:tcW w:w="30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39,154</w:t>
            </w:r>
          </w:p>
        </w:tc>
        <w:tc>
          <w:tcPr>
            <w:tcW w:w="220" w:type="dxa"/>
            <w:vAlign w:val="bottom"/>
            <w:shd w:val="clear" w:color="auto" w:fill="EAF9E8"/>
          </w:tcPr>
          <w:p>
            <w:pPr>
              <w:spacing w:after="0"/>
              <w:rPr>
                <w:sz w:val="20"/>
                <w:szCs w:val="20"/>
                <w:color w:val="auto"/>
              </w:rPr>
            </w:pPr>
          </w:p>
        </w:tc>
        <w:tc>
          <w:tcPr>
            <w:tcW w:w="300" w:type="dxa"/>
            <w:vAlign w:val="bottom"/>
            <w:shd w:val="clear" w:color="auto" w:fill="EAF9E8"/>
          </w:tcPr>
          <w:p>
            <w:pPr>
              <w:spacing w:after="0"/>
              <w:rPr>
                <w:sz w:val="20"/>
                <w:szCs w:val="20"/>
                <w:color w:val="auto"/>
              </w:rPr>
            </w:pPr>
          </w:p>
        </w:tc>
        <w:tc>
          <w:tcPr>
            <w:tcW w:w="1100" w:type="dxa"/>
            <w:vAlign w:val="bottom"/>
            <w:tcBorders>
              <w:right w:val="single" w:sz="8" w:color="EAF9E8"/>
            </w:tcBorders>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EAF9E8"/>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93,261</w:t>
            </w:r>
          </w:p>
        </w:tc>
        <w:tc>
          <w:tcPr>
            <w:tcW w:w="320" w:type="dxa"/>
            <w:vAlign w:val="bottom"/>
            <w:shd w:val="clear" w:color="auto" w:fill="EAF9E8"/>
          </w:tcPr>
          <w:p>
            <w:pPr>
              <w:spacing w:after="0"/>
              <w:rPr>
                <w:sz w:val="20"/>
                <w:szCs w:val="20"/>
                <w:color w:val="auto"/>
              </w:rPr>
            </w:pPr>
          </w:p>
        </w:tc>
        <w:tc>
          <w:tcPr>
            <w:tcW w:w="11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EAF9E8"/>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30,982</w:t>
            </w:r>
          </w:p>
        </w:tc>
        <w:tc>
          <w:tcPr>
            <w:tcW w:w="300" w:type="dxa"/>
            <w:vAlign w:val="bottom"/>
            <w:shd w:val="clear" w:color="auto" w:fill="EAF9E8"/>
          </w:tcPr>
          <w:p>
            <w:pPr>
              <w:spacing w:after="0"/>
              <w:rPr>
                <w:sz w:val="20"/>
                <w:szCs w:val="20"/>
                <w:color w:val="auto"/>
              </w:rPr>
            </w:pP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EAF9E8"/>
              <w:right w:val="single" w:sz="8" w:color="EAF9E8"/>
            </w:tcBorders>
            <w:shd w:val="clear" w:color="auto" w:fill="EAF9E8"/>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EAF9E8"/>
            </w:tcBorders>
            <w:shd w:val="clear" w:color="auto" w:fill="EAF9E8"/>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2010</w:t>
            </w:r>
          </w:p>
        </w:tc>
        <w:tc>
          <w:tcPr>
            <w:tcW w:w="8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2009</w:t>
            </w:r>
          </w:p>
        </w:tc>
        <w:tc>
          <w:tcPr>
            <w:tcW w:w="8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2008</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02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Segment</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80" w:type="dxa"/>
            <w:vAlign w:val="bottom"/>
            <w:tcBorders>
              <w:right w:val="single" w:sz="8" w:color="EAF9E8"/>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60"/>
              <w:spacing w:after="0"/>
              <w:rPr>
                <w:sz w:val="20"/>
                <w:szCs w:val="20"/>
                <w:color w:val="auto"/>
              </w:rPr>
            </w:pPr>
            <w:r>
              <w:rPr>
                <w:rFonts w:ascii="Arial" w:cs="Arial" w:eastAsia="Arial" w:hAnsi="Arial"/>
                <w:sz w:val="18"/>
                <w:szCs w:val="18"/>
                <w:color w:val="auto"/>
              </w:rPr>
              <w:t>Servicing</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2,495,966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85.4%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1,191,212</w:t>
            </w:r>
          </w:p>
        </w:tc>
        <w:tc>
          <w:tcPr>
            <w:tcW w:w="3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67.3%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1,416,615</w:t>
            </w:r>
          </w:p>
        </w:tc>
        <w:tc>
          <w:tcPr>
            <w:tcW w:w="3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63.3%</w:t>
            </w:r>
          </w:p>
        </w:tc>
      </w:tr>
      <w:tr>
        <w:trPr>
          <w:trHeight w:val="216"/>
        </w:trPr>
        <w:tc>
          <w:tcPr>
            <w:tcW w:w="20" w:type="dxa"/>
            <w:vAlign w:val="bottom"/>
          </w:tcPr>
          <w:p>
            <w:pPr>
              <w:spacing w:after="0"/>
              <w:rPr>
                <w:sz w:val="18"/>
                <w:szCs w:val="18"/>
                <w:color w:val="auto"/>
              </w:rPr>
            </w:pPr>
          </w:p>
        </w:tc>
        <w:tc>
          <w:tcPr>
            <w:tcW w:w="3020" w:type="dxa"/>
            <w:vAlign w:val="bottom"/>
            <w:shd w:val="clear" w:color="auto" w:fill="EAF9E8"/>
          </w:tcPr>
          <w:p>
            <w:pPr>
              <w:ind w:left="60"/>
              <w:spacing w:after="0"/>
              <w:rPr>
                <w:sz w:val="20"/>
                <w:szCs w:val="20"/>
                <w:color w:val="auto"/>
              </w:rPr>
            </w:pPr>
            <w:r>
              <w:rPr>
                <w:rFonts w:ascii="Arial" w:cs="Arial" w:eastAsia="Arial" w:hAnsi="Arial"/>
                <w:sz w:val="18"/>
                <w:szCs w:val="18"/>
                <w:color w:val="auto"/>
              </w:rPr>
              <w:t>Loans and Residuals</w:t>
            </w:r>
          </w:p>
        </w:tc>
        <w:tc>
          <w:tcPr>
            <w:tcW w:w="2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103,880</w:t>
            </w:r>
          </w:p>
        </w:tc>
        <w:tc>
          <w:tcPr>
            <w:tcW w:w="300" w:type="dxa"/>
            <w:vAlign w:val="bottom"/>
            <w:shd w:val="clear" w:color="auto" w:fill="EAF9E8"/>
          </w:tcPr>
          <w:p>
            <w:pPr>
              <w:spacing w:after="0"/>
              <w:rPr>
                <w:sz w:val="18"/>
                <w:szCs w:val="18"/>
                <w:color w:val="auto"/>
              </w:rPr>
            </w:pPr>
          </w:p>
        </w:tc>
        <w:tc>
          <w:tcPr>
            <w:tcW w:w="1100" w:type="dxa"/>
            <w:vAlign w:val="bottom"/>
            <w:tcBorders>
              <w:right w:val="single" w:sz="8" w:color="EAF9E8"/>
            </w:tcBorders>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3.6</w:t>
            </w:r>
          </w:p>
        </w:tc>
        <w:tc>
          <w:tcPr>
            <w:tcW w:w="26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48,690</w:t>
            </w:r>
          </w:p>
        </w:tc>
        <w:tc>
          <w:tcPr>
            <w:tcW w:w="32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67,317</w:t>
            </w:r>
          </w:p>
        </w:tc>
        <w:tc>
          <w:tcPr>
            <w:tcW w:w="3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3020" w:type="dxa"/>
            <w:vAlign w:val="bottom"/>
          </w:tcPr>
          <w:p>
            <w:pPr>
              <w:ind w:left="60"/>
              <w:spacing w:after="0"/>
              <w:rPr>
                <w:sz w:val="20"/>
                <w:szCs w:val="20"/>
                <w:color w:val="auto"/>
              </w:rPr>
            </w:pPr>
            <w:r>
              <w:rPr>
                <w:rFonts w:ascii="Arial" w:cs="Arial" w:eastAsia="Arial" w:hAnsi="Arial"/>
                <w:sz w:val="18"/>
                <w:szCs w:val="18"/>
                <w:color w:val="auto"/>
              </w:rPr>
              <w:t>Asset Management Vehicles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12,097</w:t>
            </w:r>
          </w:p>
        </w:tc>
        <w:tc>
          <w:tcPr>
            <w:tcW w:w="3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15,271</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26,755</w:t>
            </w: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3020" w:type="dxa"/>
            <w:vAlign w:val="bottom"/>
            <w:shd w:val="clear" w:color="auto" w:fill="EAF9E8"/>
          </w:tcPr>
          <w:p>
            <w:pPr>
              <w:ind w:left="60"/>
              <w:spacing w:after="0"/>
              <w:rPr>
                <w:sz w:val="20"/>
                <w:szCs w:val="20"/>
                <w:color w:val="auto"/>
              </w:rPr>
            </w:pPr>
            <w:r>
              <w:rPr>
                <w:rFonts w:ascii="Arial" w:cs="Arial" w:eastAsia="Arial" w:hAnsi="Arial"/>
                <w:sz w:val="18"/>
                <w:szCs w:val="18"/>
                <w:color w:val="auto"/>
              </w:rPr>
              <w:t>Mortgage Services</w:t>
            </w:r>
          </w:p>
        </w:tc>
        <w:tc>
          <w:tcPr>
            <w:tcW w:w="2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400" w:type="dxa"/>
            <w:vAlign w:val="bottom"/>
            <w:gridSpan w:val="3"/>
            <w:shd w:val="clear" w:color="auto" w:fill="EAF9E8"/>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EAF9E8"/>
            </w:tcBorders>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AF9E8"/>
          </w:tcPr>
          <w:p>
            <w:pPr>
              <w:spacing w:after="0"/>
              <w:rPr>
                <w:sz w:val="18"/>
                <w:szCs w:val="18"/>
                <w:color w:val="auto"/>
              </w:rPr>
            </w:pPr>
          </w:p>
        </w:tc>
        <w:tc>
          <w:tcPr>
            <w:tcW w:w="1400" w:type="dxa"/>
            <w:vAlign w:val="bottom"/>
            <w:gridSpan w:val="3"/>
            <w:shd w:val="clear" w:color="auto" w:fill="EAF9E8"/>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3,558</w:t>
            </w:r>
          </w:p>
        </w:tc>
        <w:tc>
          <w:tcPr>
            <w:tcW w:w="3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3020" w:type="dxa"/>
            <w:vAlign w:val="bottom"/>
          </w:tcPr>
          <w:p>
            <w:pPr>
              <w:ind w:left="60"/>
              <w:spacing w:after="0"/>
              <w:rPr>
                <w:sz w:val="20"/>
                <w:szCs w:val="20"/>
                <w:color w:val="auto"/>
              </w:rPr>
            </w:pPr>
            <w:r>
              <w:rPr>
                <w:rFonts w:ascii="Arial" w:cs="Arial" w:eastAsia="Arial" w:hAnsi="Arial"/>
                <w:sz w:val="18"/>
                <w:szCs w:val="18"/>
                <w:color w:val="auto"/>
              </w:rPr>
              <w:t>Financial Services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58,707</w:t>
            </w: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3020" w:type="dxa"/>
            <w:vAlign w:val="bottom"/>
            <w:shd w:val="clear" w:color="auto" w:fill="EAF9E8"/>
          </w:tcPr>
          <w:p>
            <w:pPr>
              <w:ind w:left="60"/>
              <w:spacing w:after="0"/>
              <w:rPr>
                <w:sz w:val="20"/>
                <w:szCs w:val="20"/>
                <w:color w:val="auto"/>
              </w:rPr>
            </w:pPr>
            <w:r>
              <w:rPr>
                <w:rFonts w:ascii="Arial" w:cs="Arial" w:eastAsia="Arial" w:hAnsi="Arial"/>
                <w:sz w:val="18"/>
                <w:szCs w:val="18"/>
                <w:color w:val="auto"/>
              </w:rPr>
              <w:t>Technology Products</w:t>
            </w:r>
          </w:p>
        </w:tc>
        <w:tc>
          <w:tcPr>
            <w:tcW w:w="2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400" w:type="dxa"/>
            <w:vAlign w:val="bottom"/>
            <w:gridSpan w:val="3"/>
            <w:shd w:val="clear" w:color="auto" w:fill="EAF9E8"/>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EAF9E8"/>
            </w:tcBorders>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AF9E8"/>
          </w:tcPr>
          <w:p>
            <w:pPr>
              <w:spacing w:after="0"/>
              <w:rPr>
                <w:sz w:val="18"/>
                <w:szCs w:val="18"/>
                <w:color w:val="auto"/>
              </w:rPr>
            </w:pPr>
          </w:p>
        </w:tc>
        <w:tc>
          <w:tcPr>
            <w:tcW w:w="1400" w:type="dxa"/>
            <w:vAlign w:val="bottom"/>
            <w:gridSpan w:val="3"/>
            <w:shd w:val="clear" w:color="auto" w:fill="EAF9E8"/>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8,906</w:t>
            </w:r>
          </w:p>
        </w:tc>
        <w:tc>
          <w:tcPr>
            <w:tcW w:w="3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0.4</w:t>
            </w:r>
          </w:p>
        </w:tc>
      </w:tr>
      <w:tr>
        <w:trPr>
          <w:trHeight w:val="216"/>
        </w:trPr>
        <w:tc>
          <w:tcPr>
            <w:tcW w:w="20" w:type="dxa"/>
            <w:vAlign w:val="bottom"/>
          </w:tcPr>
          <w:p>
            <w:pPr>
              <w:spacing w:after="0"/>
              <w:rPr>
                <w:sz w:val="18"/>
                <w:szCs w:val="18"/>
                <w:color w:val="auto"/>
              </w:rPr>
            </w:pPr>
          </w:p>
        </w:tc>
        <w:tc>
          <w:tcPr>
            <w:tcW w:w="3020" w:type="dxa"/>
            <w:vAlign w:val="bottom"/>
          </w:tcPr>
          <w:p>
            <w:pPr>
              <w:ind w:left="60"/>
              <w:spacing w:after="0"/>
              <w:rPr>
                <w:sz w:val="20"/>
                <w:szCs w:val="20"/>
                <w:color w:val="auto"/>
              </w:rPr>
            </w:pPr>
            <w:r>
              <w:rPr>
                <w:rFonts w:ascii="Arial" w:cs="Arial" w:eastAsia="Arial" w:hAnsi="Arial"/>
                <w:sz w:val="18"/>
                <w:szCs w:val="18"/>
                <w:color w:val="auto"/>
              </w:rPr>
              <w:t>Corporate Items and Other</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309,466</w:t>
            </w:r>
          </w:p>
        </w:tc>
        <w:tc>
          <w:tcPr>
            <w:tcW w:w="3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514,177</w:t>
            </w:r>
          </w:p>
        </w:tc>
        <w:tc>
          <w:tcPr>
            <w:tcW w:w="3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29.0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664,962</w:t>
            </w: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29.7</w:t>
            </w:r>
          </w:p>
        </w:tc>
      </w:tr>
      <w:tr>
        <w:trPr>
          <w:trHeight w:val="216"/>
        </w:trPr>
        <w:tc>
          <w:tcPr>
            <w:tcW w:w="20" w:type="dxa"/>
            <w:vAlign w:val="bottom"/>
          </w:tcPr>
          <w:p>
            <w:pPr>
              <w:spacing w:after="0"/>
              <w:rPr>
                <w:sz w:val="18"/>
                <w:szCs w:val="18"/>
                <w:color w:val="auto"/>
              </w:rPr>
            </w:pPr>
          </w:p>
        </w:tc>
        <w:tc>
          <w:tcPr>
            <w:tcW w:w="3020" w:type="dxa"/>
            <w:vAlign w:val="bottom"/>
            <w:shd w:val="clear" w:color="auto" w:fill="EAF9E8"/>
          </w:tcPr>
          <w:p>
            <w:pPr>
              <w:ind w:left="60"/>
              <w:spacing w:after="0"/>
              <w:rPr>
                <w:sz w:val="20"/>
                <w:szCs w:val="20"/>
                <w:color w:val="auto"/>
              </w:rPr>
            </w:pPr>
            <w:r>
              <w:rPr>
                <w:rFonts w:ascii="Arial" w:cs="Arial" w:eastAsia="Arial" w:hAnsi="Arial"/>
                <w:sz w:val="18"/>
                <w:szCs w:val="18"/>
                <w:color w:val="auto"/>
              </w:rPr>
              <w:t>Corporate Eliminations</w:t>
            </w:r>
          </w:p>
        </w:tc>
        <w:tc>
          <w:tcPr>
            <w:tcW w:w="2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00" w:type="dxa"/>
            <w:vAlign w:val="bottom"/>
            <w:tcBorders>
              <w:right w:val="single" w:sz="8" w:color="EAF9E8"/>
            </w:tcBorders>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AF9E8"/>
          </w:tcPr>
          <w:p>
            <w:pPr>
              <w:spacing w:after="0"/>
              <w:rPr>
                <w:sz w:val="18"/>
                <w:szCs w:val="18"/>
                <w:color w:val="auto"/>
              </w:rPr>
            </w:pPr>
          </w:p>
        </w:tc>
        <w:tc>
          <w:tcPr>
            <w:tcW w:w="1400" w:type="dxa"/>
            <w:vAlign w:val="bottom"/>
            <w:gridSpan w:val="3"/>
            <w:shd w:val="clear" w:color="auto" w:fill="EAF9E8"/>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(9,720)</w:t>
            </w:r>
          </w:p>
        </w:tc>
        <w:tc>
          <w:tcPr>
            <w:tcW w:w="3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(0.4)</w:t>
            </w:r>
          </w:p>
        </w:tc>
      </w:tr>
      <w:tr>
        <w:trPr>
          <w:trHeight w:val="27"/>
        </w:trPr>
        <w:tc>
          <w:tcPr>
            <w:tcW w:w="20" w:type="dxa"/>
            <w:vAlign w:val="bottom"/>
          </w:tcPr>
          <w:p>
            <w:pPr>
              <w:spacing w:after="0"/>
              <w:rPr>
                <w:sz w:val="2"/>
                <w:szCs w:val="2"/>
                <w:color w:val="auto"/>
              </w:rPr>
            </w:pPr>
          </w:p>
        </w:tc>
        <w:tc>
          <w:tcPr>
            <w:tcW w:w="302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Borders>
              <w:right w:val="single" w:sz="8" w:color="EAF9E8"/>
            </w:tcBorders>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EAF9E8"/>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40"/>
              <w:spacing w:after="0"/>
              <w:rPr>
                <w:sz w:val="20"/>
                <w:szCs w:val="20"/>
                <w:color w:val="auto"/>
              </w:rPr>
            </w:pPr>
            <w:r>
              <w:rPr>
                <w:rFonts w:ascii="Arial" w:cs="Arial" w:eastAsia="Arial" w:hAnsi="Arial"/>
                <w:sz w:val="18"/>
                <w:szCs w:val="18"/>
                <w:color w:val="auto"/>
              </w:rPr>
              <w:t>Consolidated</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2,921,409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1,769,350</w:t>
            </w:r>
          </w:p>
        </w:tc>
        <w:tc>
          <w:tcPr>
            <w:tcW w:w="3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2,237,100</w:t>
            </w:r>
          </w:p>
        </w:tc>
        <w:tc>
          <w:tcPr>
            <w:tcW w:w="3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00" w:firstLine="747"/>
        <w:spacing w:after="0" w:line="277" w:lineRule="auto"/>
        <w:rPr>
          <w:sz w:val="20"/>
          <w:szCs w:val="20"/>
          <w:color w:val="auto"/>
        </w:rPr>
      </w:pPr>
      <w:r>
        <w:rPr>
          <w:rFonts w:ascii="Arial" w:cs="Arial" w:eastAsia="Arial" w:hAnsi="Arial"/>
          <w:sz w:val="18"/>
          <w:szCs w:val="18"/>
          <w:color w:val="auto"/>
        </w:rPr>
        <w:t>See “Management’s Discussion and Analysis of Financial Condition and Results of Operations—Segments” and Note 29 to the Consolidated Financial Statements for additional financial information regarding each of our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w:t>
      </w:r>
    </w:p>
    <w:p>
      <w:pPr>
        <w:spacing w:after="0" w:line="256" w:lineRule="exact"/>
        <w:rPr>
          <w:sz w:val="20"/>
          <w:szCs w:val="20"/>
          <w:color w:val="auto"/>
        </w:rPr>
      </w:pPr>
    </w:p>
    <w:p>
      <w:pPr>
        <w:jc w:val="both"/>
        <w:ind w:right="20" w:firstLine="744"/>
        <w:spacing w:after="0" w:line="264" w:lineRule="auto"/>
        <w:rPr>
          <w:sz w:val="20"/>
          <w:szCs w:val="20"/>
          <w:color w:val="auto"/>
        </w:rPr>
      </w:pPr>
      <w:r>
        <w:rPr>
          <w:rFonts w:ascii="Arial" w:cs="Arial" w:eastAsia="Arial" w:hAnsi="Arial"/>
          <w:sz w:val="18"/>
          <w:szCs w:val="18"/>
          <w:color w:val="auto"/>
        </w:rPr>
        <w:t>We earn fees for providing services to owners of mortgage loans and foreclosed real estate. In most cases, we provide these services either because we purchased the MSR from the owner of the mortgage or because we entered into a subservicing or special servicing agreement with the entity that owns the MSR.</w:t>
      </w:r>
    </w:p>
    <w:p>
      <w:pPr>
        <w:spacing w:after="0" w:line="208" w:lineRule="exact"/>
        <w:rPr>
          <w:sz w:val="20"/>
          <w:szCs w:val="20"/>
          <w:color w:val="auto"/>
        </w:rPr>
      </w:pPr>
    </w:p>
    <w:p>
      <w:pPr>
        <w:ind w:firstLine="744"/>
        <w:spacing w:after="0" w:line="255" w:lineRule="auto"/>
        <w:rPr>
          <w:sz w:val="20"/>
          <w:szCs w:val="20"/>
          <w:color w:val="auto"/>
        </w:rPr>
      </w:pPr>
      <w:r>
        <w:rPr>
          <w:rFonts w:ascii="Arial" w:cs="Arial" w:eastAsia="Arial" w:hAnsi="Arial"/>
          <w:sz w:val="18"/>
          <w:szCs w:val="18"/>
          <w:color w:val="auto"/>
        </w:rPr>
        <w:t>We are one of the largest servicers of subprime residential mortgage loans. As of December 31, 2010, we serviced 479,165 loans and real estate properties with an aggregate UPB of $73,886,391 under 716 servicing agreements for over 53 clients. These clients include institutions such as Freddie Mac, Morgan Stanley, Deutsche Bank, Credit Suisse and Goldman Sachs. The mortgaged properties securing the loans that we service are geographically dispersed throughout all 50 states, the District of Columbia and two U.S. territories. The five largest concentrations of properties are located in California, Florida, New York, Texas and Illinois which, taken together, comprise 42% of the loans serviced at December 31, 2010. California has the largest concentration with 54,111 loans or 11% of the total.</w:t>
      </w:r>
    </w:p>
    <w:p>
      <w:pPr>
        <w:spacing w:after="0" w:line="220" w:lineRule="exact"/>
        <w:rPr>
          <w:sz w:val="20"/>
          <w:szCs w:val="20"/>
          <w:color w:val="auto"/>
        </w:rPr>
      </w:pPr>
    </w:p>
    <w:p>
      <w:pPr>
        <w:ind w:right="20" w:firstLine="747"/>
        <w:spacing w:after="0" w:line="293" w:lineRule="auto"/>
        <w:rPr>
          <w:sz w:val="20"/>
          <w:szCs w:val="20"/>
          <w:color w:val="auto"/>
        </w:rPr>
      </w:pPr>
      <w:r>
        <w:rPr>
          <w:rFonts w:ascii="Arial" w:cs="Arial" w:eastAsia="Arial" w:hAnsi="Arial"/>
          <w:sz w:val="16"/>
          <w:szCs w:val="16"/>
          <w:color w:val="auto"/>
        </w:rPr>
        <w:t>Subprime mortgage loan servicing involves special loss mitigation challenges that are not present to the same extent in prime loan servicing. Over a period of twenty years, we have developed proprietary best practices for reducing loan losses, and we continue to refine and enhance these practices to meet the challenges posed by the current market. Our proactive measures encourage borrowers who become delinquent to begin paying again on their loans and avoid foreclosure. In the current environment, loan modifications often provide a better outcome for loan investors than foreclosures or forbearance plans. Servicers generally earn more profit as their portfolios become more current. We pride ou rselves on keeping more borrowers in their homes than other servicers and avoiding foreclosure. This is a “win-win” situation for both the investors and the borrowers that we serve.</w:t>
      </w:r>
    </w:p>
    <w:p>
      <w:pPr>
        <w:spacing w:after="0" w:line="192" w:lineRule="exact"/>
        <w:rPr>
          <w:sz w:val="20"/>
          <w:szCs w:val="20"/>
          <w:color w:val="auto"/>
        </w:rPr>
      </w:pPr>
    </w:p>
    <w:p>
      <w:pPr>
        <w:ind w:right="80" w:firstLine="747"/>
        <w:spacing w:after="0" w:line="255" w:lineRule="auto"/>
        <w:rPr>
          <w:sz w:val="20"/>
          <w:szCs w:val="20"/>
          <w:color w:val="auto"/>
        </w:rPr>
      </w:pPr>
      <w:r>
        <w:rPr>
          <w:rFonts w:ascii="Arial" w:cs="Arial" w:eastAsia="Arial" w:hAnsi="Arial"/>
          <w:sz w:val="18"/>
          <w:szCs w:val="18"/>
          <w:color w:val="auto"/>
        </w:rPr>
        <w:t>Our largest source of revenue is servicing fees. Most purchased MSRs entitle us generally to an annual fee of up to 50 basis points of the average UPB of the loans serviced. Under subservicing arrangements, where we do not pay for the MSR, we are generally entitled to an annual fee of between 5 and 45 basis points of the average UPB. Although servicing fees generally accrue to the servicer when a loan is delinquent, servicing fees are usually only collected when a borrower makes a payment or when a delinquent loan is resolved through modification, payoff (discounted or in full) or through the sale of the underlying mortgaged property following foreclosure (Real Estate Owned, or REO). Because we only record servicing fee revenue when it is collected, our revenue is a function of UPB and the number of payments that we receive, delinquent loans that resolve either through borrower payments, modifications (HAMP and non-HAMP) or sales of REO.</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These fees are supplemented by ancillary income, including:</w:t>
      </w:r>
    </w:p>
    <w:p>
      <w:pPr>
        <w:spacing w:after="0" w:line="252" w:lineRule="exact"/>
        <w:rPr>
          <w:sz w:val="20"/>
          <w:szCs w:val="20"/>
          <w:color w:val="auto"/>
        </w:rPr>
      </w:pPr>
    </w:p>
    <w:p>
      <w:pPr>
        <w:ind w:left="1380" w:right="100" w:hanging="562"/>
        <w:spacing w:after="0" w:line="277" w:lineRule="auto"/>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fees from the federal government for HAMP (from completing new HAMP modifications and from the continued success of prior HAMP modifications on the anniversary date of the HAMP trial modification);</w:t>
      </w:r>
    </w:p>
    <w:p>
      <w:pPr>
        <w:spacing w:after="0" w:line="170" w:lineRule="exact"/>
        <w:rPr>
          <w:rFonts w:ascii="Arial" w:cs="Arial" w:eastAsia="Arial" w:hAnsi="Arial"/>
          <w:sz w:val="18"/>
          <w:szCs w:val="18"/>
          <w:color w:val="auto"/>
        </w:rPr>
      </w:pPr>
    </w:p>
    <w:p>
      <w:pPr>
        <w:ind w:left="1380" w:hanging="562"/>
        <w:spacing w:after="0"/>
        <w:tabs>
          <w:tab w:leader="none" w:pos="1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interest earned on loan payments that we have collected but have not yet remitted to the owner of the mortgage (float earnings);</w:t>
      </w:r>
    </w:p>
    <w:p>
      <w:pPr>
        <w:spacing w:after="0" w:line="236" w:lineRule="exact"/>
        <w:rPr>
          <w:rFonts w:ascii="Arial" w:cs="Arial" w:eastAsia="Arial" w:hAnsi="Arial"/>
          <w:sz w:val="17"/>
          <w:szCs w:val="17"/>
          <w:color w:val="auto"/>
        </w:rPr>
      </w:pPr>
    </w:p>
    <w:p>
      <w:pPr>
        <w:ind w:left="1380" w:hanging="562"/>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referral commissions from brokers for REO properties sold through our network of brokers;</w:t>
      </w:r>
    </w:p>
    <w:p>
      <w:pPr>
        <w:spacing w:after="0" w:line="225" w:lineRule="exact"/>
        <w:rPr>
          <w:rFonts w:ascii="Arial" w:cs="Arial" w:eastAsia="Arial" w:hAnsi="Arial"/>
          <w:sz w:val="18"/>
          <w:szCs w:val="18"/>
          <w:color w:val="auto"/>
        </w:rPr>
      </w:pPr>
    </w:p>
    <w:p>
      <w:pPr>
        <w:ind w:left="1380" w:hanging="562"/>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Speedpay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fees from borrowers who pay by telephone or through the Internet; and</w:t>
      </w:r>
    </w:p>
    <w:p>
      <w:pPr>
        <w:spacing w:after="0" w:line="144" w:lineRule="exact"/>
        <w:rPr>
          <w:rFonts w:ascii="Arial" w:cs="Arial" w:eastAsia="Arial" w:hAnsi="Arial"/>
          <w:sz w:val="18"/>
          <w:szCs w:val="18"/>
          <w:color w:val="auto"/>
        </w:rPr>
      </w:pPr>
    </w:p>
    <w:p>
      <w:pPr>
        <w:ind w:left="1380" w:hanging="562"/>
        <w:spacing w:after="0"/>
        <w:tabs>
          <w:tab w:leader="none" w:pos="1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late fees from borrowers who were delinquent in remitting their monthly mortgage payments and have subsequently become current.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ind w:right="80" w:firstLine="747"/>
        <w:spacing w:after="0" w:line="289" w:lineRule="auto"/>
        <w:rPr>
          <w:sz w:val="20"/>
          <w:szCs w:val="20"/>
          <w:color w:val="auto"/>
        </w:rPr>
      </w:pPr>
      <w:r>
        <w:rPr>
          <w:rFonts w:ascii="Arial" w:cs="Arial" w:eastAsia="Arial" w:hAnsi="Arial"/>
          <w:sz w:val="17"/>
          <w:szCs w:val="17"/>
          <w:b w:val="1"/>
          <w:bCs w:val="1"/>
          <w:color w:val="auto"/>
        </w:rPr>
        <w:t xml:space="preserve">Loan Resolution (Modification and REO Sales). </w:t>
      </w:r>
      <w:r>
        <w:rPr>
          <w:rFonts w:ascii="Arial" w:cs="Arial" w:eastAsia="Arial" w:hAnsi="Arial"/>
          <w:sz w:val="17"/>
          <w:szCs w:val="17"/>
          <w:color w:val="auto"/>
        </w:rPr>
        <w:t>The importance of loan resolution is heightened by our revenue recognition policies. We do not</w:t>
      </w:r>
      <w:r>
        <w:rPr>
          <w:rFonts w:ascii="Arial" w:cs="Arial" w:eastAsia="Arial" w:hAnsi="Arial"/>
          <w:sz w:val="17"/>
          <w:szCs w:val="17"/>
          <w:b w:val="1"/>
          <w:bCs w:val="1"/>
          <w:color w:val="auto"/>
        </w:rPr>
        <w:t xml:space="preserve"> </w:t>
      </w:r>
      <w:r>
        <w:rPr>
          <w:rFonts w:ascii="Arial" w:cs="Arial" w:eastAsia="Arial" w:hAnsi="Arial"/>
          <w:sz w:val="17"/>
          <w:szCs w:val="17"/>
          <w:color w:val="auto"/>
        </w:rPr>
        <w:t>recognize delinquent servicing fees or late fees as revenue until we collect cash on the related loan. The following loan modification scenarios describe the typical timing of our revenue recognition. The amounts used are not presented in thousands and are for illustrative purposes only:</w:t>
      </w:r>
    </w:p>
    <w:p>
      <w:pPr>
        <w:spacing w:after="0" w:line="189" w:lineRule="exact"/>
        <w:rPr>
          <w:sz w:val="20"/>
          <w:szCs w:val="20"/>
          <w:color w:val="auto"/>
        </w:rPr>
      </w:pPr>
    </w:p>
    <w:p>
      <w:pPr>
        <w:ind w:left="1380" w:right="380" w:hanging="562"/>
        <w:spacing w:after="0" w:line="258"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When a loan becomes current via our non-HAMP modification process, we earn $500 of deferred servicing fees and $300 of late fees. (Note: If any debt is forgiven as part of a non-HAMP modification, no late fees are collected or earned.)</w:t>
      </w:r>
    </w:p>
    <w:p>
      <w:pPr>
        <w:spacing w:after="0" w:line="1" w:lineRule="exact"/>
        <w:rPr>
          <w:rFonts w:ascii="Arial" w:cs="Arial" w:eastAsia="Arial" w:hAnsi="Arial"/>
          <w:sz w:val="18"/>
          <w:szCs w:val="18"/>
          <w:color w:val="auto"/>
        </w:rPr>
      </w:pPr>
    </w:p>
    <w:p>
      <w:pPr>
        <w:ind w:left="1380" w:right="140" w:hanging="562"/>
        <w:spacing w:after="0" w:line="250"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When a loan becomes current via our HAMP modification process, we earn $500 on deferred servicing fees, and we earn initial HAMP fees of $1,000, or $1,500 if the loan was in imminent risk of default. However, we forfeit $300 of late fees. If the loan is in imminent risk of default but not delinquent, we recognize no deferred servicing fees.</w:t>
      </w:r>
    </w:p>
    <w:p>
      <w:pPr>
        <w:spacing w:after="0" w:line="1" w:lineRule="exact"/>
        <w:rPr>
          <w:rFonts w:ascii="Arial" w:cs="Arial" w:eastAsia="Arial" w:hAnsi="Arial"/>
          <w:sz w:val="18"/>
          <w:szCs w:val="18"/>
          <w:color w:val="auto"/>
        </w:rPr>
      </w:pPr>
    </w:p>
    <w:p>
      <w:pPr>
        <w:ind w:left="1380" w:right="60" w:hanging="562"/>
        <w:spacing w:after="0" w:line="255"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When a loan is modified under HAMP and remains less than 90 days delinquent, we earn, at the first, second or third anniversary of the start of the trial modification, up to a $1,000 HAMP success fee on each anniversary. We expect HAMP success fees soon to exceed initial HAMP fees.</w:t>
      </w:r>
    </w:p>
    <w:p>
      <w:pPr>
        <w:spacing w:after="0" w:line="217" w:lineRule="exact"/>
        <w:rPr>
          <w:sz w:val="20"/>
          <w:szCs w:val="20"/>
          <w:color w:val="auto"/>
        </w:rPr>
      </w:pPr>
    </w:p>
    <w:p>
      <w:pPr>
        <w:ind w:right="200" w:firstLine="747"/>
        <w:spacing w:after="0" w:line="277" w:lineRule="auto"/>
        <w:rPr>
          <w:sz w:val="20"/>
          <w:szCs w:val="20"/>
          <w:color w:val="auto"/>
        </w:rPr>
      </w:pPr>
      <w:r>
        <w:rPr>
          <w:rFonts w:ascii="Arial" w:cs="Arial" w:eastAsia="Arial" w:hAnsi="Arial"/>
          <w:sz w:val="18"/>
          <w:szCs w:val="18"/>
          <w:color w:val="auto"/>
        </w:rPr>
        <w:t>Loan resolution activities address the pipeline of delinquent loans and generally lead to modification of the loan terms, a discounted payoff of the loan or foreclosure and sale of the resulting REO. The following process describes our resolution pipeline:</w:t>
      </w:r>
    </w:p>
    <w:p>
      <w:pPr>
        <w:spacing w:after="0" w:line="197" w:lineRule="exact"/>
        <w:rPr>
          <w:sz w:val="20"/>
          <w:szCs w:val="20"/>
          <w:color w:val="auto"/>
        </w:rPr>
      </w:pPr>
    </w:p>
    <w:p>
      <w:pPr>
        <w:ind w:left="1380" w:right="440" w:hanging="562"/>
        <w:spacing w:after="0" w:line="256" w:lineRule="auto"/>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loan and borrower are evaluated for HAMP eligibility. If HAMP criteria are met, HAMP documentation and trial offer phases proceed. The three most common reasons for failure to qualify for HAMP are (i) existing loan terms are already below a 31% debt to income (DTI) ratio, (ii) inadequate documentation or (iii) inadequate or inconsistent income.</w:t>
      </w:r>
    </w:p>
    <w:p>
      <w:pPr>
        <w:ind w:left="1380" w:right="20" w:hanging="562"/>
        <w:spacing w:after="0" w:line="250" w:lineRule="auto"/>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criteria to qualify for HAMP are not met, the loan and borrower are evaluated utilizing non-HAMP criteria that are more flexible and focus both on the borrower’s ability to pay and on maximizing net present value for investors. If the criteria are met, non-HAMP documentation and trial modification and/or modification phases proceed.</w:t>
      </w:r>
    </w:p>
    <w:p>
      <w:pPr>
        <w:spacing w:after="0" w:line="1" w:lineRule="exact"/>
        <w:rPr>
          <w:rFonts w:ascii="Arial" w:cs="Arial" w:eastAsia="Arial" w:hAnsi="Arial"/>
          <w:sz w:val="18"/>
          <w:szCs w:val="18"/>
          <w:color w:val="auto"/>
        </w:rPr>
      </w:pPr>
    </w:p>
    <w:p>
      <w:pPr>
        <w:ind w:left="1380" w:right="400" w:hanging="562"/>
        <w:spacing w:after="0" w:line="261" w:lineRule="auto"/>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loan and borrower qualify for neither a HAMP nor a non-HAMP modification, liquidation of the loan then proceeds via either a discounted payoff (or “short sale”), deed-in-lieu-of-foreclosure or foreclosure and REO sale.</w:t>
      </w:r>
    </w:p>
    <w:p>
      <w:pPr>
        <w:spacing w:after="0" w:line="211" w:lineRule="exact"/>
        <w:rPr>
          <w:sz w:val="20"/>
          <w:szCs w:val="20"/>
          <w:color w:val="auto"/>
        </w:rPr>
      </w:pPr>
    </w:p>
    <w:p>
      <w:pPr>
        <w:ind w:right="60" w:firstLine="744"/>
        <w:spacing w:after="0" w:line="255" w:lineRule="auto"/>
        <w:rPr>
          <w:sz w:val="20"/>
          <w:szCs w:val="20"/>
          <w:color w:val="auto"/>
        </w:rPr>
      </w:pPr>
      <w:r>
        <w:rPr>
          <w:rFonts w:ascii="Arial" w:cs="Arial" w:eastAsia="Arial" w:hAnsi="Arial"/>
          <w:sz w:val="18"/>
          <w:szCs w:val="18"/>
          <w:color w:val="auto"/>
        </w:rPr>
        <w:t>The majority of loans that we modify are delinquent, although we do modify some performing loans proactively under the American Securitization Forum guidelines. The most common term modified is the interest rate. Some modifications also involve the forgiveness or rescheduling of delinquent principal and interest. To select the best resolution option for a delinquent loan, we perform a structured analysis of all options using information provided by the borrower as well as external data. We use recent broker price opinions to value the property. We then use a proprietary model to determine the option with the highest net present value for the loan investor including an assessment of re-default risk. Loan modifications generally result in the highest net present value, but not in all cases.</w:t>
      </w:r>
    </w:p>
    <w:p>
      <w:pPr>
        <w:spacing w:after="0" w:line="216" w:lineRule="exact"/>
        <w:rPr>
          <w:sz w:val="20"/>
          <w:szCs w:val="20"/>
          <w:color w:val="auto"/>
        </w:rPr>
      </w:pPr>
    </w:p>
    <w:p>
      <w:pPr>
        <w:ind w:firstLine="737"/>
        <w:spacing w:after="0" w:line="287" w:lineRule="auto"/>
        <w:rPr>
          <w:sz w:val="20"/>
          <w:szCs w:val="20"/>
          <w:color w:val="auto"/>
        </w:rPr>
      </w:pPr>
      <w:r>
        <w:rPr>
          <w:rFonts w:ascii="Arial" w:cs="Arial" w:eastAsia="Arial" w:hAnsi="Arial"/>
          <w:sz w:val="16"/>
          <w:szCs w:val="16"/>
          <w:b w:val="1"/>
          <w:bCs w:val="1"/>
          <w:color w:val="auto"/>
        </w:rPr>
        <w:t xml:space="preserve">Advance Obligation. </w:t>
      </w:r>
      <w:r>
        <w:rPr>
          <w:rFonts w:ascii="Arial" w:cs="Arial" w:eastAsia="Arial" w:hAnsi="Arial"/>
          <w:sz w:val="16"/>
          <w:szCs w:val="16"/>
          <w:color w:val="auto"/>
        </w:rPr>
        <w:t>As a servicer or subservicer, we have a variety of contractual obligations including the obligation to service the mortgages</w:t>
      </w:r>
      <w:r>
        <w:rPr>
          <w:rFonts w:ascii="Arial" w:cs="Arial" w:eastAsia="Arial" w:hAnsi="Arial"/>
          <w:sz w:val="16"/>
          <w:szCs w:val="16"/>
          <w:b w:val="1"/>
          <w:bCs w:val="1"/>
          <w:color w:val="auto"/>
        </w:rPr>
        <w:t xml:space="preserve"> </w:t>
      </w:r>
      <w:r>
        <w:rPr>
          <w:rFonts w:ascii="Arial" w:cs="Arial" w:eastAsia="Arial" w:hAnsi="Arial"/>
          <w:sz w:val="16"/>
          <w:szCs w:val="16"/>
          <w:color w:val="auto"/>
        </w:rPr>
        <w:t>according to certain standards and to advance funds to securitization trusts in the event that borrowers are delinquent on their monthly mortgage payments. When a borrower becomes delinquent, we “advance” cash to the Real Estate Mortgage Investment Conduit (REMIC) Trustees on the scheduled remittance date thus creating a receivable from the REMIC Trust that is secured by the future cash flows from the REMIC Trust. We advance principal and interest (P&amp;I Advances), taxes and insura nce (T&amp;I Advances) and legal fees, property valuation fees, property inspection fees, maintenance and preservation costs on properties that have already been foreclosed (Corporate Advances). If we determine that our P&amp;I Advances cannot be recovered from the projected proceeds, we generally have the right to cease making P&amp;I advances, declare advances in excess of net proceeds to be non-recoverable and, in most cases, immediately recover any excess advances from the general collections accounts of the respective REMIC Trust. With T&amp;I Advances and Corporate Advances, we continue to advance if net proceeds exceed projected future advances without regard to advances already made. Most of our advances have the highest reimbursement priority (i.e., “top of the waterfall”) so that we are entitled to repayment from respective loan or REO liquidation proceeds before any interest or principal is paid on the bonds. In the majority of cases, advances in excess of respective loan or REO liquid ation proceeds may be recovered from pool-level proceeds. The costs incurred in meeting these obligations consist principally of, but are not limited to, the interest expense incurred to finance the servicing advances.</w:t>
      </w:r>
    </w:p>
    <w:p>
      <w:pPr>
        <w:spacing w:after="0" w:line="196" w:lineRule="exact"/>
        <w:rPr>
          <w:sz w:val="20"/>
          <w:szCs w:val="20"/>
          <w:color w:val="auto"/>
        </w:rPr>
      </w:pPr>
    </w:p>
    <w:p>
      <w:pPr>
        <w:ind w:right="120" w:firstLine="747"/>
        <w:spacing w:after="0" w:line="282" w:lineRule="auto"/>
        <w:rPr>
          <w:sz w:val="20"/>
          <w:szCs w:val="20"/>
          <w:color w:val="auto"/>
        </w:rPr>
      </w:pPr>
      <w:r>
        <w:rPr>
          <w:rFonts w:ascii="Arial" w:cs="Arial" w:eastAsia="Arial" w:hAnsi="Arial"/>
          <w:sz w:val="18"/>
          <w:szCs w:val="18"/>
          <w:b w:val="1"/>
          <w:bCs w:val="1"/>
          <w:color w:val="auto"/>
        </w:rPr>
        <w:t xml:space="preserve">Significant Variables. </w:t>
      </w:r>
      <w:r>
        <w:rPr>
          <w:rFonts w:ascii="Arial" w:cs="Arial" w:eastAsia="Arial" w:hAnsi="Arial"/>
          <w:sz w:val="18"/>
          <w:szCs w:val="18"/>
          <w:color w:val="auto"/>
        </w:rPr>
        <w:t>The key variables that significantly affect operating results in the Servicing segment are aggregate UPB, delinquencies and</w:t>
      </w:r>
      <w:r>
        <w:rPr>
          <w:rFonts w:ascii="Arial" w:cs="Arial" w:eastAsia="Arial" w:hAnsi="Arial"/>
          <w:sz w:val="18"/>
          <w:szCs w:val="18"/>
          <w:b w:val="1"/>
          <w:bCs w:val="1"/>
          <w:color w:val="auto"/>
        </w:rPr>
        <w:t xml:space="preserve"> </w:t>
      </w:r>
      <w:r>
        <w:rPr>
          <w:rFonts w:ascii="Arial" w:cs="Arial" w:eastAsia="Arial" w:hAnsi="Arial"/>
          <w:sz w:val="18"/>
          <w:szCs w:val="18"/>
          <w:color w:val="auto"/>
        </w:rPr>
        <w:t>prepayment speed.</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1" w:name="page12"/>
    <w:bookmarkEnd w:id="11"/>
    <w:p>
      <w:pPr>
        <w:ind w:right="100" w:firstLine="744"/>
        <w:spacing w:after="0" w:line="255" w:lineRule="auto"/>
        <w:rPr>
          <w:sz w:val="20"/>
          <w:szCs w:val="20"/>
          <w:color w:val="auto"/>
        </w:rPr>
      </w:pPr>
      <w:r>
        <w:rPr>
          <w:rFonts w:ascii="Arial" w:cs="Arial" w:eastAsia="Arial" w:hAnsi="Arial"/>
          <w:sz w:val="18"/>
          <w:szCs w:val="18"/>
          <w:i w:val="1"/>
          <w:iCs w:val="1"/>
          <w:color w:val="auto"/>
        </w:rPr>
        <w:t>Aggregate Unpaid Principal Balance</w:t>
      </w:r>
      <w:r>
        <w:rPr>
          <w:rFonts w:ascii="Arial" w:cs="Arial" w:eastAsia="Arial" w:hAnsi="Arial"/>
          <w:sz w:val="18"/>
          <w:szCs w:val="18"/>
          <w:color w:val="auto"/>
        </w:rPr>
        <w:t>. Aggregate UPB is a key revenue driver. As noted earlier, servicing fees are expressed as a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UPB, and growth in the portfolio generally means growth in servicing fees. Additionally, a larger servicing portfolio generates increased ancillary fees and leads to larger custodial balances generating greater float income. A larger servicing portfolio also increases expenses although, generally, less rapidly than the growth in UPB. To the extent that we grow UPB through the purchase of MSRs, our amortization of MSRs will generally increase with the growth in the carrying value of our MSRs. We wil l also incur additional interest expense to finance servicing advances, and our compensating interest expense will generally increase as the size of our portfolio increases.</w:t>
      </w:r>
    </w:p>
    <w:p>
      <w:pPr>
        <w:spacing w:after="0" w:line="220" w:lineRule="exact"/>
        <w:rPr>
          <w:sz w:val="20"/>
          <w:szCs w:val="20"/>
          <w:color w:val="auto"/>
        </w:rPr>
      </w:pPr>
    </w:p>
    <w:p>
      <w:pPr>
        <w:ind w:right="60" w:firstLine="747"/>
        <w:spacing w:after="0" w:line="255" w:lineRule="auto"/>
        <w:rPr>
          <w:sz w:val="20"/>
          <w:szCs w:val="20"/>
          <w:color w:val="auto"/>
        </w:rPr>
      </w:pPr>
      <w:r>
        <w:rPr>
          <w:rFonts w:ascii="Arial" w:cs="Arial" w:eastAsia="Arial" w:hAnsi="Arial"/>
          <w:sz w:val="18"/>
          <w:szCs w:val="18"/>
          <w:i w:val="1"/>
          <w:iCs w:val="1"/>
          <w:color w:val="auto"/>
        </w:rPr>
        <w:t>Delinquencies</w:t>
      </w:r>
      <w:r>
        <w:rPr>
          <w:rFonts w:ascii="Arial" w:cs="Arial" w:eastAsia="Arial" w:hAnsi="Arial"/>
          <w:sz w:val="18"/>
          <w:szCs w:val="18"/>
          <w:color w:val="auto"/>
        </w:rPr>
        <w:t>. Delinquencies also have a significant impact on our results of operations. Non-performing loans are more expensive to service than</w:t>
      </w:r>
      <w:r>
        <w:rPr>
          <w:rFonts w:ascii="Arial" w:cs="Arial" w:eastAsia="Arial" w:hAnsi="Arial"/>
          <w:sz w:val="18"/>
          <w:szCs w:val="18"/>
          <w:i w:val="1"/>
          <w:iCs w:val="1"/>
          <w:color w:val="auto"/>
        </w:rPr>
        <w:t xml:space="preserve"> </w:t>
      </w:r>
      <w:r>
        <w:rPr>
          <w:rFonts w:ascii="Arial" w:cs="Arial" w:eastAsia="Arial" w:hAnsi="Arial"/>
          <w:sz w:val="18"/>
          <w:szCs w:val="18"/>
          <w:color w:val="auto"/>
        </w:rPr>
        <w:t>performing loans because the cost of servicing is higher and, although collectibility is generally not a concern, advances to the investors increase which results in higher financing costs. Performing loans include those loans that are current or have been delinquent for less than 90 days in accordance with their original terms and those loans for which borrowers are making scheduled payments under loan modifications, forbearance plans or bankruptcy plans. Loans in modification trial plans are considered forbearance plans until the trial is successfully completed or until the borrower misses a trial plan payment. We consider all other loans to be non-performing.</w:t>
      </w:r>
    </w:p>
    <w:p>
      <w:pPr>
        <w:spacing w:after="0" w:line="220" w:lineRule="exact"/>
        <w:rPr>
          <w:sz w:val="20"/>
          <w:szCs w:val="20"/>
          <w:color w:val="auto"/>
        </w:rPr>
      </w:pPr>
    </w:p>
    <w:p>
      <w:pPr>
        <w:jc w:val="both"/>
        <w:ind w:firstLine="744"/>
        <w:spacing w:after="0" w:line="264" w:lineRule="auto"/>
        <w:rPr>
          <w:sz w:val="20"/>
          <w:szCs w:val="20"/>
          <w:color w:val="auto"/>
        </w:rPr>
      </w:pPr>
      <w:r>
        <w:rPr>
          <w:rFonts w:ascii="Arial" w:cs="Arial" w:eastAsia="Arial" w:hAnsi="Arial"/>
          <w:sz w:val="18"/>
          <w:szCs w:val="18"/>
          <w:color w:val="auto"/>
        </w:rPr>
        <w:t>When borrowers are delinquent, the amount of funds that we are required to advance to the investors on behalf of the borrowers increases. We incur significant costs to finance those advances. We utilize both securitization (i.e., match funded liabilities) and revolving credit facilities to finance our advances. As a result, increased delinquencies result in increased interest expense.</w:t>
      </w:r>
    </w:p>
    <w:p>
      <w:pPr>
        <w:spacing w:after="0" w:line="208" w:lineRule="exact"/>
        <w:rPr>
          <w:sz w:val="20"/>
          <w:szCs w:val="20"/>
          <w:color w:val="auto"/>
        </w:rPr>
      </w:pPr>
    </w:p>
    <w:p>
      <w:pPr>
        <w:ind w:right="20" w:firstLine="744"/>
        <w:spacing w:after="0" w:line="255" w:lineRule="auto"/>
        <w:rPr>
          <w:sz w:val="20"/>
          <w:szCs w:val="20"/>
          <w:color w:val="auto"/>
        </w:rPr>
      </w:pPr>
      <w:r>
        <w:rPr>
          <w:rFonts w:ascii="Arial" w:cs="Arial" w:eastAsia="Arial" w:hAnsi="Arial"/>
          <w:sz w:val="18"/>
          <w:szCs w:val="18"/>
          <w:color w:val="auto"/>
        </w:rPr>
        <w:t>The cost of servicing non-performing loans is higher than the cost of servicing performing loans primarily because the loss mitigation techniques that we employ to keep borrowers in their homes and to foreclose are more costly than the techniques used in handling a performing loan. Procedures involve increased contact with the borrower for collection and the development of forbearance plans or loan modifications by highly skilled consultants who command higher compensation. This increase in operating expenses is somewhat offset by increased late fees for loans that become delinquent but do not enter the foreclosure process. When loans are performing, we have limited interaction with the borro wers, and relatively low-cost customer service personnel conduct most of those interactions.</w:t>
      </w:r>
    </w:p>
    <w:p>
      <w:pPr>
        <w:spacing w:after="0" w:line="220" w:lineRule="exact"/>
        <w:rPr>
          <w:sz w:val="20"/>
          <w:szCs w:val="20"/>
          <w:color w:val="auto"/>
        </w:rPr>
      </w:pPr>
    </w:p>
    <w:p>
      <w:pPr>
        <w:ind w:right="160" w:firstLine="747"/>
        <w:spacing w:after="0" w:line="255" w:lineRule="auto"/>
        <w:rPr>
          <w:sz w:val="20"/>
          <w:szCs w:val="20"/>
          <w:color w:val="auto"/>
        </w:rPr>
      </w:pPr>
      <w:r>
        <w:rPr>
          <w:rFonts w:ascii="Arial" w:cs="Arial" w:eastAsia="Arial" w:hAnsi="Arial"/>
          <w:sz w:val="18"/>
          <w:szCs w:val="18"/>
          <w:i w:val="1"/>
          <w:iCs w:val="1"/>
          <w:color w:val="auto"/>
        </w:rPr>
        <w:t>Prepayment Speed</w:t>
      </w:r>
      <w:r>
        <w:rPr>
          <w:rFonts w:ascii="Arial" w:cs="Arial" w:eastAsia="Arial" w:hAnsi="Arial"/>
          <w:sz w:val="18"/>
          <w:szCs w:val="18"/>
          <w:color w:val="auto"/>
        </w:rPr>
        <w:t>. The rate at which the UPB for a pool or pools of loans declines has a significant impact on our business. Items reducing UPB</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normal principal and interest payments, refinancing, loan modifications involving forgiveness of principal and interest, voluntary property sales and involuntary property sales such as foreclosures. Prepayment speed impacts future servicing fees, amortization of servicing rights, float income, interest expense on advances and compensating interest expense. If we expect prepayment speed to increase, amortization expense will increase because MSRs are amortized in proportion to total expect ed servicing income over the life of a portfolio. The converse is true when expectations for prepayment speed decrease.</w:t>
      </w:r>
    </w:p>
    <w:p>
      <w:pPr>
        <w:spacing w:after="0" w:line="220" w:lineRule="exact"/>
        <w:rPr>
          <w:sz w:val="20"/>
          <w:szCs w:val="20"/>
          <w:color w:val="auto"/>
        </w:rPr>
      </w:pPr>
    </w:p>
    <w:p>
      <w:pPr>
        <w:ind w:right="80" w:firstLine="747"/>
        <w:spacing w:after="0" w:line="279" w:lineRule="auto"/>
        <w:rPr>
          <w:sz w:val="20"/>
          <w:szCs w:val="20"/>
          <w:color w:val="auto"/>
        </w:rPr>
      </w:pPr>
      <w:r>
        <w:rPr>
          <w:rFonts w:ascii="Arial" w:cs="Arial" w:eastAsia="Arial" w:hAnsi="Arial"/>
          <w:sz w:val="17"/>
          <w:szCs w:val="17"/>
          <w:color w:val="auto"/>
        </w:rPr>
        <w:t>Prepayment speeds also affect our float income since decreased prepayment speeds lead to lower float income due to lower invested balances and lower compensating interest expense. Compensating interest represents the difference between the full month of interest that we are required to remit to the REMIC Trustee in the month that a loan pays off and the amount of interest that we actually collect from the borrower for that month. Compensating interest expense is included in “Servicing and origination expenses” in our consolidated statements of operations.</w:t>
      </w:r>
    </w:p>
    <w:p>
      <w:pPr>
        <w:spacing w:after="0" w:line="194" w:lineRule="exact"/>
        <w:rPr>
          <w:sz w:val="20"/>
          <w:szCs w:val="20"/>
          <w:color w:val="auto"/>
        </w:rPr>
      </w:pPr>
    </w:p>
    <w:p>
      <w:pPr>
        <w:ind w:right="280" w:firstLine="744"/>
        <w:spacing w:after="0" w:line="256" w:lineRule="auto"/>
        <w:rPr>
          <w:sz w:val="20"/>
          <w:szCs w:val="20"/>
          <w:color w:val="auto"/>
        </w:rPr>
      </w:pPr>
      <w:r>
        <w:rPr>
          <w:rFonts w:ascii="Arial" w:cs="Arial" w:eastAsia="Arial" w:hAnsi="Arial"/>
          <w:sz w:val="18"/>
          <w:szCs w:val="18"/>
          <w:b w:val="1"/>
          <w:bCs w:val="1"/>
          <w:color w:val="auto"/>
        </w:rPr>
        <w:t xml:space="preserve">Third-Party Servicer Ratings. </w:t>
      </w:r>
      <w:r>
        <w:rPr>
          <w:rFonts w:ascii="Arial" w:cs="Arial" w:eastAsia="Arial" w:hAnsi="Arial"/>
          <w:sz w:val="18"/>
          <w:szCs w:val="18"/>
          <w:color w:val="auto"/>
        </w:rPr>
        <w:t>The U.S. Department of Housing and Urban Development, Freddie Mac, Fannie Mae and Ginnie Mae have</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OLS as a loan servicer. Standard &amp; Poor’s Rating Services (Standard &amp; Poor’s) has rated OLS “Strong” as a Residential Subprime Servicer and Residential Special Servicer. “Strong” represents Standard &amp; Poor’s highest ratings category. Moody’s Investors Services, Inc. (Moody’s) has rated OLS “SQ2–” as a Residential Subprime Servicer and “SQ2” as a Residential Special Servicer. “SQ2” represents Moody ’s second highest rating category. Fitch Ratings (Fitch) has rated OLS “RPS2” for Residential Subprime Servicing and “RSS2” for Residential Special Servicing. These represent Fitch’s second highest categories.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and Residuals</w:t>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Loans and Residuals segment consists of three components:</w:t>
      </w:r>
    </w:p>
    <w:p>
      <w:pPr>
        <w:spacing w:after="0" w:line="252" w:lineRule="exact"/>
        <w:rPr>
          <w:sz w:val="20"/>
          <w:szCs w:val="20"/>
          <w:color w:val="auto"/>
        </w:rPr>
      </w:pPr>
    </w:p>
    <w:p>
      <w:pPr>
        <w:ind w:right="180" w:firstLine="747"/>
        <w:spacing w:after="0" w:line="259" w:lineRule="auto"/>
        <w:rPr>
          <w:sz w:val="20"/>
          <w:szCs w:val="20"/>
          <w:color w:val="auto"/>
        </w:rPr>
      </w:pPr>
      <w:r>
        <w:rPr>
          <w:rFonts w:ascii="Arial" w:cs="Arial" w:eastAsia="Arial" w:hAnsi="Arial"/>
          <w:sz w:val="18"/>
          <w:szCs w:val="18"/>
          <w:i w:val="1"/>
          <w:iCs w:val="1"/>
          <w:color w:val="auto"/>
        </w:rPr>
        <w:t>Trading and investing activities</w:t>
      </w:r>
      <w:r>
        <w:rPr>
          <w:rFonts w:ascii="Arial" w:cs="Arial" w:eastAsia="Arial" w:hAnsi="Arial"/>
          <w:sz w:val="18"/>
          <w:szCs w:val="18"/>
          <w:color w:val="auto"/>
        </w:rPr>
        <w:t>. During 2007, we de-emphasized our whole loan purchase and securitization activities. Whole loans acquired but</w:t>
      </w:r>
      <w:r>
        <w:rPr>
          <w:rFonts w:ascii="Arial" w:cs="Arial" w:eastAsia="Arial" w:hAnsi="Arial"/>
          <w:sz w:val="18"/>
          <w:szCs w:val="18"/>
          <w:i w:val="1"/>
          <w:iCs w:val="1"/>
          <w:color w:val="auto"/>
        </w:rPr>
        <w:t xml:space="preserve"> </w:t>
      </w:r>
      <w:r>
        <w:rPr>
          <w:rFonts w:ascii="Arial" w:cs="Arial" w:eastAsia="Arial" w:hAnsi="Arial"/>
          <w:sz w:val="18"/>
          <w:szCs w:val="18"/>
          <w:color w:val="auto"/>
        </w:rPr>
        <w:t>not securitized and sold are held for resale. Long-term, the key driver of our results is the performance of our assets. Asset performance is significantly affected by the default risk and the underlying property values associated with our loans held for resale and with the loans underlying our mortgage backed securities.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2" w:name="page13"/>
    <w:bookmarkEnd w:id="12"/>
    <w:p>
      <w:pPr>
        <w:ind w:right="420" w:firstLine="747"/>
        <w:spacing w:after="0" w:line="286" w:lineRule="auto"/>
        <w:rPr>
          <w:sz w:val="20"/>
          <w:szCs w:val="20"/>
          <w:color w:val="auto"/>
        </w:rPr>
      </w:pPr>
      <w:r>
        <w:rPr>
          <w:rFonts w:ascii="Arial" w:cs="Arial" w:eastAsia="Arial" w:hAnsi="Arial"/>
          <w:sz w:val="17"/>
          <w:szCs w:val="17"/>
          <w:i w:val="1"/>
          <w:iCs w:val="1"/>
          <w:color w:val="auto"/>
        </w:rPr>
        <w:t>Subprime originations</w:t>
      </w:r>
      <w:r>
        <w:rPr>
          <w:rFonts w:ascii="Arial" w:cs="Arial" w:eastAsia="Arial" w:hAnsi="Arial"/>
          <w:sz w:val="17"/>
          <w:szCs w:val="17"/>
          <w:color w:val="auto"/>
        </w:rPr>
        <w:t>. In January 2007, we decided to close our subprime loan origination operation and no longer originate loans. Our loan</w:t>
      </w:r>
      <w:r>
        <w:rPr>
          <w:rFonts w:ascii="Arial" w:cs="Arial" w:eastAsia="Arial" w:hAnsi="Arial"/>
          <w:sz w:val="17"/>
          <w:szCs w:val="17"/>
          <w:i w:val="1"/>
          <w:iCs w:val="1"/>
          <w:color w:val="auto"/>
        </w:rPr>
        <w:t xml:space="preserve"> </w:t>
      </w:r>
      <w:r>
        <w:rPr>
          <w:rFonts w:ascii="Arial" w:cs="Arial" w:eastAsia="Arial" w:hAnsi="Arial"/>
          <w:sz w:val="17"/>
          <w:szCs w:val="17"/>
          <w:color w:val="auto"/>
        </w:rPr>
        <w:t>origination operation included the results of Funding America, LLC (Funding America). Our decision to discontinue the subprime loan origination component included closing Funding America. Loans originated by Funding America but not sold are held for resale.</w:t>
      </w:r>
    </w:p>
    <w:p>
      <w:pPr>
        <w:spacing w:after="0" w:line="193" w:lineRule="exact"/>
        <w:rPr>
          <w:sz w:val="20"/>
          <w:szCs w:val="20"/>
          <w:color w:val="auto"/>
        </w:rPr>
      </w:pPr>
    </w:p>
    <w:p>
      <w:pPr>
        <w:ind w:right="160" w:firstLine="747"/>
        <w:spacing w:after="0" w:line="259" w:lineRule="auto"/>
        <w:rPr>
          <w:sz w:val="20"/>
          <w:szCs w:val="20"/>
          <w:color w:val="auto"/>
        </w:rPr>
      </w:pPr>
      <w:r>
        <w:rPr>
          <w:rFonts w:ascii="Arial" w:cs="Arial" w:eastAsia="Arial" w:hAnsi="Arial"/>
          <w:sz w:val="18"/>
          <w:szCs w:val="18"/>
          <w:i w:val="1"/>
          <w:iCs w:val="1"/>
          <w:color w:val="auto"/>
        </w:rPr>
        <w:t xml:space="preserve">Consolidated securitization trusts. </w:t>
      </w:r>
      <w:r>
        <w:rPr>
          <w:rFonts w:ascii="Arial" w:cs="Arial" w:eastAsia="Arial" w:hAnsi="Arial"/>
          <w:sz w:val="18"/>
          <w:szCs w:val="18"/>
          <w:color w:val="auto"/>
        </w:rPr>
        <w:t>Effective January 1, 2010, the Loans and Residuals segment includes the four securitization trusts that we</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in our consolidated financial statements under the recently amended provisions of Accounting Standards Codification (ASC) 810, Consolidation. See Note 1 to the Consolidated Financial Statements—Securitizations or Asset Backed Financing Arrangements for additional information regarding these consolidated trusts.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 Vehicles</w:t>
      </w:r>
    </w:p>
    <w:p>
      <w:pPr>
        <w:spacing w:after="0" w:line="256" w:lineRule="exact"/>
        <w:rPr>
          <w:sz w:val="20"/>
          <w:szCs w:val="20"/>
          <w:color w:val="auto"/>
        </w:rPr>
      </w:pPr>
    </w:p>
    <w:p>
      <w:pPr>
        <w:jc w:val="both"/>
        <w:ind w:right="20" w:firstLine="747"/>
        <w:spacing w:after="0" w:line="264" w:lineRule="auto"/>
        <w:rPr>
          <w:sz w:val="20"/>
          <w:szCs w:val="20"/>
          <w:color w:val="auto"/>
        </w:rPr>
      </w:pPr>
      <w:r>
        <w:rPr>
          <w:rFonts w:ascii="Arial" w:cs="Arial" w:eastAsia="Arial" w:hAnsi="Arial"/>
          <w:sz w:val="18"/>
          <w:szCs w:val="18"/>
          <w:color w:val="auto"/>
        </w:rPr>
        <w:t>In 2007, we began developing asset management vehicles to provide us with a source of servicing growth by involving third parties in the funding of these entities. Due to a lack of opportunities to profitably acquire assets, we are now allowing the assets of the existing asset management vehicles to run off.</w:t>
      </w:r>
    </w:p>
    <w:p>
      <w:pPr>
        <w:spacing w:after="0" w:line="181" w:lineRule="exact"/>
        <w:rPr>
          <w:sz w:val="20"/>
          <w:szCs w:val="20"/>
          <w:color w:val="auto"/>
        </w:rPr>
      </w:pPr>
    </w:p>
    <w:p>
      <w:pPr>
        <w:ind w:right="160" w:firstLine="747"/>
        <w:spacing w:after="0" w:line="276" w:lineRule="auto"/>
        <w:rPr>
          <w:sz w:val="20"/>
          <w:szCs w:val="20"/>
          <w:color w:val="auto"/>
        </w:rPr>
      </w:pPr>
      <w:r>
        <w:rPr>
          <w:rFonts w:ascii="Arial" w:cs="Arial" w:eastAsia="Arial" w:hAnsi="Arial"/>
          <w:sz w:val="17"/>
          <w:szCs w:val="17"/>
          <w:i w:val="1"/>
          <w:iCs w:val="1"/>
          <w:color w:val="auto"/>
        </w:rPr>
        <w:t xml:space="preserve">Ocwen Structured Investments, LLC (OSI). </w:t>
      </w:r>
      <w:r>
        <w:rPr>
          <w:rFonts w:ascii="Arial" w:cs="Arial" w:eastAsia="Arial" w:hAnsi="Arial"/>
          <w:sz w:val="17"/>
          <w:szCs w:val="17"/>
          <w:color w:val="auto"/>
        </w:rPr>
        <w:t>To date we have invested $37,500 in OSI. Our commitment to invest additional capital expired on</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18, 2008. Our ownership interest in OSI is 25%. OSI invested primarily in MSRs and the related lower tranches and residuals of residential mortgage-backed securities, the credit risk of which we partially mitigated through the use of credit default swaps which have now expired or been sold. Under agreements that we entered into with OSI, we are responsible for providing various management services and for subservicing the portfolio of loans underlying its MSRs. During 2010, we received distri butions from OSI totaling $875 that represent return of capital.</w:t>
      </w:r>
    </w:p>
    <w:p>
      <w:pPr>
        <w:spacing w:after="0" w:line="173" w:lineRule="exact"/>
        <w:rPr>
          <w:sz w:val="20"/>
          <w:szCs w:val="20"/>
          <w:color w:val="auto"/>
        </w:rPr>
      </w:pPr>
    </w:p>
    <w:p>
      <w:pPr>
        <w:ind w:right="20" w:firstLine="747"/>
        <w:spacing w:after="0" w:line="276" w:lineRule="auto"/>
        <w:rPr>
          <w:sz w:val="20"/>
          <w:szCs w:val="20"/>
          <w:color w:val="auto"/>
        </w:rPr>
      </w:pPr>
      <w:r>
        <w:rPr>
          <w:rFonts w:ascii="Arial" w:cs="Arial" w:eastAsia="Arial" w:hAnsi="Arial"/>
          <w:sz w:val="17"/>
          <w:szCs w:val="17"/>
          <w:i w:val="1"/>
          <w:iCs w:val="1"/>
          <w:color w:val="auto"/>
        </w:rPr>
        <w:t xml:space="preserve">Ocwen Nonperforming Loans, LLC (ONL). </w:t>
      </w:r>
      <w:r>
        <w:rPr>
          <w:rFonts w:ascii="Arial" w:cs="Arial" w:eastAsia="Arial" w:hAnsi="Arial"/>
          <w:sz w:val="17"/>
          <w:szCs w:val="17"/>
          <w:color w:val="auto"/>
        </w:rPr>
        <w:t>Our investments in ONL and its related entities represent approximately a 25% equity interest. To date</w:t>
      </w:r>
      <w:r>
        <w:rPr>
          <w:rFonts w:ascii="Arial" w:cs="Arial" w:eastAsia="Arial" w:hAnsi="Arial"/>
          <w:sz w:val="17"/>
          <w:szCs w:val="17"/>
          <w:i w:val="1"/>
          <w:iCs w:val="1"/>
          <w:color w:val="auto"/>
        </w:rPr>
        <w:t xml:space="preserve"> </w:t>
      </w:r>
      <w:r>
        <w:rPr>
          <w:rFonts w:ascii="Arial" w:cs="Arial" w:eastAsia="Arial" w:hAnsi="Arial"/>
          <w:sz w:val="17"/>
          <w:szCs w:val="17"/>
          <w:color w:val="auto"/>
        </w:rPr>
        <w:t>we have invested a combined $37,623 in ONL and its related entities. Our commitment to invest additional capital expired on September 13, 2010. These entities invested both in non-performing residential loans purchased at a discount and in foreclosed real estate. Under agreements that we have entered into with ONL and affiliates, we provide various management services and act as the servicer of the loans and foreclosed real estate. During 2010, we received distributions from ONL and related entitie s totaling $2,667 that represent return of capital.</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account for our investments in OSI and ONL using the equity method.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Services, Financial Services and Technology Products</w:t>
      </w:r>
    </w:p>
    <w:p>
      <w:pPr>
        <w:spacing w:after="0" w:line="256" w:lineRule="exact"/>
        <w:rPr>
          <w:sz w:val="20"/>
          <w:szCs w:val="20"/>
          <w:color w:val="auto"/>
        </w:rPr>
      </w:pPr>
    </w:p>
    <w:p>
      <w:pPr>
        <w:ind w:firstLine="747"/>
        <w:spacing w:after="0" w:line="264" w:lineRule="auto"/>
        <w:rPr>
          <w:sz w:val="20"/>
          <w:szCs w:val="20"/>
          <w:color w:val="auto"/>
        </w:rPr>
      </w:pPr>
      <w:r>
        <w:rPr>
          <w:rFonts w:ascii="Arial" w:cs="Arial" w:eastAsia="Arial" w:hAnsi="Arial"/>
          <w:sz w:val="18"/>
          <w:szCs w:val="18"/>
          <w:color w:val="auto"/>
        </w:rPr>
        <w:t>Substantially all of the Mortgage Services, Financial Services and Technology Products operations were separated as of August 10, 2009 as part of the Separation of the Ocwen Solutions line of business, except for GSS and BHI (formerly BMS Holdings). As a separate, publicly traded company, Altisource Portfolio Solutions S.A. will file a Form 10-K with the SEC.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Other</w:t>
      </w:r>
    </w:p>
    <w:p>
      <w:pPr>
        <w:spacing w:after="0" w:line="256" w:lineRule="exact"/>
        <w:rPr>
          <w:sz w:val="20"/>
          <w:szCs w:val="20"/>
          <w:color w:val="auto"/>
        </w:rPr>
      </w:pPr>
    </w:p>
    <w:p>
      <w:pPr>
        <w:ind w:firstLine="747"/>
        <w:spacing w:after="0" w:line="257" w:lineRule="auto"/>
        <w:rPr>
          <w:sz w:val="20"/>
          <w:szCs w:val="20"/>
          <w:color w:val="auto"/>
        </w:rPr>
      </w:pPr>
      <w:r>
        <w:rPr>
          <w:rFonts w:ascii="Arial" w:cs="Arial" w:eastAsia="Arial" w:hAnsi="Arial"/>
          <w:sz w:val="18"/>
          <w:szCs w:val="18"/>
          <w:color w:val="auto"/>
        </w:rPr>
        <w:t>In Corporate Items and Other, we report items of revenue and expense that are not directly related to a business, business activities that are individually insignificant, interest income on short-term investments of cash and the related costs of financing these investments and certain other corporate expenses. Our corporate debt, the majority of our cash and auction rate securities are also included in Corporate Items and Other. During 2010, we received $239,555 of cash proceeds from the liquidation our remaining auction rate securities through sales, settlements of legal actions and redemptions. We realized losses of $5,903 related to these transactions.</w:t>
      </w:r>
    </w:p>
    <w:p>
      <w:pPr>
        <w:spacing w:after="0" w:line="215" w:lineRule="exact"/>
        <w:rPr>
          <w:sz w:val="20"/>
          <w:szCs w:val="20"/>
          <w:color w:val="auto"/>
        </w:rPr>
      </w:pPr>
    </w:p>
    <w:p>
      <w:pPr>
        <w:ind w:right="80" w:firstLine="747"/>
        <w:spacing w:after="0" w:line="257" w:lineRule="auto"/>
        <w:rPr>
          <w:sz w:val="20"/>
          <w:szCs w:val="20"/>
          <w:color w:val="auto"/>
        </w:rPr>
      </w:pPr>
      <w:r>
        <w:rPr>
          <w:rFonts w:ascii="Arial" w:cs="Arial" w:eastAsia="Arial" w:hAnsi="Arial"/>
          <w:sz w:val="18"/>
          <w:szCs w:val="18"/>
          <w:color w:val="auto"/>
        </w:rPr>
        <w:t>Business activities not considered to be of continuing significance include our affordable housing investment activities. In December 2010, we completed the sale of our 1% general partnership interests in three affordable housing properties. Because the carrying value of our investment in these properties was zero at the time of the sale, the proceeds from the sale resulted in our recognition of a gain of $6,036. Beginning August 10, 2009, the results of BHI (formerly BMS Holdings) and GSS are also included in Corporate Items and Other. We report the results of operations of BOK in the consolidated financial statements as discontinued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FUNDS</w:t>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meet our near-term liquidity requirements through:</w:t>
      </w:r>
    </w:p>
    <w:p>
      <w:pPr>
        <w:spacing w:after="0" w:line="252" w:lineRule="exact"/>
        <w:rPr>
          <w:sz w:val="20"/>
          <w:szCs w:val="20"/>
          <w:color w:val="auto"/>
        </w:rPr>
      </w:pPr>
    </w:p>
    <w:p>
      <w:pPr>
        <w:ind w:left="1380" w:hanging="562"/>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financings, such as match funded liabilities, lines of credit and other secured borrowings;</w:t>
      </w:r>
    </w:p>
    <w:p>
      <w:pPr>
        <w:spacing w:after="0" w:line="225" w:lineRule="exact"/>
        <w:rPr>
          <w:rFonts w:ascii="Arial" w:cs="Arial" w:eastAsia="Arial" w:hAnsi="Arial"/>
          <w:sz w:val="18"/>
          <w:szCs w:val="18"/>
          <w:color w:val="auto"/>
        </w:rPr>
      </w:pPr>
    </w:p>
    <w:p>
      <w:pPr>
        <w:ind w:left="1380" w:hanging="562"/>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funds generated by operations, such as servicing fees (including float earnings and other ancillary fees);</w:t>
      </w:r>
    </w:p>
    <w:p>
      <w:pPr>
        <w:spacing w:after="0" w:line="225" w:lineRule="exact"/>
        <w:rPr>
          <w:rFonts w:ascii="Arial" w:cs="Arial" w:eastAsia="Arial" w:hAnsi="Arial"/>
          <w:sz w:val="18"/>
          <w:szCs w:val="18"/>
          <w:color w:val="auto"/>
        </w:rPr>
      </w:pPr>
    </w:p>
    <w:p>
      <w:pPr>
        <w:ind w:left="1380" w:hanging="562"/>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collections of advances that were not financed; and</w:t>
      </w:r>
    </w:p>
    <w:p>
      <w:pPr>
        <w:spacing w:after="0" w:line="225" w:lineRule="exact"/>
        <w:rPr>
          <w:rFonts w:ascii="Arial" w:cs="Arial" w:eastAsia="Arial" w:hAnsi="Arial"/>
          <w:sz w:val="18"/>
          <w:szCs w:val="18"/>
          <w:color w:val="auto"/>
        </w:rPr>
      </w:pPr>
    </w:p>
    <w:p>
      <w:pPr>
        <w:ind w:left="1380" w:hanging="562"/>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payments received on loans held for resale.</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13" w:name="page14"/>
    <w:bookmarkEnd w:id="13"/>
    <w:p>
      <w:pPr>
        <w:ind w:left="760"/>
        <w:spacing w:after="0"/>
        <w:rPr>
          <w:sz w:val="20"/>
          <w:szCs w:val="20"/>
          <w:color w:val="auto"/>
        </w:rPr>
      </w:pPr>
      <w:r>
        <w:rPr>
          <w:rFonts w:ascii="Arial" w:cs="Arial" w:eastAsia="Arial" w:hAnsi="Arial"/>
          <w:sz w:val="18"/>
          <w:szCs w:val="18"/>
          <w:color w:val="auto"/>
        </w:rPr>
        <w:t>Our primary uses of funds are:</w:t>
      </w:r>
    </w:p>
    <w:p>
      <w:pPr>
        <w:spacing w:after="0" w:line="252" w:lineRule="exact"/>
        <w:rPr>
          <w:sz w:val="20"/>
          <w:szCs w:val="20"/>
          <w:color w:val="auto"/>
        </w:rPr>
      </w:pPr>
    </w:p>
    <w:p>
      <w:pPr>
        <w:ind w:left="1380" w:hanging="562"/>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payments for advances in excess of collections on existing servicing portfolios;</w:t>
      </w:r>
    </w:p>
    <w:p>
      <w:pPr>
        <w:spacing w:after="0" w:line="23" w:lineRule="exact"/>
        <w:rPr>
          <w:rFonts w:ascii="Arial" w:cs="Arial" w:eastAsia="Arial" w:hAnsi="Arial"/>
          <w:sz w:val="18"/>
          <w:szCs w:val="18"/>
          <w:color w:val="auto"/>
        </w:rPr>
      </w:pPr>
    </w:p>
    <w:p>
      <w:pPr>
        <w:ind w:left="1380" w:hanging="562"/>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payment of interest and operating costs;</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purchases of MSRS and related advances; and</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repayments of borrowings.</w:t>
      </w:r>
    </w:p>
    <w:p>
      <w:pPr>
        <w:spacing w:after="0" w:line="23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We closely monitor our liquidity position and ongoing funding requirements, and we invest available funds primarily in money market demand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deposits.</w:t>
      </w:r>
    </w:p>
    <w:p>
      <w:pPr>
        <w:spacing w:after="0" w:line="238" w:lineRule="exact"/>
        <w:rPr>
          <w:sz w:val="20"/>
          <w:szCs w:val="20"/>
          <w:color w:val="auto"/>
        </w:rPr>
      </w:pPr>
    </w:p>
    <w:p>
      <w:pPr>
        <w:ind w:right="60" w:firstLine="747"/>
        <w:spacing w:after="0" w:line="264" w:lineRule="auto"/>
        <w:rPr>
          <w:sz w:val="20"/>
          <w:szCs w:val="20"/>
          <w:color w:val="auto"/>
        </w:rPr>
      </w:pPr>
      <w:r>
        <w:rPr>
          <w:rFonts w:ascii="Arial" w:cs="Arial" w:eastAsia="Arial" w:hAnsi="Arial"/>
          <w:sz w:val="18"/>
          <w:szCs w:val="18"/>
          <w:color w:val="auto"/>
        </w:rPr>
        <w:t>Our ability to sustain and grow our Servicing business depends in part on our ability to maintain and expand sources of financing to fund servicing advances and to purchase new servicing rights. We finance most of our advances using variable and fixed rate match funded securitization facilities. From time to time, we also finance other assets with debt.</w:t>
      </w:r>
    </w:p>
    <w:p>
      <w:pPr>
        <w:spacing w:after="0" w:line="208" w:lineRule="exact"/>
        <w:rPr>
          <w:sz w:val="20"/>
          <w:szCs w:val="20"/>
          <w:color w:val="auto"/>
        </w:rPr>
      </w:pPr>
    </w:p>
    <w:p>
      <w:pPr>
        <w:ind w:firstLine="747"/>
        <w:spacing w:after="0" w:line="264" w:lineRule="auto"/>
        <w:rPr>
          <w:sz w:val="20"/>
          <w:szCs w:val="20"/>
          <w:color w:val="auto"/>
        </w:rPr>
      </w:pPr>
      <w:r>
        <w:rPr>
          <w:rFonts w:ascii="Arial" w:cs="Arial" w:eastAsia="Arial" w:hAnsi="Arial"/>
          <w:sz w:val="18"/>
          <w:szCs w:val="18"/>
          <w:color w:val="auto"/>
        </w:rPr>
        <w:t>Delinquency rates determine the amount of funds that we, as servicer, must advance to meet contractual requirements. Meeting the need to advance these funds requires readily available borrowing capacity. However, as noted earlier, we are generally obligated to advance funds only to the extent that we believe that the advances are recoverable from loan proceeds.</w:t>
      </w:r>
    </w:p>
    <w:p>
      <w:pPr>
        <w:spacing w:after="0" w:line="208" w:lineRule="exact"/>
        <w:rPr>
          <w:sz w:val="20"/>
          <w:szCs w:val="20"/>
          <w:color w:val="auto"/>
        </w:rPr>
      </w:pPr>
    </w:p>
    <w:p>
      <w:pPr>
        <w:jc w:val="both"/>
        <w:ind w:right="180" w:firstLine="747"/>
        <w:spacing w:after="0" w:line="277" w:lineRule="auto"/>
        <w:rPr>
          <w:sz w:val="20"/>
          <w:szCs w:val="20"/>
          <w:color w:val="auto"/>
        </w:rPr>
      </w:pPr>
      <w:r>
        <w:rPr>
          <w:rFonts w:ascii="Arial" w:cs="Arial" w:eastAsia="Arial" w:hAnsi="Arial"/>
          <w:sz w:val="18"/>
          <w:szCs w:val="18"/>
          <w:color w:val="auto"/>
        </w:rPr>
        <w:t>See “Management’s Discussion and Analysis of Financial Condition and Results of Operations—Liquidity and Capital Resources” for additional financial information regarding our sources of funds.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 discussion of competition as it relates to our primary businesses appears in Item 1A, “Risk Factors.”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 list of our significant subsidiaries is set forth in Exhibit 21.0.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jc w:val="both"/>
        <w:ind w:right="180" w:firstLine="737"/>
        <w:spacing w:after="0" w:line="264" w:lineRule="auto"/>
        <w:rPr>
          <w:sz w:val="20"/>
          <w:szCs w:val="20"/>
          <w:color w:val="auto"/>
        </w:rPr>
      </w:pPr>
      <w:r>
        <w:rPr>
          <w:rFonts w:ascii="Arial" w:cs="Arial" w:eastAsia="Arial" w:hAnsi="Arial"/>
          <w:sz w:val="18"/>
          <w:szCs w:val="18"/>
          <w:color w:val="auto"/>
        </w:rPr>
        <w:t>As of December 31, 2010, we had 2,274 employees, of which 291 were resident in our U.S. facilities, 1,854 were resident in our India operations centers and 129 were based in Uruguay. We have developed our India operations centers over the past nine years. Our Uruguay operation center, located in Montevideo, has been in existence since 2008.</w:t>
      </w:r>
    </w:p>
    <w:p>
      <w:pPr>
        <w:spacing w:after="0" w:line="208" w:lineRule="exact"/>
        <w:rPr>
          <w:sz w:val="20"/>
          <w:szCs w:val="20"/>
          <w:color w:val="auto"/>
        </w:rPr>
      </w:pPr>
    </w:p>
    <w:p>
      <w:pPr>
        <w:ind w:firstLine="747"/>
        <w:spacing w:after="0" w:line="277" w:lineRule="auto"/>
        <w:rPr>
          <w:sz w:val="20"/>
          <w:szCs w:val="20"/>
          <w:color w:val="auto"/>
        </w:rPr>
      </w:pPr>
      <w:r>
        <w:rPr>
          <w:rFonts w:ascii="Arial" w:cs="Arial" w:eastAsia="Arial" w:hAnsi="Arial"/>
          <w:sz w:val="18"/>
          <w:szCs w:val="18"/>
          <w:color w:val="auto"/>
        </w:rPr>
        <w:t>In the U.S., the majority our employees were in our West Palm Beach, Florida facility, which had 251 employees as of December 31, 2010. We had 40 employees at various other locations in the U.S.</w:t>
      </w:r>
    </w:p>
    <w:p>
      <w:pPr>
        <w:spacing w:after="0" w:line="197" w:lineRule="exact"/>
        <w:rPr>
          <w:sz w:val="20"/>
          <w:szCs w:val="20"/>
          <w:color w:val="auto"/>
        </w:rPr>
      </w:pPr>
    </w:p>
    <w:p>
      <w:pPr>
        <w:ind w:right="240" w:firstLine="747"/>
        <w:spacing w:after="0" w:line="277" w:lineRule="auto"/>
        <w:rPr>
          <w:sz w:val="20"/>
          <w:szCs w:val="20"/>
          <w:color w:val="auto"/>
        </w:rPr>
      </w:pPr>
      <w:r>
        <w:rPr>
          <w:rFonts w:ascii="Arial" w:cs="Arial" w:eastAsia="Arial" w:hAnsi="Arial"/>
          <w:sz w:val="18"/>
          <w:szCs w:val="18"/>
          <w:color w:val="auto"/>
        </w:rPr>
        <w:t>Of our employees in India as of December 31, 2010, 1,298 were in our Bangalore facility and 556 were in our Mumbai facility. Our India-based workforce is deployed as follows:</w:t>
      </w:r>
    </w:p>
    <w:p>
      <w:pPr>
        <w:spacing w:after="0" w:line="197" w:lineRule="exact"/>
        <w:rPr>
          <w:sz w:val="20"/>
          <w:szCs w:val="20"/>
          <w:color w:val="auto"/>
        </w:rPr>
      </w:pPr>
    </w:p>
    <w:p>
      <w:pPr>
        <w:ind w:left="1380" w:hanging="562"/>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89% are in Servicing,</w:t>
      </w:r>
    </w:p>
    <w:p>
      <w:pPr>
        <w:spacing w:after="0" w:line="225" w:lineRule="exact"/>
        <w:rPr>
          <w:rFonts w:ascii="Arial" w:cs="Arial" w:eastAsia="Arial" w:hAnsi="Arial"/>
          <w:sz w:val="18"/>
          <w:szCs w:val="18"/>
          <w:color w:val="auto"/>
        </w:rPr>
      </w:pPr>
    </w:p>
    <w:p>
      <w:pPr>
        <w:ind w:left="1380" w:hanging="562"/>
        <w:spacing w:after="0"/>
        <w:tabs>
          <w:tab w:leader="none" w:pos="1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10% are in support functions, including Human Resources, Corporate Services, Accounting, Legal and Risk Management and</w:t>
      </w:r>
    </w:p>
    <w:p>
      <w:pPr>
        <w:spacing w:after="0" w:line="236" w:lineRule="exact"/>
        <w:rPr>
          <w:rFonts w:ascii="Arial" w:cs="Arial" w:eastAsia="Arial" w:hAnsi="Arial"/>
          <w:sz w:val="17"/>
          <w:szCs w:val="17"/>
          <w:color w:val="auto"/>
        </w:rPr>
      </w:pPr>
    </w:p>
    <w:p>
      <w:pPr>
        <w:ind w:left="1380" w:hanging="562"/>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 are in other business segments.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56" w:lineRule="exact"/>
        <w:rPr>
          <w:sz w:val="20"/>
          <w:szCs w:val="20"/>
          <w:color w:val="auto"/>
        </w:rPr>
      </w:pPr>
    </w:p>
    <w:p>
      <w:pPr>
        <w:ind w:firstLine="747"/>
        <w:spacing w:after="0" w:line="276" w:lineRule="auto"/>
        <w:rPr>
          <w:sz w:val="20"/>
          <w:szCs w:val="20"/>
          <w:color w:val="auto"/>
        </w:rPr>
      </w:pPr>
      <w:r>
        <w:rPr>
          <w:rFonts w:ascii="Arial" w:cs="Arial" w:eastAsia="Arial" w:hAnsi="Arial"/>
          <w:sz w:val="17"/>
          <w:szCs w:val="17"/>
          <w:color w:val="auto"/>
        </w:rPr>
        <w:t>Our business is subject to extensive regulation by federal, state and local governmental authorities including the Federal Trade Commission and the SEC. We are also subject to regulation by the state agencies that license our mortgage servicing and collection activities in a number of states. We are subject to audits and examinations conducted by these state agencies. From time to time, we may receive requests from federal, state and local agencies for records, documents and information relating to our policies, procedures and practices regarding our loan servicing and debt collection activities. We will incur significant ongoing costs to comply with new and existing laws and governmental reg ulation of our business.</w:t>
      </w:r>
    </w:p>
    <w:p>
      <w:pPr>
        <w:spacing w:after="0" w:line="173" w:lineRule="exact"/>
        <w:rPr>
          <w:sz w:val="20"/>
          <w:szCs w:val="20"/>
          <w:color w:val="auto"/>
        </w:rPr>
      </w:pPr>
    </w:p>
    <w:p>
      <w:pPr>
        <w:ind w:right="20" w:firstLine="744"/>
        <w:spacing w:after="0" w:line="276" w:lineRule="auto"/>
        <w:rPr>
          <w:sz w:val="20"/>
          <w:szCs w:val="20"/>
          <w:color w:val="auto"/>
        </w:rPr>
      </w:pPr>
      <w:r>
        <w:rPr>
          <w:rFonts w:ascii="Arial" w:cs="Arial" w:eastAsia="Arial" w:hAnsi="Arial"/>
          <w:sz w:val="17"/>
          <w:szCs w:val="17"/>
          <w:color w:val="auto"/>
        </w:rPr>
        <w:t>We must comply with a number of federal, state and local consumer protection laws including, among others, the Gramm-Leach-Bliley Act, the Fair Debt Collection Practices Act, the Real Estate Settlement Procedures Act (“RESPA”), the Truth in Lending Act (“TILA”), the Fair Credit Reporting Act, Homeowners Protection Act, the Federal Trade Commission Act and state foreclosure laws. These statutes apply to debt collection, use of credit reports, safeguarding of non−public personally identifiable information about our customers, foreclosure and claims handling, investment of and interest payments on escrow balances, fees and escrow payment features, and they mandate c ertain disclosures and notices to borrowers.</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14" w:name="page15"/>
    <w:bookmarkEnd w:id="14"/>
    <w:p>
      <w:pPr>
        <w:ind w:left="600"/>
        <w:spacing w:after="0"/>
        <w:rPr>
          <w:sz w:val="20"/>
          <w:szCs w:val="20"/>
          <w:color w:val="auto"/>
        </w:rPr>
      </w:pPr>
      <w:r>
        <w:rPr>
          <w:rFonts w:ascii="Arial" w:cs="Arial" w:eastAsia="Arial" w:hAnsi="Arial"/>
          <w:sz w:val="22"/>
          <w:szCs w:val="22"/>
          <w:color w:val="auto"/>
        </w:rPr>
        <w:t>Our failure to comply with applicable federal, state and local consumer protection laws can lead to:</w:t>
      </w:r>
    </w:p>
    <w:p>
      <w:pPr>
        <w:spacing w:after="0" w:line="240" w:lineRule="exact"/>
        <w:rPr>
          <w:sz w:val="20"/>
          <w:szCs w:val="20"/>
          <w:color w:val="auto"/>
        </w:rPr>
      </w:pPr>
    </w:p>
    <w:p>
      <w:pPr>
        <w:ind w:left="1380" w:hanging="562"/>
        <w:spacing w:after="0"/>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civil and criminal liability;</w:t>
      </w:r>
    </w:p>
    <w:p>
      <w:pPr>
        <w:spacing w:after="0" w:line="225" w:lineRule="exact"/>
        <w:rPr>
          <w:rFonts w:ascii="Arial" w:cs="Arial" w:eastAsia="Arial" w:hAnsi="Arial"/>
          <w:sz w:val="18"/>
          <w:szCs w:val="18"/>
          <w:color w:val="auto"/>
        </w:rPr>
      </w:pPr>
    </w:p>
    <w:p>
      <w:pPr>
        <w:ind w:left="1380" w:hanging="562"/>
        <w:spacing w:after="0"/>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our licenses and approvals to engage in the servicing of residential mortgage loans;</w:t>
      </w:r>
    </w:p>
    <w:p>
      <w:pPr>
        <w:spacing w:after="0" w:line="225" w:lineRule="exact"/>
        <w:rPr>
          <w:rFonts w:ascii="Arial" w:cs="Arial" w:eastAsia="Arial" w:hAnsi="Arial"/>
          <w:sz w:val="18"/>
          <w:szCs w:val="18"/>
          <w:color w:val="auto"/>
        </w:rPr>
      </w:pPr>
    </w:p>
    <w:p>
      <w:pPr>
        <w:ind w:left="1380" w:hanging="562"/>
        <w:spacing w:after="0"/>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damage to our reputation in the industry;</w:t>
      </w:r>
    </w:p>
    <w:p>
      <w:pPr>
        <w:spacing w:after="0" w:line="225" w:lineRule="exact"/>
        <w:rPr>
          <w:rFonts w:ascii="Arial" w:cs="Arial" w:eastAsia="Arial" w:hAnsi="Arial"/>
          <w:sz w:val="18"/>
          <w:szCs w:val="18"/>
          <w:color w:val="auto"/>
        </w:rPr>
      </w:pPr>
    </w:p>
    <w:p>
      <w:pPr>
        <w:ind w:left="1380" w:hanging="562"/>
        <w:spacing w:after="0"/>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raise capital;</w:t>
      </w:r>
    </w:p>
    <w:p>
      <w:pPr>
        <w:spacing w:after="0" w:line="225" w:lineRule="exact"/>
        <w:rPr>
          <w:rFonts w:ascii="Arial" w:cs="Arial" w:eastAsia="Arial" w:hAnsi="Arial"/>
          <w:sz w:val="18"/>
          <w:szCs w:val="18"/>
          <w:color w:val="auto"/>
        </w:rPr>
      </w:pPr>
    </w:p>
    <w:p>
      <w:pPr>
        <w:ind w:left="1380" w:hanging="562"/>
        <w:spacing w:after="0"/>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administrative fines and penalties and litigation, including class action lawsuits; and</w:t>
      </w:r>
    </w:p>
    <w:p>
      <w:pPr>
        <w:spacing w:after="0" w:line="225" w:lineRule="exact"/>
        <w:rPr>
          <w:rFonts w:ascii="Arial" w:cs="Arial" w:eastAsia="Arial" w:hAnsi="Arial"/>
          <w:sz w:val="18"/>
          <w:szCs w:val="18"/>
          <w:color w:val="auto"/>
        </w:rPr>
      </w:pPr>
    </w:p>
    <w:p>
      <w:pPr>
        <w:ind w:left="1380" w:hanging="562"/>
        <w:spacing w:after="0"/>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governmental investigations and enforcement actions.</w:t>
      </w:r>
    </w:p>
    <w:p>
      <w:pPr>
        <w:spacing w:after="0" w:line="252" w:lineRule="exact"/>
        <w:rPr>
          <w:sz w:val="20"/>
          <w:szCs w:val="20"/>
          <w:color w:val="auto"/>
        </w:rPr>
      </w:pPr>
    </w:p>
    <w:p>
      <w:pPr>
        <w:ind w:right="20" w:firstLine="744"/>
        <w:spacing w:after="0" w:line="257" w:lineRule="auto"/>
        <w:rPr>
          <w:sz w:val="20"/>
          <w:szCs w:val="20"/>
          <w:color w:val="auto"/>
        </w:rPr>
      </w:pPr>
      <w:r>
        <w:rPr>
          <w:rFonts w:ascii="Arial" w:cs="Arial" w:eastAsia="Arial" w:hAnsi="Arial"/>
          <w:sz w:val="18"/>
          <w:szCs w:val="18"/>
          <w:color w:val="auto"/>
        </w:rPr>
        <w:t>The recent trend among federal, state and local lawmakers and regulators has been toward increasing laws, regulations and investigative proceedings with regard to the residential real estate lenders and servicers. Over the past few years, state and federal lawmakers and regulators have adopted a variety of new or expanded laws and regulations, including the recently enacted Dodd-Frank Wall Street Reform and Consumer Protection Act (the “Dodd-Frank Act”) discussed below. The changes in these regulatory and legal requirements, including changes in their enforcement, could materially and adversely affect our business and our financial condition, liquidity and results of operations.</w:t>
      </w:r>
    </w:p>
    <w:p>
      <w:pPr>
        <w:spacing w:after="0" w:line="188" w:lineRule="exact"/>
        <w:rPr>
          <w:sz w:val="20"/>
          <w:szCs w:val="20"/>
          <w:color w:val="auto"/>
        </w:rPr>
      </w:pPr>
    </w:p>
    <w:p>
      <w:pPr>
        <w:ind w:right="240" w:firstLine="747"/>
        <w:spacing w:after="0" w:line="279" w:lineRule="auto"/>
        <w:rPr>
          <w:sz w:val="20"/>
          <w:szCs w:val="20"/>
          <w:color w:val="auto"/>
        </w:rPr>
      </w:pPr>
      <w:r>
        <w:rPr>
          <w:rFonts w:ascii="Arial" w:cs="Arial" w:eastAsia="Arial" w:hAnsi="Arial"/>
          <w:sz w:val="17"/>
          <w:szCs w:val="17"/>
          <w:color w:val="auto"/>
        </w:rPr>
        <w:t>On July 21, 2010, the Dodd-Frank Act was signed into law by President Obama. The Dodd-Frank Act constitutes a sweeping reform of the regulation and supervision of financial institutions, as well as the regulation of derivatives, capital market activities and consumer financial services. Many provisions of the Dodd-Frank Act are required to be implemented through rulemaking by the appropriate federal regulatory agency. The ultimate impact of the Dodd-Frank Act and its effects on our business will therefore not be fully known for an extended period of time.</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Dodd-Frank Act is extensive and significant legislation that, among other things:</w:t>
      </w:r>
    </w:p>
    <w:p>
      <w:pPr>
        <w:spacing w:after="0" w:line="225" w:lineRule="exact"/>
        <w:rPr>
          <w:sz w:val="20"/>
          <w:szCs w:val="20"/>
          <w:color w:val="auto"/>
        </w:rPr>
      </w:pPr>
    </w:p>
    <w:p>
      <w:pPr>
        <w:ind w:left="1380" w:right="240" w:hanging="562"/>
        <w:spacing w:after="0" w:line="277" w:lineRule="auto"/>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creates an inter-agency body that is responsible for monitoring the activities of the financial system and recommending a framework for substantially increased regulation of large interconnected financial services firms;</w:t>
      </w:r>
    </w:p>
    <w:p>
      <w:pPr>
        <w:spacing w:after="0" w:line="170" w:lineRule="exact"/>
        <w:rPr>
          <w:rFonts w:ascii="Arial" w:cs="Arial" w:eastAsia="Arial" w:hAnsi="Arial"/>
          <w:sz w:val="18"/>
          <w:szCs w:val="18"/>
          <w:color w:val="auto"/>
        </w:rPr>
      </w:pPr>
    </w:p>
    <w:p>
      <w:pPr>
        <w:ind w:left="1380" w:right="60" w:hanging="562"/>
        <w:spacing w:after="0" w:line="277" w:lineRule="auto"/>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creates a liquidation framework for the resolution of certain bank holding companies and other large and interconnected nonbank financial companies;</w:t>
      </w:r>
    </w:p>
    <w:p>
      <w:pPr>
        <w:spacing w:after="0" w:line="170" w:lineRule="exact"/>
        <w:rPr>
          <w:rFonts w:ascii="Arial" w:cs="Arial" w:eastAsia="Arial" w:hAnsi="Arial"/>
          <w:sz w:val="18"/>
          <w:szCs w:val="18"/>
          <w:color w:val="auto"/>
        </w:rPr>
      </w:pPr>
    </w:p>
    <w:p>
      <w:pPr>
        <w:ind w:left="1380" w:hanging="562"/>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strengthens the regulatory oversight of securities and capital markets activities by the SEC; and</w:t>
      </w:r>
    </w:p>
    <w:p>
      <w:pPr>
        <w:spacing w:after="0" w:line="225" w:lineRule="exact"/>
        <w:rPr>
          <w:rFonts w:ascii="Arial" w:cs="Arial" w:eastAsia="Arial" w:hAnsi="Arial"/>
          <w:sz w:val="18"/>
          <w:szCs w:val="18"/>
          <w:color w:val="auto"/>
        </w:rPr>
      </w:pPr>
    </w:p>
    <w:p>
      <w:pPr>
        <w:ind w:left="1380" w:right="640" w:hanging="562"/>
        <w:spacing w:after="0" w:line="277" w:lineRule="auto"/>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creates the Bureau of Consumer Financial Protection (“BCFP”), a new federal entity responsible for regulating consumer financial services.</w:t>
      </w:r>
    </w:p>
    <w:p>
      <w:pPr>
        <w:spacing w:after="0" w:line="170" w:lineRule="exact"/>
        <w:rPr>
          <w:sz w:val="20"/>
          <w:szCs w:val="20"/>
          <w:color w:val="auto"/>
        </w:rPr>
      </w:pPr>
    </w:p>
    <w:p>
      <w:pPr>
        <w:ind w:right="80" w:firstLine="744"/>
        <w:spacing w:after="0" w:line="273" w:lineRule="auto"/>
        <w:rPr>
          <w:sz w:val="20"/>
          <w:szCs w:val="20"/>
          <w:color w:val="auto"/>
        </w:rPr>
      </w:pPr>
      <w:r>
        <w:rPr>
          <w:rFonts w:ascii="Arial" w:cs="Arial" w:eastAsia="Arial" w:hAnsi="Arial"/>
          <w:sz w:val="17"/>
          <w:szCs w:val="17"/>
          <w:color w:val="auto"/>
        </w:rPr>
        <w:t>The BCFP will directly impact the regulation of residential mortgage servicing in a number of ways. First, the BCFP will have rulemaking authority with respect to many of the federal consumer protection laws applicable to mortgage servicers, including TILA and RESPA. Second, the BCFP will have supervision, examination and enforcement authority over consumer financial products and services offered by certain non-depository institutions and large insured depository institutions. The BCFP’s jurisdiction will include those persons originating, brokering or servicing residential mortgage loans and those persons performing loan modification or foreclosure relief services in connection with su ch loans. Beginning in July 2011, we expect that OLS will be subject to supervision, examination and enforcement by the BCFP.</w:t>
      </w:r>
    </w:p>
    <w:p>
      <w:pPr>
        <w:spacing w:after="0" w:line="178" w:lineRule="exact"/>
        <w:rPr>
          <w:sz w:val="20"/>
          <w:szCs w:val="20"/>
          <w:color w:val="auto"/>
        </w:rPr>
      </w:pPr>
    </w:p>
    <w:p>
      <w:pPr>
        <w:ind w:firstLine="744"/>
        <w:spacing w:after="0" w:line="297" w:lineRule="auto"/>
        <w:rPr>
          <w:sz w:val="20"/>
          <w:szCs w:val="20"/>
          <w:color w:val="auto"/>
        </w:rPr>
      </w:pPr>
      <w:r>
        <w:rPr>
          <w:rFonts w:ascii="Arial" w:cs="Arial" w:eastAsia="Arial" w:hAnsi="Arial"/>
          <w:sz w:val="16"/>
          <w:szCs w:val="16"/>
          <w:color w:val="auto"/>
        </w:rPr>
        <w:t>Title XIV of the Dodd-Frank Act contains the Mortgage Reform and Anti-Predatory Lending Act (“Mortgage Act”). The Mortgage Act imposes a number of additional requirements on servicers of residential mortgage loans, such as OLS, by amending certain existing provisions and adding new sections to TILA and RESPA. The penalties for noncompliance with TILA and RESPA are also significantly increased by the Mortgage Act and could lead to an increase in lawsuits against mortgage servicers. Like other parts of the Dodd-Frank Act, the Mortgage Act generally requires that implementing regulations be issued before many of its provisions are effective. Therefore, many of these provisions in the Mortgage Act will not be effective until 2013 or early 2014.</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5" w:name="page16"/>
    <w:bookmarkEnd w:id="15"/>
    <w:p>
      <w:pPr>
        <w:ind w:right="760" w:firstLine="744"/>
        <w:spacing w:after="0" w:line="277" w:lineRule="auto"/>
        <w:rPr>
          <w:sz w:val="20"/>
          <w:szCs w:val="20"/>
          <w:color w:val="auto"/>
        </w:rPr>
      </w:pPr>
      <w:r>
        <w:rPr>
          <w:rFonts w:ascii="Arial" w:cs="Arial" w:eastAsia="Arial" w:hAnsi="Arial"/>
          <w:sz w:val="18"/>
          <w:szCs w:val="18"/>
          <w:color w:val="auto"/>
        </w:rPr>
        <w:t>When fully implemented, the Mortgage Act will prevent servicers of residential mortgage loans from taking certain actions, including the following:</w:t>
      </w:r>
    </w:p>
    <w:p>
      <w:pPr>
        <w:spacing w:after="0" w:line="170" w:lineRule="exact"/>
        <w:rPr>
          <w:sz w:val="20"/>
          <w:szCs w:val="20"/>
          <w:color w:val="auto"/>
        </w:rPr>
      </w:pPr>
    </w:p>
    <w:p>
      <w:pPr>
        <w:ind w:left="1380" w:right="40" w:hanging="562"/>
        <w:spacing w:after="0" w:line="277" w:lineRule="auto"/>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force-placing insurance, unless there is a reasonable belief that the borrower has failed to comply with a contract’s requirement to maintain insurance;</w:t>
      </w:r>
    </w:p>
    <w:p>
      <w:pPr>
        <w:spacing w:after="0" w:line="170" w:lineRule="exact"/>
        <w:rPr>
          <w:rFonts w:ascii="Arial" w:cs="Arial" w:eastAsia="Arial" w:hAnsi="Arial"/>
          <w:sz w:val="18"/>
          <w:szCs w:val="18"/>
          <w:color w:val="auto"/>
        </w:rPr>
      </w:pPr>
    </w:p>
    <w:p>
      <w:pPr>
        <w:ind w:left="1380" w:hanging="562"/>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charging a fee for responding to a valid qualified written request;</w:t>
      </w:r>
    </w:p>
    <w:p>
      <w:pPr>
        <w:spacing w:after="0" w:line="225" w:lineRule="exact"/>
        <w:rPr>
          <w:rFonts w:ascii="Arial" w:cs="Arial" w:eastAsia="Arial" w:hAnsi="Arial"/>
          <w:sz w:val="18"/>
          <w:szCs w:val="18"/>
          <w:color w:val="auto"/>
        </w:rPr>
      </w:pPr>
    </w:p>
    <w:p>
      <w:pPr>
        <w:ind w:left="1380" w:right="700" w:hanging="562"/>
        <w:spacing w:after="0" w:line="277" w:lineRule="auto"/>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failing to take timely action to respond to the borrower’s request to correct errors related to payment, payoff amounts, or avoiding foreclosure;</w:t>
      </w:r>
    </w:p>
    <w:p>
      <w:pPr>
        <w:spacing w:after="0" w:line="170" w:lineRule="exact"/>
        <w:rPr>
          <w:rFonts w:ascii="Arial" w:cs="Arial" w:eastAsia="Arial" w:hAnsi="Arial"/>
          <w:sz w:val="18"/>
          <w:szCs w:val="18"/>
          <w:color w:val="auto"/>
        </w:rPr>
      </w:pPr>
    </w:p>
    <w:p>
      <w:pPr>
        <w:ind w:left="1380" w:right="80" w:hanging="562"/>
        <w:spacing w:after="0" w:line="277" w:lineRule="auto"/>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failing to respond within ten (10) business days of a request from the borrower to provide contact information about the owner or assignee of loan; and</w:t>
      </w:r>
    </w:p>
    <w:p>
      <w:pPr>
        <w:spacing w:after="0" w:line="170" w:lineRule="exact"/>
        <w:rPr>
          <w:rFonts w:ascii="Arial" w:cs="Arial" w:eastAsia="Arial" w:hAnsi="Arial"/>
          <w:sz w:val="18"/>
          <w:szCs w:val="18"/>
          <w:color w:val="auto"/>
        </w:rPr>
      </w:pPr>
    </w:p>
    <w:p>
      <w:pPr>
        <w:ind w:left="1380" w:right="20" w:hanging="562"/>
        <w:spacing w:after="0" w:line="277" w:lineRule="auto"/>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failing to return an escrow balance or provide a credit within twenty (20) business days of a residential mortgage loan being paid off by the borrower.</w:t>
      </w:r>
    </w:p>
    <w:p>
      <w:pPr>
        <w:spacing w:after="0" w:line="170" w:lineRule="exact"/>
        <w:rPr>
          <w:sz w:val="20"/>
          <w:szCs w:val="20"/>
          <w:color w:val="auto"/>
        </w:rPr>
      </w:pPr>
    </w:p>
    <w:p>
      <w:pPr>
        <w:ind w:right="380" w:firstLine="747"/>
        <w:spacing w:after="0" w:line="277" w:lineRule="auto"/>
        <w:rPr>
          <w:sz w:val="20"/>
          <w:szCs w:val="20"/>
          <w:color w:val="auto"/>
        </w:rPr>
      </w:pPr>
      <w:r>
        <w:rPr>
          <w:rFonts w:ascii="Arial" w:cs="Arial" w:eastAsia="Arial" w:hAnsi="Arial"/>
          <w:sz w:val="18"/>
          <w:szCs w:val="18"/>
          <w:color w:val="auto"/>
        </w:rPr>
        <w:t>In addition to these restrictions, the Mortgage Act imposes certain new requirements and/or shortens the existing response time for servicers of residential mortgage loans. These new requirements include the following:</w:t>
      </w:r>
    </w:p>
    <w:p>
      <w:pPr>
        <w:spacing w:after="0" w:line="170" w:lineRule="exact"/>
        <w:rPr>
          <w:sz w:val="20"/>
          <w:szCs w:val="20"/>
          <w:color w:val="auto"/>
        </w:rPr>
      </w:pPr>
    </w:p>
    <w:p>
      <w:pPr>
        <w:ind w:left="1380" w:right="380" w:hanging="562"/>
        <w:spacing w:after="0" w:line="277" w:lineRule="auto"/>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acknowledging receipt of a qualified written request under RESPA within five (5) business days and providing a final response within thirty (30) business days;</w:t>
      </w:r>
    </w:p>
    <w:p>
      <w:pPr>
        <w:spacing w:after="0" w:line="170" w:lineRule="exact"/>
        <w:rPr>
          <w:rFonts w:ascii="Arial" w:cs="Arial" w:eastAsia="Arial" w:hAnsi="Arial"/>
          <w:sz w:val="18"/>
          <w:szCs w:val="18"/>
          <w:color w:val="auto"/>
        </w:rPr>
      </w:pPr>
    </w:p>
    <w:p>
      <w:pPr>
        <w:ind w:left="1380" w:right="500" w:hanging="562"/>
        <w:spacing w:after="0" w:line="277" w:lineRule="auto"/>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promptly crediting mortgage payments received from the borrower on the date of receipt except where payment does not conform to previously established requirements; and</w:t>
      </w:r>
    </w:p>
    <w:p>
      <w:pPr>
        <w:spacing w:after="0" w:line="170" w:lineRule="exact"/>
        <w:rPr>
          <w:rFonts w:ascii="Arial" w:cs="Arial" w:eastAsia="Arial" w:hAnsi="Arial"/>
          <w:sz w:val="18"/>
          <w:szCs w:val="18"/>
          <w:color w:val="auto"/>
        </w:rPr>
      </w:pPr>
    </w:p>
    <w:p>
      <w:pPr>
        <w:ind w:left="1380" w:right="80" w:hanging="562"/>
        <w:spacing w:after="0" w:line="277" w:lineRule="auto"/>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sending an accurate payoff statement within a reasonable period of time but in no case more than seven (7) business days after receipt of a written request from the borrower.</w:t>
      </w:r>
    </w:p>
    <w:p>
      <w:pPr>
        <w:spacing w:after="0" w:line="170" w:lineRule="exact"/>
        <w:rPr>
          <w:sz w:val="20"/>
          <w:szCs w:val="20"/>
          <w:color w:val="auto"/>
        </w:rPr>
      </w:pPr>
    </w:p>
    <w:p>
      <w:pPr>
        <w:jc w:val="both"/>
        <w:ind w:right="420" w:firstLine="744"/>
        <w:spacing w:after="0" w:line="264" w:lineRule="auto"/>
        <w:rPr>
          <w:sz w:val="20"/>
          <w:szCs w:val="20"/>
          <w:color w:val="auto"/>
        </w:rPr>
      </w:pPr>
      <w:r>
        <w:rPr>
          <w:rFonts w:ascii="Arial" w:cs="Arial" w:eastAsia="Arial" w:hAnsi="Arial"/>
          <w:sz w:val="18"/>
          <w:szCs w:val="18"/>
          <w:color w:val="auto"/>
        </w:rPr>
        <w:t>While the effective date for many of these provisions remains at least two years away, we expect to incur significant ongoing operational and system costs in order to prepare for compliance with these new laws and regulations. Furthermore, there may be additional federal or states laws enacted during this period that place additional obligations on servicers of residential mortgage loans.</w:t>
      </w:r>
    </w:p>
    <w:p>
      <w:pPr>
        <w:spacing w:after="0" w:line="181" w:lineRule="exact"/>
        <w:rPr>
          <w:sz w:val="20"/>
          <w:szCs w:val="20"/>
          <w:color w:val="auto"/>
        </w:rPr>
      </w:pPr>
    </w:p>
    <w:p>
      <w:pPr>
        <w:ind w:right="180" w:firstLine="744"/>
        <w:spacing w:after="0" w:line="259" w:lineRule="auto"/>
        <w:rPr>
          <w:sz w:val="20"/>
          <w:szCs w:val="20"/>
          <w:color w:val="auto"/>
        </w:rPr>
      </w:pPr>
      <w:r>
        <w:rPr>
          <w:rFonts w:ascii="Arial" w:cs="Arial" w:eastAsia="Arial" w:hAnsi="Arial"/>
          <w:sz w:val="18"/>
          <w:szCs w:val="18"/>
          <w:color w:val="auto"/>
        </w:rPr>
        <w:t>We are also subject to licensing and regulation as a mortgage service provider and/or debt collector in a number of states. We are subject to audits and examinations conducted by the states. From time to time, we receive requests from state and other agencies for records, documents and information regarding our policies, procedures and practices regarding our loan servicing and debt collection business activities. We incur significant ongoing costs to comply with governmental regulations.</w:t>
      </w:r>
    </w:p>
    <w:p>
      <w:pPr>
        <w:spacing w:after="0" w:line="187" w:lineRule="exact"/>
        <w:rPr>
          <w:sz w:val="20"/>
          <w:szCs w:val="20"/>
          <w:color w:val="auto"/>
        </w:rPr>
      </w:pPr>
    </w:p>
    <w:p>
      <w:pPr>
        <w:ind w:right="40" w:firstLine="747"/>
        <w:spacing w:after="0" w:line="273" w:lineRule="auto"/>
        <w:rPr>
          <w:sz w:val="20"/>
          <w:szCs w:val="20"/>
          <w:color w:val="auto"/>
        </w:rPr>
      </w:pPr>
      <w:r>
        <w:rPr>
          <w:rFonts w:ascii="Arial" w:cs="Arial" w:eastAsia="Arial" w:hAnsi="Arial"/>
          <w:sz w:val="17"/>
          <w:szCs w:val="17"/>
          <w:color w:val="auto"/>
        </w:rPr>
        <w:t>Effective June 30, 2005, we voluntarily terminated our status as a federal savings bank. We continued the Bank’s non-depository businesses including its residential mortgage servicing business under OLS. We entered into various agreements to obtain the approval of the Office of Thrift Supervision (OTS). We directly or indirectly received assignment of all of the assets, liabilities and business (the Assignment). We entered into an agreement (the Guaranty) in favor of the OTS and any holders of claims with respect to the liabilities we assumed in connection with the Assignment. The Guaranty contains affirmative covenants relating to the maintenance of a cash collateral account, reporting requirements, transactions with affiliates, preservation of the existence of our subsidiaries and maintenance of minimum unencumbered assets.</w:t>
      </w:r>
    </w:p>
    <w:p>
      <w:pPr>
        <w:spacing w:after="0" w:line="178" w:lineRule="exact"/>
        <w:rPr>
          <w:sz w:val="20"/>
          <w:szCs w:val="20"/>
          <w:color w:val="auto"/>
        </w:rPr>
      </w:pPr>
    </w:p>
    <w:p>
      <w:pPr>
        <w:ind w:right="40" w:firstLine="744"/>
        <w:spacing w:after="0" w:line="255" w:lineRule="auto"/>
        <w:rPr>
          <w:sz w:val="20"/>
          <w:szCs w:val="20"/>
          <w:color w:val="auto"/>
        </w:rPr>
      </w:pPr>
      <w:r>
        <w:rPr>
          <w:rFonts w:ascii="Arial" w:cs="Arial" w:eastAsia="Arial" w:hAnsi="Arial"/>
          <w:sz w:val="18"/>
          <w:szCs w:val="18"/>
          <w:color w:val="auto"/>
        </w:rPr>
        <w:t>The Guaranty also contains negative covenants that restrict our ability to: incur indebtedness; enter into merger transactions or a sale of substantially all of our assets; sell, lease, transfer or otherwise dispose of our assets; or pay dividends or acquire our capital stock. The Guaranty will remain in effect until the later of (a) the sixth anniversary of the date on which our federal bank charter was cancelled or (b) the date on which we have paid in full (i) any obligations that arise out of certain assumed liabilities with respect to which a claim has been asserted on or prior to the sixth anniversary of the date on which our federal bank charter was cancelled and (ii) all other amounts payable by us under the Guaranty. For additional information regarding the Guaranty, see Note 31 to the Consolidated Financial Statements.</w:t>
      </w:r>
    </w:p>
    <w:p>
      <w:pPr>
        <w:spacing w:after="0" w:line="193" w:lineRule="exact"/>
        <w:rPr>
          <w:sz w:val="20"/>
          <w:szCs w:val="20"/>
          <w:color w:val="auto"/>
        </w:rPr>
      </w:pPr>
    </w:p>
    <w:p>
      <w:pPr>
        <w:ind w:right="200" w:firstLine="744"/>
        <w:spacing w:after="0" w:line="257" w:lineRule="auto"/>
        <w:rPr>
          <w:sz w:val="20"/>
          <w:szCs w:val="20"/>
          <w:color w:val="auto"/>
        </w:rPr>
      </w:pPr>
      <w:r>
        <w:rPr>
          <w:rFonts w:ascii="Arial" w:cs="Arial" w:eastAsia="Arial" w:hAnsi="Arial"/>
          <w:sz w:val="18"/>
          <w:szCs w:val="18"/>
          <w:color w:val="auto"/>
        </w:rPr>
        <w:t>There are a number of foreign regulations that are applicable to our operations in India including acts that govern licensing, employment, safety, taxes, insurance and the basic law which governs the creation, continuation and the winding up of companies as well as the relationships between the shareholders, the company, the public and the government. The Central Act is applicable to all of India while various state acts may be applicable to certain locations in India. Non-compliance with the laws and regulations of India could result in fines, penalties or sanctions to our operations. In addition, non-compliance could lead to loss of reputation and other penalties and prosecution.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firstLine="747"/>
        <w:spacing w:after="0" w:line="288" w:lineRule="auto"/>
        <w:rPr>
          <w:sz w:val="20"/>
          <w:szCs w:val="20"/>
          <w:color w:val="auto"/>
        </w:rPr>
      </w:pPr>
      <w:r>
        <w:rPr>
          <w:rFonts w:ascii="Arial" w:cs="Arial" w:eastAsia="Arial" w:hAnsi="Arial"/>
          <w:sz w:val="16"/>
          <w:szCs w:val="16"/>
          <w:color w:val="auto"/>
        </w:rPr>
        <w:t xml:space="preserve">Our annual report on Form 10-K, quarterly reports on Form 10-Q, current reports on Form 8-K and all amendments to those reports are made available free of charge through our website (http://www.ocwen.com) as soon as such material is electronically filed with or furnished to the SEC. The public may read or copy any materials we file with the SEC at the SEC’s Public Reference Room at 100 F Street, NE, Room 1580, Washington, DC 20549. The public may obtain information on the operation of the Public Reference Room by calling the SEC at 1-800-SEC-0330. The SEC maintains an Internet site that contains reports, proxy and information statements and other information regarding issuers, including OCN, that file electronically with the SEC. The address of that site is </w:t>
      </w:r>
      <w:r>
        <w:rPr>
          <w:rFonts w:ascii="Arial" w:cs="Arial" w:eastAsia="Arial" w:hAnsi="Arial"/>
          <w:sz w:val="16"/>
          <w:szCs w:val="16"/>
          <w:u w:val="single" w:color="auto"/>
          <w:color w:val="auto"/>
        </w:rPr>
        <w:t>www.sec.gov</w:t>
      </w:r>
      <w:r>
        <w:rPr>
          <w:rFonts w:ascii="Arial" w:cs="Arial" w:eastAsia="Arial" w:hAnsi="Arial"/>
          <w:sz w:val="16"/>
          <w:szCs w:val="16"/>
          <w:color w:val="auto"/>
        </w:rPr>
        <w:t>. We have also posted on our website, and have available in print upon request, the charters for our Audit Committee, Compensation Committee and Governance Committee, our Governance Guidelines and our Code of Ethics and Code of Ethics for Senior Financial Officers. Within the time period required by the SEC and the New York Stock Exchange, we will post on our website any amendment to or waiver of the Code of Ethics for Senior Financial Officers, as well as any amendment to the Code of Ethics or waiver thereto applicable to any executive officer or director. The information provided on our website is not part of this report and is therefore not incorporated herein by reference.</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86" w:gutter="0" w:footer="0" w:header="0"/>
        </w:sectPr>
      </w:pPr>
    </w:p>
    <w:bookmarkStart w:id="16" w:name="page17"/>
    <w:bookmarkEnd w:id="16"/>
    <w:p>
      <w:pPr>
        <w:spacing w:after="0"/>
        <w:tabs>
          <w:tab w:leader="none" w:pos="13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 (Dollars in thousands, except per share data or unless otherwise indicated)</w:t>
      </w:r>
    </w:p>
    <w:p>
      <w:pPr>
        <w:spacing w:after="0" w:line="229" w:lineRule="exact"/>
        <w:rPr>
          <w:sz w:val="20"/>
          <w:szCs w:val="20"/>
          <w:color w:val="auto"/>
        </w:rPr>
      </w:pPr>
    </w:p>
    <w:p>
      <w:pPr>
        <w:ind w:right="100" w:firstLine="737"/>
        <w:spacing w:after="0" w:line="255" w:lineRule="auto"/>
        <w:rPr>
          <w:sz w:val="20"/>
          <w:szCs w:val="20"/>
          <w:color w:val="auto"/>
        </w:rPr>
      </w:pPr>
      <w:r>
        <w:rPr>
          <w:rFonts w:ascii="Arial" w:cs="Arial" w:eastAsia="Arial" w:hAnsi="Arial"/>
          <w:sz w:val="18"/>
          <w:szCs w:val="18"/>
          <w:color w:val="auto"/>
        </w:rPr>
        <w:t>An investment in our common stock involves significant risks that are inherent to our business. We describe below the principal risks and uncertainties that management believes affect or could affect us. The risks and uncertainties described below are not the only ones facing us. Additional risks and uncertainties that management is not aware of or focused on or that management currently deems immaterial may also impair our business operations. You should carefully read and consider the risks and uncertainties described below together with all of the other information included or incorporated by reference in this report before you decide to invest in our common stock. If any of the following risks actually occur, our financial condition and results of operations could be materially and adversely affected. If this were to happen, the value of our common stock could significantly decline, and you could lose all or part of your investment.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w:t>
      </w:r>
    </w:p>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 xml:space="preserve">Continued economic slowdown and/or continued deterioration of the housing market could increase delinquencies, defaults, foreclosures and advances. </w:t>
      </w:r>
      <w:r>
        <w:rPr>
          <w:rFonts w:ascii="Arial" w:cs="Arial" w:eastAsia="Arial" w:hAnsi="Arial"/>
          <w:sz w:val="17"/>
          <w:szCs w:val="17"/>
          <w:color w:val="auto"/>
        </w:rPr>
        <w:t>An increase in delinquencies and foreclosure rates could increase both interest expense on advances and operating expenses and could cause a reduction in income from, and the value of, our servicing portfolio as well as loans and subordinate and residual securities and AMVs.</w:t>
      </w:r>
    </w:p>
    <w:p>
      <w:pPr>
        <w:spacing w:after="0" w:line="166" w:lineRule="exact"/>
        <w:rPr>
          <w:sz w:val="20"/>
          <w:szCs w:val="20"/>
          <w:color w:val="auto"/>
        </w:rPr>
      </w:pPr>
    </w:p>
    <w:p>
      <w:pPr>
        <w:ind w:right="200" w:firstLine="747"/>
        <w:spacing w:after="0" w:line="297" w:lineRule="auto"/>
        <w:rPr>
          <w:sz w:val="20"/>
          <w:szCs w:val="20"/>
          <w:color w:val="auto"/>
        </w:rPr>
      </w:pPr>
      <w:r>
        <w:rPr>
          <w:rFonts w:ascii="Arial" w:cs="Arial" w:eastAsia="Arial" w:hAnsi="Arial"/>
          <w:sz w:val="16"/>
          <w:szCs w:val="16"/>
          <w:color w:val="auto"/>
        </w:rPr>
        <w:t>During any period in which the borrower is not making payments, we are required under most of our servicing agreements to advance our own funds to meet contractual principal and interest remittance requirements for investors, pay property taxes and insurance premiums and process foreclosures. We also advance funds to maintain, repair and market real estate properties on behalf of investors. Most of our advances have the highest standing and are “top of the waterfall” so that we are entitled to repayment from respective loan or REO liquidations proceeds before any interest or principal is paid on the bonds, and in the majority of cases, advances in excess of respective loan or REO liquidation proceeds may be recovered from pool level proceeds.</w:t>
      </w:r>
    </w:p>
    <w:p>
      <w:pPr>
        <w:spacing w:after="0" w:line="158" w:lineRule="exact"/>
        <w:rPr>
          <w:sz w:val="20"/>
          <w:szCs w:val="20"/>
          <w:color w:val="auto"/>
        </w:rPr>
      </w:pPr>
    </w:p>
    <w:p>
      <w:pPr>
        <w:ind w:left="1380" w:right="120" w:hanging="562"/>
        <w:spacing w:after="0" w:line="277" w:lineRule="auto"/>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An increase in delinquencies may delay the timing of revenue recognition because we recognize servicing fees as earned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generally upon collection. An increase in delinquencies also leads to lower float balances and float earnings.</w:t>
      </w:r>
    </w:p>
    <w:p>
      <w:pPr>
        <w:spacing w:after="0" w:line="170" w:lineRule="exact"/>
        <w:rPr>
          <w:rFonts w:ascii="Arial" w:cs="Arial" w:eastAsia="Arial" w:hAnsi="Arial"/>
          <w:sz w:val="18"/>
          <w:szCs w:val="18"/>
          <w:color w:val="auto"/>
        </w:rPr>
      </w:pPr>
    </w:p>
    <w:p>
      <w:pPr>
        <w:ind w:left="1380" w:hanging="562"/>
        <w:spacing w:after="0" w:line="276" w:lineRule="auto"/>
        <w:tabs>
          <w:tab w:leader="none" w:pos="1380" w:val="left"/>
        </w:tabs>
        <w:numPr>
          <w:ilvl w:val="0"/>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Expenses. </w:t>
      </w:r>
      <w:r>
        <w:rPr>
          <w:rFonts w:ascii="Arial" w:cs="Arial" w:eastAsia="Arial" w:hAnsi="Arial"/>
          <w:sz w:val="17"/>
          <w:szCs w:val="17"/>
          <w:color w:val="auto"/>
        </w:rPr>
        <w:t>An increase in advances outstanding relative to the change in the size of the servicing portfolio can result in substantial strain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financial resources. This occurs because excess growth of advances increases financing costs with no offsetting increase in revenue, thus reducing profitability. If we are unable to fund additional advances, we could breach the requirements of our servicing contracts. Such developments could result in our losing our servicing rights, which would have a substantial negative impact on our financial condition and results of operations and could trigger cross-defaults under our various credit agreements.</w:t>
      </w:r>
    </w:p>
    <w:p>
      <w:pPr>
        <w:spacing w:after="0" w:line="172" w:lineRule="exact"/>
        <w:rPr>
          <w:rFonts w:ascii="Arial" w:cs="Arial" w:eastAsia="Arial" w:hAnsi="Arial"/>
          <w:sz w:val="17"/>
          <w:szCs w:val="17"/>
          <w:color w:val="auto"/>
        </w:rPr>
      </w:pPr>
    </w:p>
    <w:p>
      <w:pPr>
        <w:ind w:left="1380" w:right="360" w:hanging="562"/>
        <w:spacing w:after="0" w:line="277" w:lineRule="auto"/>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Valuation of MSRs. </w:t>
      </w:r>
      <w:r>
        <w:rPr>
          <w:rFonts w:ascii="Arial" w:cs="Arial" w:eastAsia="Arial" w:hAnsi="Arial"/>
          <w:sz w:val="18"/>
          <w:szCs w:val="18"/>
          <w:color w:val="auto"/>
        </w:rPr>
        <w:t>Apart from the risk of losing our servicing rights, defaults are involuntary prepayments resulting in a reduction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UPB. This may result in higher amortization and an impairment in the value of our MSRs.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We may be unable to obtain sufficient capital to meet the financing requirements of our business, which may prevent us from having sufficient funds to conduct our operations or meet our obligations on our advance facilities. </w:t>
      </w:r>
      <w:r>
        <w:rPr>
          <w:rFonts w:ascii="Arial" w:cs="Arial" w:eastAsia="Arial" w:hAnsi="Arial"/>
          <w:sz w:val="18"/>
          <w:szCs w:val="18"/>
          <w:color w:val="auto"/>
        </w:rPr>
        <w:t>Our financing strategy includes the use of significant leverage. Accordingly,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ability to finance our operations and repay maturing obligations rests in large part on our ability to borrow money. Our ability to borrow money is affected by a variety of factors including:</w:t>
      </w:r>
    </w:p>
    <w:p>
      <w:pPr>
        <w:spacing w:after="0" w:line="187" w:lineRule="exact"/>
        <w:rPr>
          <w:sz w:val="20"/>
          <w:szCs w:val="20"/>
          <w:color w:val="auto"/>
        </w:rPr>
      </w:pPr>
    </w:p>
    <w:p>
      <w:pPr>
        <w:ind w:left="1380" w:right="200" w:hanging="562"/>
        <w:spacing w:after="0" w:line="277" w:lineRule="auto"/>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imposed on us by existing lending and similar agreements that contain restrictive covenants that may limit our ability to raise additional debt;</w:t>
      </w:r>
    </w:p>
    <w:p>
      <w:pPr>
        <w:spacing w:after="0" w:line="170" w:lineRule="exact"/>
        <w:rPr>
          <w:rFonts w:ascii="Arial" w:cs="Arial" w:eastAsia="Arial" w:hAnsi="Arial"/>
          <w:sz w:val="18"/>
          <w:szCs w:val="18"/>
          <w:color w:val="auto"/>
        </w:rPr>
      </w:pPr>
    </w:p>
    <w:p>
      <w:pPr>
        <w:ind w:left="1380" w:hanging="562"/>
        <w:spacing w:after="0"/>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liquidity in the credit markets;</w:t>
      </w:r>
    </w:p>
    <w:p>
      <w:pPr>
        <w:spacing w:after="0" w:line="225" w:lineRule="exact"/>
        <w:rPr>
          <w:rFonts w:ascii="Arial" w:cs="Arial" w:eastAsia="Arial" w:hAnsi="Arial"/>
          <w:sz w:val="18"/>
          <w:szCs w:val="18"/>
          <w:color w:val="auto"/>
        </w:rPr>
      </w:pPr>
    </w:p>
    <w:p>
      <w:pPr>
        <w:ind w:left="1380" w:hanging="562"/>
        <w:spacing w:after="0"/>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strength of the lenders from whom we borrow; and</w:t>
      </w:r>
    </w:p>
    <w:p>
      <w:pPr>
        <w:spacing w:after="0" w:line="225" w:lineRule="exact"/>
        <w:rPr>
          <w:rFonts w:ascii="Arial" w:cs="Arial" w:eastAsia="Arial" w:hAnsi="Arial"/>
          <w:sz w:val="18"/>
          <w:szCs w:val="18"/>
          <w:color w:val="auto"/>
        </w:rPr>
      </w:pPr>
    </w:p>
    <w:p>
      <w:pPr>
        <w:ind w:left="1380" w:right="520" w:hanging="562"/>
        <w:spacing w:after="0" w:line="277" w:lineRule="auto"/>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on borrowing on advance facilities which is limited by the amount of eligible collateral pledged and may be less than the borrowing capacity of the facility.</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7" w:name="page18"/>
    <w:bookmarkEnd w:id="17"/>
    <w:p>
      <w:pPr>
        <w:ind w:right="20" w:firstLine="737"/>
        <w:spacing w:after="0" w:line="264" w:lineRule="auto"/>
        <w:rPr>
          <w:sz w:val="20"/>
          <w:szCs w:val="20"/>
          <w:color w:val="auto"/>
        </w:rPr>
      </w:pPr>
      <w:r>
        <w:rPr>
          <w:rFonts w:ascii="Arial" w:cs="Arial" w:eastAsia="Arial" w:hAnsi="Arial"/>
          <w:sz w:val="18"/>
          <w:szCs w:val="18"/>
          <w:color w:val="auto"/>
        </w:rPr>
        <w:t>An event of default, a negative ratings action by a rating agency, the perception of financial weakness, an adverse action by a regulatory authority, a lengthening of foreclosure timelines or a general deterioration in the economy that constricts the availability of credit may increase our cost of funds and make it difficult for us to renew existing credit facilities and obtain new lines of credit.</w:t>
      </w:r>
    </w:p>
    <w:p>
      <w:pPr>
        <w:spacing w:after="0" w:line="181" w:lineRule="exact"/>
        <w:rPr>
          <w:sz w:val="20"/>
          <w:szCs w:val="20"/>
          <w:color w:val="auto"/>
        </w:rPr>
      </w:pPr>
    </w:p>
    <w:p>
      <w:pPr>
        <w:ind w:right="20" w:firstLine="747"/>
        <w:spacing w:after="0" w:line="259" w:lineRule="auto"/>
        <w:rPr>
          <w:sz w:val="20"/>
          <w:szCs w:val="20"/>
          <w:color w:val="auto"/>
        </w:rPr>
      </w:pPr>
      <w:r>
        <w:rPr>
          <w:rFonts w:ascii="Arial" w:cs="Arial" w:eastAsia="Arial" w:hAnsi="Arial"/>
          <w:sz w:val="18"/>
          <w:szCs w:val="18"/>
          <w:color w:val="auto"/>
        </w:rPr>
        <w:t>Our advance facilities are revolving facilities, and in a typical monthly cycle, we repay up to one-third of the borrowings under these facilities from collections. During the remittance cycle, which starts in the middle of each month, we depend on our lenders to provide the cash necessary to make remittances to the Servicing investors where such new advances represent eligible collateral under our advance facilities. If one or more of these lenders were to fail, we may not have sufficient funds to meet our obligations.</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 xml:space="preserve">A significant increase in prepayment speeds or delinquencies could adversely affect our financial results. </w:t>
      </w:r>
      <w:r>
        <w:rPr>
          <w:rFonts w:ascii="Arial" w:cs="Arial" w:eastAsia="Arial" w:hAnsi="Arial"/>
          <w:sz w:val="18"/>
          <w:szCs w:val="18"/>
          <w:color w:val="auto"/>
        </w:rPr>
        <w:t>Prepayment speed is a significant driver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Prepayment speed is the measurement of how quickly borrowers pay down the UPB of their loans. Prepayment speeds have a significant impact on our revenues, our expenses and on the valuation of our MSRs as follows:</w:t>
      </w:r>
    </w:p>
    <w:p>
      <w:pPr>
        <w:spacing w:after="0" w:line="177" w:lineRule="exact"/>
        <w:rPr>
          <w:sz w:val="20"/>
          <w:szCs w:val="20"/>
          <w:color w:val="auto"/>
        </w:rPr>
      </w:pPr>
    </w:p>
    <w:p>
      <w:pPr>
        <w:ind w:left="1380" w:right="100" w:hanging="562"/>
        <w:spacing w:after="0" w:line="303" w:lineRule="auto"/>
        <w:tabs>
          <w:tab w:leader="none" w:pos="1380" w:val="left"/>
        </w:tabs>
        <w:numPr>
          <w:ilvl w:val="0"/>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prepayment speeds increase, our servicing fees will decline more rapidly because of the greater than expected decrease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UPB on which those fees are based. The reduction in servicing fees would be somewhat offset by increased float earnings because the faster repayment of loans will result in higher balances in the custodial accounts that generate the float earnings. Conversely, decreases in prepayment speeds drive increased servicing fees and lead to lower float balances and float earnings.</w:t>
      </w:r>
    </w:p>
    <w:p>
      <w:pPr>
        <w:spacing w:after="0" w:line="151" w:lineRule="exact"/>
        <w:rPr>
          <w:rFonts w:ascii="Arial" w:cs="Arial" w:eastAsia="Arial" w:hAnsi="Arial"/>
          <w:sz w:val="16"/>
          <w:szCs w:val="16"/>
          <w:color w:val="auto"/>
        </w:rPr>
      </w:pPr>
    </w:p>
    <w:p>
      <w:pPr>
        <w:ind w:left="1380" w:right="20" w:hanging="562"/>
        <w:spacing w:after="0" w:line="255" w:lineRule="auto"/>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Expenses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MSRs is our largest operating expense. Since we amortize servicing rights in proportion to total expected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over the life of a portfolio, an increase in prepayment speeds will lead to increased amortization expense as we revise downward our estimate of total expected income. Faster prepayment speeds would also result in higher compensating interest expense. Compensating interest expense represents the difference, in the month in which a loan is repaid, between the full month of interest that we are required to remit to the trust and the amount of interest that we actually collect from the borrower. Decreases in prepayment speeds lead to decreased amortization expense as the peri od over which we amortize MSRs is extended. Slower prepayment speeds also lead to lower compensating interest expense.</w:t>
      </w:r>
    </w:p>
    <w:p>
      <w:pPr>
        <w:spacing w:after="0" w:line="189" w:lineRule="exact"/>
        <w:rPr>
          <w:rFonts w:ascii="Arial" w:cs="Arial" w:eastAsia="Arial" w:hAnsi="Arial"/>
          <w:sz w:val="18"/>
          <w:szCs w:val="18"/>
          <w:color w:val="auto"/>
        </w:rPr>
      </w:pPr>
    </w:p>
    <w:p>
      <w:pPr>
        <w:ind w:left="1380" w:right="20" w:hanging="562"/>
        <w:spacing w:after="0" w:line="258" w:lineRule="auto"/>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Valuation of MSRs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base the price we pay for MSRs and the rate of amortization of those rights on, among other things, our projection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cash flows from the related pool of mortgage loans. Our expectation of prepayment speeds is a significant assumption underlying those cash flow projections. If prepayment speeds were significantly greater than expected, the carrying value of our MSRs could exceed their estimated fair value. When the carrying value of MSRs exceeds their fair value, we are required to record an impairment charge which has a negative impact on our financial results.</w:t>
      </w:r>
    </w:p>
    <w:p>
      <w:pPr>
        <w:spacing w:after="0" w:line="18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 xml:space="preserve">We may be unable to gain access to newly originated loans, which may have an adverse impact on our ability to maintain or expand our servicing portfolio. </w:t>
      </w:r>
      <w:r>
        <w:rPr>
          <w:rFonts w:ascii="Arial" w:cs="Arial" w:eastAsia="Arial" w:hAnsi="Arial"/>
          <w:sz w:val="18"/>
          <w:szCs w:val="18"/>
          <w:color w:val="auto"/>
        </w:rPr>
        <w:t>The lack of subprime originations since the middle of 2007 and uncertain prospects for acquiring other new loans to service may have an adverse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impact on our ability to maintain or expand our servicing portfolio.</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b w:val="1"/>
          <w:bCs w:val="1"/>
          <w:i w:val="1"/>
          <w:iCs w:val="1"/>
          <w:color w:val="auto"/>
        </w:rPr>
        <w:t xml:space="preserve">The value of certain of our financial investments could change and adversely affect our operating results. </w:t>
      </w:r>
      <w:r>
        <w:rPr>
          <w:rFonts w:ascii="Arial" w:cs="Arial" w:eastAsia="Arial" w:hAnsi="Arial"/>
          <w:sz w:val="16"/>
          <w:szCs w:val="16"/>
          <w:color w:val="auto"/>
        </w:rPr>
        <w:t>We have invested in loans that we hold for resale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in certain asset management vehicles that invest principally in the subordinate and residual interests of REMIC trusts that are comprised primarily of subprime mortgage loans. We believe that we have established adequate valuation allowances for declines in fair values below the cost of these assets. However, future increases to these valuation allowances may be necessary due to changes in economic conditions and the performance of these assets prior to their sale or resolution. Increases in our valuation allowance for declines in fair value below cost could adversely affect our results of operations.</w:t>
      </w:r>
    </w:p>
    <w:p>
      <w:pPr>
        <w:spacing w:after="0" w:line="158" w:lineRule="exact"/>
        <w:rPr>
          <w:sz w:val="20"/>
          <w:szCs w:val="20"/>
          <w:color w:val="auto"/>
        </w:rPr>
      </w:pPr>
    </w:p>
    <w:p>
      <w:pPr>
        <w:jc w:val="both"/>
        <w:ind w:right="100"/>
        <w:spacing w:after="0" w:line="340" w:lineRule="auto"/>
        <w:rPr>
          <w:sz w:val="20"/>
          <w:szCs w:val="20"/>
          <w:color w:val="auto"/>
        </w:rPr>
      </w:pPr>
      <w:r>
        <w:rPr>
          <w:rFonts w:ascii="Arial" w:cs="Arial" w:eastAsia="Arial" w:hAnsi="Arial"/>
          <w:sz w:val="15"/>
          <w:szCs w:val="15"/>
          <w:b w:val="1"/>
          <w:bCs w:val="1"/>
          <w:i w:val="1"/>
          <w:iCs w:val="1"/>
          <w:color w:val="auto"/>
        </w:rPr>
        <w:t xml:space="preserve">We use estimates in determining the fair value of certain assets, such as MSRs. If our estimates prove to be incorrect, we may be required to write down the value of these assets which could adversely affect our earnings. </w:t>
      </w:r>
      <w:r>
        <w:rPr>
          <w:rFonts w:ascii="Arial" w:cs="Arial" w:eastAsia="Arial" w:hAnsi="Arial"/>
          <w:sz w:val="15"/>
          <w:szCs w:val="15"/>
          <w:color w:val="auto"/>
        </w:rPr>
        <w:t>We use internal financial models that use, wherever possible, market participant data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value our MSRs. These models are complex and use asset-specific collateral data and market inputs for interest and discount rates and liquidity dates.</w:t>
      </w:r>
    </w:p>
    <w:p>
      <w:pPr>
        <w:spacing w:after="0" w:line="131" w:lineRule="exact"/>
        <w:rPr>
          <w:sz w:val="20"/>
          <w:szCs w:val="20"/>
          <w:color w:val="auto"/>
        </w:rPr>
      </w:pPr>
    </w:p>
    <w:p>
      <w:pPr>
        <w:ind w:right="160" w:firstLine="744"/>
        <w:spacing w:after="0" w:line="312" w:lineRule="auto"/>
        <w:rPr>
          <w:sz w:val="20"/>
          <w:szCs w:val="20"/>
          <w:color w:val="auto"/>
        </w:rPr>
      </w:pPr>
      <w:r>
        <w:rPr>
          <w:rFonts w:ascii="Arial" w:cs="Arial" w:eastAsia="Arial" w:hAnsi="Arial"/>
          <w:sz w:val="16"/>
          <w:szCs w:val="16"/>
          <w:color w:val="auto"/>
        </w:rPr>
        <w:t>Valuations are highly dependent upon the reasonableness of our assumptions and the predictability of the relationships that drive the results of the models. If prepayment speeds increase more than estimated, delinquency and default levels are higher than anticipated or financial market illiquidity continues beyond our estimate, we may be required to write down the value of certain assets which could adversely affect our earnings.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18" w:name="page19"/>
    <w:bookmarkEnd w:id="18"/>
    <w:p>
      <w:pPr>
        <w:ind w:right="20"/>
        <w:spacing w:after="0" w:line="290" w:lineRule="auto"/>
        <w:rPr>
          <w:sz w:val="20"/>
          <w:szCs w:val="20"/>
          <w:color w:val="auto"/>
        </w:rPr>
      </w:pPr>
      <w:r>
        <w:rPr>
          <w:rFonts w:ascii="Arial" w:cs="Arial" w:eastAsia="Arial" w:hAnsi="Arial"/>
          <w:sz w:val="16"/>
          <w:szCs w:val="16"/>
          <w:b w:val="1"/>
          <w:bCs w:val="1"/>
          <w:i w:val="1"/>
          <w:iCs w:val="1"/>
          <w:color w:val="auto"/>
        </w:rPr>
        <w:t xml:space="preserve">A downgrade in our servicer ratings could have an adverse effect on our business, financing activities, financial condition or results of operations. </w:t>
      </w:r>
      <w:r>
        <w:rPr>
          <w:rFonts w:ascii="Arial" w:cs="Arial" w:eastAsia="Arial" w:hAnsi="Arial"/>
          <w:sz w:val="16"/>
          <w:szCs w:val="16"/>
          <w:color w:val="auto"/>
        </w:rPr>
        <w:t>Standard &amp; Poor’s, Moody’s and Fitch rate us as a mortgage servicer. Our current favorable servicer ratings from these entities are important to the conduct of our loan servicing business. Servicer ratings affect our ability to finance servicing advances, as the interest rates on our match funded advance facilities can increase with downgrades in our ratings. Downgrades in our servicer ratings could also affect the terms of match funded advance facilities that we may enter into in the future. Lenders may negotiate for increases in interest rates in future match funded advance facilities or may limit t he amount of money that we can borrow to finance servicing advances if our ratings are deemed by the lenders to be too low. In addition, some of our pooling and servicing agreements may also require that the servicer maintain specified servicer ratings. Failure to maintain the specified rating may cause our termination as servicer. Any such downgrade could have an adverse effect on our business, financing activities, financial condition or results of operations.</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Governmental and legal proceedings and related costs could adversely affect our financial results. </w:t>
      </w:r>
      <w:r>
        <w:rPr>
          <w:rFonts w:ascii="Arial" w:cs="Arial" w:eastAsia="Arial" w:hAnsi="Arial"/>
          <w:sz w:val="17"/>
          <w:szCs w:val="17"/>
          <w:color w:val="auto"/>
        </w:rPr>
        <w:t>An adverse result in a governmental investigation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private lawsuits, including purported class action lawsuits, could affect our financial condition and results of operations. We and certain of our affiliates have been named as defendants in a number of purported class action lawsuits challenging our residential loan servicing practices. We have also received a Civil Investigative Demand from the Federal Trade Commission (FTC), requesting documents and information concerning various loan servicing activities. A number of our competitors and others in the industry have paid significant sums to resolve investigations initiated by the FTC and/or settle lawsuits brough t against them that raised claims similar to those raised in the lawsuits brought against us and our affiliates. We have also been made aware that a coalition of state Attorneys General (AG Coalition) is conducting an industry-wide investigation into certain acts and practices concerning the mortgage foreclosure process. We have received no notification of alleged wrongdoing from either the FTC or the AG Coalition. Furthermore, we believe that we have meritorious legal and factual defenses to the lawsuits. However, we can provide no assurances with regard to ultimate outcomes with respect to these matters. Litigation and government proceedings may require that we pay significant legal fees, settlement costs, damages, penalties or other charges, or undertake remedial actions pursuant to administrative orders or court-issued injunctions, any of which could adversely affect our financial results. For more information about our legal proceedings, see “Legal Proceedings.”</w:t>
      </w:r>
    </w:p>
    <w:p>
      <w:pPr>
        <w:spacing w:after="0" w:line="18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i w:val="1"/>
          <w:iCs w:val="1"/>
          <w:color w:val="auto"/>
        </w:rPr>
        <w:t xml:space="preserve">The expanding body of federal, state and local regulation and/or the licensing of loan servicing, collections or other aspects of our business may increase the cost of compliance and the risks of noncompliance. </w:t>
      </w:r>
      <w:r>
        <w:rPr>
          <w:rFonts w:ascii="Arial" w:cs="Arial" w:eastAsia="Arial" w:hAnsi="Arial"/>
          <w:sz w:val="16"/>
          <w:szCs w:val="16"/>
          <w:color w:val="auto"/>
        </w:rPr>
        <w:t>As noted in “Regulation,” our business is subject to extensive regulation by federal, state and local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governmental authorities and is subject to various laws and judicial and administrative decisions imposing requirements and restrictions on a substantial portion of our operations. The volume of new or modified laws and regulations has increased in recent years and, in addition, some individual municipalities have begun to enact laws that restrict loan servicing activities including delaying or temporarily preventing foreclosures or forcing the modification of certain mortgages. If our regulators impose new or more restrictive requirements, we may incur additional significant costs to comply with such requirements which may further adversely affect our results of operations or financial condition. In addition, our failure to comply with these laws and regulations could possibly lead to civil and criminal liability; loss of licensure; damage to our reputation in the industry; fines and penalties and litigation, including class action lawsuits; or administrative enforcement actions. Any of these outcomes could harm our results of operations or financial condition.</w:t>
      </w:r>
    </w:p>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 xml:space="preserve">GSE initiatives and other actions may affect mortgage servicing generally and future servicing fees in particular. </w:t>
      </w:r>
      <w:r>
        <w:rPr>
          <w:rFonts w:ascii="Arial" w:cs="Arial" w:eastAsia="Arial" w:hAnsi="Arial"/>
          <w:sz w:val="16"/>
          <w:szCs w:val="16"/>
          <w:color w:val="auto"/>
        </w:rPr>
        <w:t>On January 17, 2011, the Federal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Housing Finance Agency announced that it has instructed Fannie Mae and Freddie Mac to study possible alternatives to the current residential mortgage servicing and compensation structure employed for single-family mortgage loans prospectively. It is too early to determine what Fannie Mae and Freddie Mac may propose as alternatives, or when any such alternatives would become effective. Although our business does not focus on servicing mortgage loans that would be directly governed by Fannie Mae or Freddie Mac servicing requirements, because of the significant role Fannie Mae and Freddie Mac play in the secondary mortgag e market, it is possible that any changes that they implement could become prevalent in the mortgage servicing industry generally. Other industry stakeholders or regulators may also implement or require changes in response to the perception that current servicing practices and compensation structures do not serve broader housing policy objectives well. It is possible that these and other developments in mortgage servicing practices and compensation may result in an overall reduction in our servicing fees per loan in the future, which could adversely affect our financial results.</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9" w:name="page20"/>
    <w:bookmarkEnd w:id="19"/>
    <w:p>
      <w:pPr>
        <w:spacing w:after="0" w:line="291" w:lineRule="auto"/>
        <w:rPr>
          <w:sz w:val="20"/>
          <w:szCs w:val="20"/>
          <w:color w:val="auto"/>
        </w:rPr>
      </w:pPr>
      <w:r>
        <w:rPr>
          <w:rFonts w:ascii="Arial" w:cs="Arial" w:eastAsia="Arial" w:hAnsi="Arial"/>
          <w:sz w:val="16"/>
          <w:szCs w:val="16"/>
          <w:b w:val="1"/>
          <w:bCs w:val="1"/>
          <w:i w:val="1"/>
          <w:iCs w:val="1"/>
          <w:color w:val="auto"/>
        </w:rPr>
        <w:t xml:space="preserve">Changes to government loan modification and refinance programs may adversely affect future incremental revenues. </w:t>
      </w:r>
      <w:r>
        <w:rPr>
          <w:rFonts w:ascii="Arial" w:cs="Arial" w:eastAsia="Arial" w:hAnsi="Arial"/>
          <w:sz w:val="16"/>
          <w:szCs w:val="16"/>
          <w:color w:val="auto"/>
        </w:rPr>
        <w:t>Under government programs such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Home Affordable Modification Program, a participating servicer may be entitled to receive financial incentives in connection with modification plans it enters into with eligible borrowers and subsequent “pay for success” fees to the extent that a borrower remains current in any agreed upon loan modification. Changes in current legislative actions regarding such loan modification and refinance programs, future U.S. federal, state and/or local legislative or regulatory actions that result in the modification of outstanding mortgage loans, and changes in the requirements necessary to qualify for refinancing mortgage loans may impact the future extent to which we participate in and receive financial benefits from such programs and may have a material effect on our business. To the extent we participate in the HAMP, there is no guarantee as to the continued expectation of future incremental revenues from this source.</w:t>
      </w:r>
    </w:p>
    <w:p>
      <w:pPr>
        <w:spacing w:after="0" w:line="167" w:lineRule="exact"/>
        <w:rPr>
          <w:sz w:val="20"/>
          <w:szCs w:val="20"/>
          <w:color w:val="auto"/>
        </w:rPr>
      </w:pPr>
    </w:p>
    <w:p>
      <w:pPr>
        <w:spacing w:after="0" w:line="297" w:lineRule="auto"/>
        <w:rPr>
          <w:sz w:val="20"/>
          <w:szCs w:val="20"/>
          <w:color w:val="auto"/>
        </w:rPr>
      </w:pPr>
      <w:r>
        <w:rPr>
          <w:rFonts w:ascii="Arial" w:cs="Arial" w:eastAsia="Arial" w:hAnsi="Arial"/>
          <w:sz w:val="16"/>
          <w:szCs w:val="16"/>
          <w:b w:val="1"/>
          <w:bCs w:val="1"/>
          <w:i w:val="1"/>
          <w:iCs w:val="1"/>
          <w:color w:val="auto"/>
        </w:rPr>
        <w:t xml:space="preserve">The enactment of the Dodd-Frank Wall Street Reform and Consumer Protection Act, the SAFE Act, or other legislative and regulatory developments may adversely affect our business. </w:t>
      </w:r>
      <w:r>
        <w:rPr>
          <w:rFonts w:ascii="Arial" w:cs="Arial" w:eastAsia="Arial" w:hAnsi="Arial"/>
          <w:sz w:val="16"/>
          <w:szCs w:val="16"/>
          <w:color w:val="auto"/>
        </w:rPr>
        <w:t>The Dodd-Frank Wall Street Reform and Consumer Protection Act (Dodd-Frank Act) was signed into law on July 21, 2010.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provisions of the Dodd-Frank Act may impact our business. For example, we may be required to clear and exchange trade some or all of the swap transactions that we enter into which could result in higher cost, less transaction flexibility and price disclosure. Because many provisions of the Dodd-Frank Act require rulemaking action by governmental agencies to implement, we cannot predict the impact of the Dodd-Frank Act on Ocwen and its business.</w:t>
      </w:r>
    </w:p>
    <w:p>
      <w:pPr>
        <w:spacing w:after="0" w:line="158" w:lineRule="exact"/>
        <w:rPr>
          <w:sz w:val="20"/>
          <w:szCs w:val="20"/>
          <w:color w:val="auto"/>
        </w:rPr>
      </w:pPr>
    </w:p>
    <w:p>
      <w:pPr>
        <w:ind w:firstLine="744"/>
        <w:spacing w:after="0" w:line="270" w:lineRule="auto"/>
        <w:rPr>
          <w:sz w:val="20"/>
          <w:szCs w:val="20"/>
          <w:color w:val="auto"/>
        </w:rPr>
      </w:pPr>
      <w:r>
        <w:rPr>
          <w:rFonts w:ascii="Arial" w:cs="Arial" w:eastAsia="Arial" w:hAnsi="Arial"/>
          <w:sz w:val="17"/>
          <w:szCs w:val="17"/>
          <w:color w:val="auto"/>
        </w:rPr>
        <w:t>The Secure and Fair Enforcement for Mortgage Licensing Act of 2008 (the S.A.F.E. Act) requires the individual licensing and registration of those engaged in the business of loan origination. The S.A.F.E. Act is designed to improve accountability on the part of loan originators, combat fraud and enhance consumer protections by encouraging states to establish a national licensing system and minimum qualification requirements for applicants. The Department of Housing and Urban Development (HUD) is the federal agency charged with establishing and enforcing a licensing and registration system that meets the minimum requirements of the S.A.F.E. Act. On December 15, 2009, HUD proposed a rule that wo uld extend the licensing requirements for loan originators to servicing personnel who are performing modifications. The servicing industry has responded to this proposed rule by requesting HUD reconsider its position as the licensing costs and impact to the modification process will increase the cost of servicing, including our costs of servicing any affected mortgage loans. Comments were due on the proposed rule on March 5, 2010, and it is not known at this time whether HUD will modify its proposed licensing requirements for servicing personnel.</w:t>
      </w:r>
    </w:p>
    <w:p>
      <w:pPr>
        <w:spacing w:after="0" w:line="182" w:lineRule="exact"/>
        <w:rPr>
          <w:sz w:val="20"/>
          <w:szCs w:val="20"/>
          <w:color w:val="auto"/>
        </w:rPr>
      </w:pPr>
    </w:p>
    <w:p>
      <w:pPr>
        <w:jc w:val="both"/>
        <w:ind w:right="240" w:firstLine="737"/>
        <w:spacing w:after="0" w:line="264" w:lineRule="auto"/>
        <w:rPr>
          <w:sz w:val="20"/>
          <w:szCs w:val="20"/>
          <w:color w:val="auto"/>
        </w:rPr>
      </w:pPr>
      <w:r>
        <w:rPr>
          <w:rFonts w:ascii="Arial" w:cs="Arial" w:eastAsia="Arial" w:hAnsi="Arial"/>
          <w:sz w:val="18"/>
          <w:szCs w:val="18"/>
          <w:color w:val="auto"/>
        </w:rPr>
        <w:t>Additionally, the U.S. Congress, regulators and/or various state and local governing bodies may enact other legislation or take regulatory action designed to address mortgage servicing practices, housing finance policy or the current economic crisis that could have an adverse effect on Ocwen and its business.</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 xml:space="preserve">Regulatory scrutiny regarding foreclosure processes may increase our advances, lengthen the time it takes for us to be reimbursed for such advances, and increase the costs incurred by us during the foreclosure process. </w:t>
      </w:r>
      <w:r>
        <w:rPr>
          <w:rFonts w:ascii="Arial" w:cs="Arial" w:eastAsia="Arial" w:hAnsi="Arial"/>
          <w:sz w:val="17"/>
          <w:szCs w:val="17"/>
          <w:color w:val="auto"/>
        </w:rPr>
        <w:t>As discussed in the Strategic Priorities section and above in this Risk Factors section, state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banking regulators and state attorneys general publicly announced that they have initiated inquiries of banks and servicers regarding compliance with legal procedures in connection with mortgage foreclosures, including the preparation, execution, notarization and submission of documents, principally affidavits, filed in connection with foreclosures. The process to foreclose on properties securing residential mortgage loans is governed by state law and vari es by state. For the most part, these inquiries have arisen from the 23 so-called “judicial states”; namely, those jurisdictions that require lenders or their loan servicers to go through a judicial proceeding to obtain a foreclosure order. In these judicial states, lenders or their loan servicer are generally required to provide to the court the mortgage loan documents and a sworn and notarized affidavit of an employee or officer of the lender or its servicer with respect to the facts regarding the delinquency of the mortgage loan and the foreclosure. These affidavits are generally required to be based on the personal knowledge of the employee or officer that executes the affidavit after a review of the mortgage loan documents. Regulators from “quasi-judicial states” and “non-judicial states,” however, have made similar inquiries as well. In these states, lenders or their servicers may foreclose on a defaulted mortgage loan by delivering to the borrower a n otice of the foreclosure sale without the requirement of going through a judicial proceeding, unless the borrower contests the foreclosure or files for bankruptcy. If the borrower contests the foreclosure or files for bankruptcy in a non-judicial state, generally court proceedings, including affidavits similar to those provided in the judicial states, will be required.</w:t>
      </w:r>
    </w:p>
    <w:p>
      <w:pPr>
        <w:spacing w:after="0" w:line="185" w:lineRule="exact"/>
        <w:rPr>
          <w:sz w:val="20"/>
          <w:szCs w:val="20"/>
          <w:color w:val="auto"/>
        </w:rPr>
      </w:pPr>
    </w:p>
    <w:p>
      <w:pPr>
        <w:ind w:firstLine="747"/>
        <w:spacing w:after="0" w:line="287" w:lineRule="auto"/>
        <w:rPr>
          <w:sz w:val="20"/>
          <w:szCs w:val="20"/>
          <w:color w:val="auto"/>
        </w:rPr>
      </w:pPr>
      <w:r>
        <w:rPr>
          <w:rFonts w:ascii="Arial" w:cs="Arial" w:eastAsia="Arial" w:hAnsi="Arial"/>
          <w:sz w:val="16"/>
          <w:szCs w:val="16"/>
          <w:color w:val="auto"/>
        </w:rPr>
        <w:t>In connection with the recent governmental scrutiny of foreclosure processes and practices in the industry, the attorneys general of certain states and certain members of the U.S. Congress and state legislatures have also called for a temporary moratorium on mortgage foreclosures. Such moratoria or other action by state or federal government bodies, regulators or courts could increase the length of time to complete the foreclosure process. When a mortgage loan is in foreclosure, we are generally required to continue to advance delinquent principal and interest to the trustee of the securitization trust that owns the mortgage loan to the extent we determine that such amounts are recoverable an d to also make advances for delinquent taxes and insurance and foreclosure costs and the upkeep of vacant property in foreclosure. These advances are generally recovered when the delinquency is resolved. Foreclosure moratoria or other actions that lengthen the foreclosure process will increase the amount of advances we are required to make, lengthen the time it takes for us to be reimbursed for such advances and increase the costs incurred during the foreclosure process. In addition, a number of our match funded advance facilities contain provisions that limit the eligibility of advances to be financed based on the length of time that advances are outstanding, and one of our match funded advance facilities has provisions that limit new borrowings if average foreclosure timelines extend beyond a certain time period, either of which, if such provisions applied, could adversely affect liquidity by reducing our average effective advance rate.</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20" w:name="page21"/>
    <w:bookmarkEnd w:id="20"/>
    <w:p>
      <w:pPr>
        <w:ind w:firstLine="747"/>
        <w:spacing w:after="0" w:line="290" w:lineRule="auto"/>
        <w:rPr>
          <w:sz w:val="20"/>
          <w:szCs w:val="20"/>
          <w:color w:val="auto"/>
        </w:rPr>
      </w:pPr>
      <w:r>
        <w:rPr>
          <w:rFonts w:ascii="Arial" w:cs="Arial" w:eastAsia="Arial" w:hAnsi="Arial"/>
          <w:sz w:val="16"/>
          <w:szCs w:val="16"/>
          <w:color w:val="auto"/>
        </w:rPr>
        <w:t>Governmental bodies may also impose regulatory fines or penalties as a result of our foreclosure processes or impose additional requirements or restrictions on such activities which could increase our operating expenses. For instance, according to the acting Comptroller of the Currency a recent review of the foreclosure practices of the 14 largest federally-regulated mortgage servicers revealed “critical deficiencies and shortcomings,” and federal regulators are currently assessing sanctions and other remedial requirements to address these findings. Ocwen was not subject to this review because it is not a federally regulated depository institution, but Congress or other federal, s tate or municipal regulatory agencies could subject us to similar investigations. In general, these regulatory developments with respect to foreclosure practices could result in increases in the amount of advances and the length of time to recover advances, fines or increases in operating expenses, and decreases in the advance rate and availability of financing for advances. This would in turn lead to increased borrowings, reduced cash and higher interest expense which could negatively impact our liquidity and profitability.</w:t>
      </w:r>
    </w:p>
    <w:p>
      <w:pPr>
        <w:spacing w:after="0" w:line="16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i w:val="1"/>
          <w:iCs w:val="1"/>
          <w:color w:val="auto"/>
        </w:rPr>
        <w:t xml:space="preserve">Loan putbacks could adversely affect our business. </w:t>
      </w:r>
      <w:r>
        <w:rPr>
          <w:rFonts w:ascii="Arial" w:cs="Arial" w:eastAsia="Arial" w:hAnsi="Arial"/>
          <w:sz w:val="16"/>
          <w:szCs w:val="16"/>
          <w:color w:val="auto"/>
        </w:rPr>
        <w:t>Ocwen has been a party to loan sales and securitizations dating back to the 1990s. The majority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issued in these transactions has been retired and are not subject to putback risk. There is one remaining securitization with an original UPB of approximately $200,000 where Ocwen provided representations and warranties and the loans were originated in the last decade. Ocwen performed due diligence on each of the loans included in this securitization. The outstanding UPB of this securitization was $58,132 at December 31, 2010 and outstanding notes were $59,007. Ocwen is not aware of any inquiries or claims regarding loan p utbacks for any transaction where we made representations and warranties. We do not expect loan putbacks to result in any material change to our financial position, operating results or liquidity.</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earnings may be inconsistent</w:t>
      </w:r>
      <w:r>
        <w:rPr>
          <w:rFonts w:ascii="Arial" w:cs="Arial" w:eastAsia="Arial" w:hAnsi="Arial"/>
          <w:sz w:val="18"/>
          <w:szCs w:val="18"/>
          <w:color w:val="auto"/>
        </w:rPr>
        <w:t>. Our past financial performance should not be considered a reliable indicator of future performance, and historical trends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not be reliable indicators of anticipated financial performance or trends in future periods.</w:t>
      </w:r>
    </w:p>
    <w:p>
      <w:pPr>
        <w:spacing w:after="0" w:line="170" w:lineRule="exact"/>
        <w:rPr>
          <w:sz w:val="20"/>
          <w:szCs w:val="20"/>
          <w:color w:val="auto"/>
        </w:rPr>
      </w:pPr>
    </w:p>
    <w:p>
      <w:pPr>
        <w:ind w:right="100" w:firstLine="744"/>
        <w:spacing w:after="0" w:line="264" w:lineRule="auto"/>
        <w:rPr>
          <w:sz w:val="20"/>
          <w:szCs w:val="20"/>
          <w:color w:val="auto"/>
        </w:rPr>
      </w:pPr>
      <w:r>
        <w:rPr>
          <w:rFonts w:ascii="Arial" w:cs="Arial" w:eastAsia="Arial" w:hAnsi="Arial"/>
          <w:sz w:val="18"/>
          <w:szCs w:val="18"/>
          <w:color w:val="auto"/>
        </w:rPr>
        <w:t>The consistency of our operating results may be significantly affected by inter-period variations in our current operations including the amount of servicing rights acquired and the changes in realizable value of those assets due to, among other factors, increases or decreases in prepayment speeds, delinquencies or defaults.</w:t>
      </w:r>
    </w:p>
    <w:p>
      <w:pPr>
        <w:spacing w:after="0" w:line="181" w:lineRule="exact"/>
        <w:rPr>
          <w:sz w:val="20"/>
          <w:szCs w:val="20"/>
          <w:color w:val="auto"/>
        </w:rPr>
      </w:pPr>
    </w:p>
    <w:p>
      <w:pPr>
        <w:ind w:right="400" w:firstLine="747"/>
        <w:spacing w:after="0" w:line="277" w:lineRule="auto"/>
        <w:rPr>
          <w:sz w:val="20"/>
          <w:szCs w:val="20"/>
          <w:color w:val="auto"/>
        </w:rPr>
      </w:pPr>
      <w:r>
        <w:rPr>
          <w:rFonts w:ascii="Arial" w:cs="Arial" w:eastAsia="Arial" w:hAnsi="Arial"/>
          <w:sz w:val="18"/>
          <w:szCs w:val="18"/>
          <w:color w:val="auto"/>
        </w:rPr>
        <w:t>Certain non-recurring gains and losses that have significantly affected our operating results may result in substantial inter-period variations in financial performance.</w:t>
      </w:r>
    </w:p>
    <w:p>
      <w:pPr>
        <w:spacing w:after="0" w:line="1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i w:val="1"/>
          <w:iCs w:val="1"/>
          <w:color w:val="auto"/>
        </w:rPr>
        <w:t xml:space="preserve">Our hedging strategies may not be successful in mitigating our risks associated with interest rate risk. </w:t>
      </w:r>
      <w:r>
        <w:rPr>
          <w:rFonts w:ascii="Arial" w:cs="Arial" w:eastAsia="Arial" w:hAnsi="Arial"/>
          <w:sz w:val="17"/>
          <w:szCs w:val="17"/>
          <w:color w:val="auto"/>
        </w:rPr>
        <w:t>At present, we have entered into interest rate swaps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fix our exposure to variable interest rates under two of our match funded securitizations. If we are successful in acquiring additional servicing or sub-servicing rights, there is no assurance that we will be able to obtain the fixed rate financing that would be necessary to protect us from rising interest rates. Therefore, we may consider utilizing various derivative financial instruments. Nevertheless, no hedging strategy can completely protect us. The derivative financial instruments that we select may not have the effect of reducing our interest rate risks. Poorly designed strategies, improperly execut ed and documented transactions or inaccurate assumptions could actually increase our risks and losses. In addition, hedging strategies involve transaction and other costs. We cannot be assured that our hedging strategies and the derivatives that we use will adequately offset the risks of interest rate volatility or that our hedging transactions will not result in or magnify losses.</w:t>
      </w:r>
    </w:p>
    <w:p>
      <w:pPr>
        <w:spacing w:after="0" w:line="1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We have significant operations in India that could be adversely affected by changes in the political or economic stability of India or by government policies in India or the U.S. </w:t>
      </w:r>
      <w:r>
        <w:rPr>
          <w:rFonts w:ascii="Arial" w:cs="Arial" w:eastAsia="Arial" w:hAnsi="Arial"/>
          <w:sz w:val="18"/>
          <w:szCs w:val="18"/>
          <w:color w:val="auto"/>
        </w:rPr>
        <w:t>Over 80% of our employees are located in India. A significant change in India’s economic liberalization and deregulation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policies could adversely affect business and economic conditions in India generally and our business in particular. The political or regulatory climate in the U.S. or elsewhere also could change so that it would not be lawful or practical for us to use international operations centers. For example, changes in privacy regulations could require us to curtail our use of lower-cost operations in India to service our businesses. If we were to cease our operations in In dia and transfer these operations to another geographic area, we could incur increased overhead costs that could materially and adversely affect our results of operations.</w:t>
      </w:r>
    </w:p>
    <w:p>
      <w:pPr>
        <w:spacing w:after="0" w:line="3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90" w:right="319" w:bottom="1440" w:gutter="0" w:footer="0" w:header="0"/>
        </w:sectPr>
      </w:pPr>
    </w:p>
    <w:bookmarkStart w:id="21" w:name="page22"/>
    <w:bookmarkEnd w:id="21"/>
    <w:p>
      <w:pPr>
        <w:ind w:right="200" w:firstLine="744"/>
        <w:spacing w:after="0" w:line="277" w:lineRule="auto"/>
        <w:rPr>
          <w:sz w:val="20"/>
          <w:szCs w:val="20"/>
          <w:color w:val="auto"/>
        </w:rPr>
      </w:pPr>
      <w:r>
        <w:rPr>
          <w:rFonts w:ascii="Arial" w:cs="Arial" w:eastAsia="Arial" w:hAnsi="Arial"/>
          <w:sz w:val="18"/>
          <w:szCs w:val="18"/>
          <w:color w:val="auto"/>
        </w:rPr>
        <w:t>We may need to increase the levels of our employee compensation more rapidly than in the past to retain talent. Unless we are able to continue to enhance the efficiency and productivity of our employees, wage increases in the long term may reduce our profitability.</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Technology failures could damage our business operations or reputation and increase our costs. </w:t>
      </w:r>
      <w:r>
        <w:rPr>
          <w:rFonts w:ascii="Arial" w:cs="Arial" w:eastAsia="Arial" w:hAnsi="Arial"/>
          <w:sz w:val="17"/>
          <w:szCs w:val="17"/>
          <w:color w:val="auto"/>
        </w:rPr>
        <w:t>The financial services industry as a whole is characterized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rapidly changing technologies, and system disruptions and failures may interrupt or delay our ability to provide services to our customers. The secure transmission of confidential information over the Internet and other electronic distribution and communication systems is essential to our maintaining consumer confidence in certain of our services. Security breaches, computer viruses, acts of vandalism and developments in computer capabilities could result in a compromise or breach of the technology that we use to protect our customers’ personal information and transaction data. Consumers generally are c oncerned with security breaches and privacy on the Internet, and Congress or individual states could enact new laws regulating the electronic commerce market that could adversely affect us. In addition, given the volume of transactions that we process and monitor, certain errors may be repeated or compounded before they are discovered and rectified. If one or more of such events occurs, this could potentially jeopardize data integrity or confidentiality of information processed and stored in, or transmitted through, our computer systems and networks, which could result in significant losses, reputational damage and legal liabilities to us.</w:t>
      </w:r>
    </w:p>
    <w:p>
      <w:pPr>
        <w:spacing w:after="0" w:line="178" w:lineRule="exact"/>
        <w:rPr>
          <w:sz w:val="20"/>
          <w:szCs w:val="20"/>
          <w:color w:val="auto"/>
        </w:rPr>
      </w:pPr>
    </w:p>
    <w:p>
      <w:pPr>
        <w:ind w:right="140" w:firstLine="747"/>
        <w:spacing w:after="0" w:line="297" w:lineRule="auto"/>
        <w:rPr>
          <w:sz w:val="20"/>
          <w:szCs w:val="20"/>
          <w:color w:val="auto"/>
        </w:rPr>
      </w:pPr>
      <w:r>
        <w:rPr>
          <w:rFonts w:ascii="Arial" w:cs="Arial" w:eastAsia="Arial" w:hAnsi="Arial"/>
          <w:sz w:val="16"/>
          <w:szCs w:val="16"/>
          <w:color w:val="auto"/>
        </w:rPr>
        <w:t>Our business is substantially dependent on our ability to process and monitor a large number of transactions, many of which are complex, across numerous and diverse real estate markets. These transactions often must adhere to the terms of the complex legal agreements, as well as legal and regulatory standards. We are responsible for developing and maintaining operational systems and infrastructure, which is challenging. Our financial, accounting, data processing or other operating systems and facilities may fail to operate properly or become disabled as a result of events that are wholly or partially beyond their control, such as a spike in transaction volume or unforeseen catastrophic events , adversely affecting our ability to process these transactions.</w:t>
      </w:r>
    </w:p>
    <w:p>
      <w:pPr>
        <w:spacing w:after="0" w:line="15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b w:val="1"/>
          <w:bCs w:val="1"/>
          <w:i w:val="1"/>
          <w:iCs w:val="1"/>
          <w:color w:val="auto"/>
        </w:rPr>
        <w:t xml:space="preserve">The loss of the services of our senior managers could have an adverse effect on us. </w:t>
      </w:r>
      <w:r>
        <w:rPr>
          <w:rFonts w:ascii="Arial" w:cs="Arial" w:eastAsia="Arial" w:hAnsi="Arial"/>
          <w:sz w:val="16"/>
          <w:szCs w:val="16"/>
          <w:color w:val="auto"/>
        </w:rPr>
        <w:t>The experience of our senior managers is a valuable asset to us.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chairman, William C. Erbey, has been with us since our founding in 1987, and our president and chief executive officer, Ronald M. Faris, joined us in 1991. Other senior managers have been with us for 10 years or more. We do not have employment agreements with, or maintain key man life insurance relating to, Mr. Erbey, Mr. Faris or any of our other executive officers. The loss of the services of our senior managers could have an adverse effect on us.</w:t>
      </w:r>
    </w:p>
    <w:p>
      <w:pPr>
        <w:spacing w:after="0" w:line="154"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b w:val="1"/>
          <w:bCs w:val="1"/>
          <w:i w:val="1"/>
          <w:iCs w:val="1"/>
          <w:color w:val="auto"/>
        </w:rPr>
        <w:t xml:space="preserve">Our directors and executive officers collectively own a large percentage of our common shares and could influence or control matters requiring shareholder approval. </w:t>
      </w:r>
      <w:r>
        <w:rPr>
          <w:rFonts w:ascii="Arial" w:cs="Arial" w:eastAsia="Arial" w:hAnsi="Arial"/>
          <w:sz w:val="16"/>
          <w:szCs w:val="16"/>
          <w:color w:val="auto"/>
        </w:rPr>
        <w:t>Our directors and executive officers and their affiliates collectively own or control approximately 24% of our outstanding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This includes approximately 18% owned or controlled by our executive chairman, William C. Erbey, and approximately 5% owned or controlled by our director and former chairman, Barry N. Wish. As a result, these shareholders could influence or control virtually all matters requiring shareholder approval, including the amendment of our articles of incorporation, the approval of mergers or similar transactions and the election of all directors.</w:t>
      </w:r>
    </w:p>
    <w:p>
      <w:pPr>
        <w:spacing w:after="0" w:line="15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We are exposed to market risk, including, among other things, liquidity risk, prepayment risk and foreign currency exchange risk. </w:t>
      </w:r>
      <w:r>
        <w:rPr>
          <w:rFonts w:ascii="Arial" w:cs="Arial" w:eastAsia="Arial" w:hAnsi="Arial"/>
          <w:sz w:val="18"/>
          <w:szCs w:val="18"/>
          <w:color w:val="auto"/>
        </w:rPr>
        <w:t>We are exposed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liquidity risk primarily because of the high variable daily cash requirements to support our servicing business including the requirement to make advances pursuant to servicing contracts and the process of remitting borrower payments to the custodial accounts. In general, we finance our operations through operating cash flows and various other sources of funding including match funded agreements, secured lines of credit and repurchase agreements. We believe that we have adequate financing for the next twelve months.</w:t>
      </w:r>
    </w:p>
    <w:p>
      <w:pPr>
        <w:spacing w:after="0" w:line="188" w:lineRule="exact"/>
        <w:rPr>
          <w:sz w:val="20"/>
          <w:szCs w:val="20"/>
          <w:color w:val="auto"/>
        </w:rPr>
      </w:pPr>
    </w:p>
    <w:p>
      <w:pPr>
        <w:ind w:right="20" w:firstLine="744"/>
        <w:spacing w:after="0" w:line="273" w:lineRule="auto"/>
        <w:rPr>
          <w:sz w:val="20"/>
          <w:szCs w:val="20"/>
          <w:color w:val="auto"/>
        </w:rPr>
      </w:pPr>
      <w:r>
        <w:rPr>
          <w:rFonts w:ascii="Arial" w:cs="Arial" w:eastAsia="Arial" w:hAnsi="Arial"/>
          <w:sz w:val="17"/>
          <w:szCs w:val="17"/>
          <w:color w:val="auto"/>
        </w:rPr>
        <w:t>We are exposed to interest rate risk to the degree that our interest-bearing liabilities mature or reprice at different speeds, or different bases, than our interest earning assets or when financed assets are not interest-bearing. Our servicing business is characterized by non-interest earning assets financed by interest bearing liabilities. Among the more significant non-interest earning assets are servicing advances and MSRs. At December 31, 2010, we had total advances and match funded advances of $2,108,885. We are also exposed to interest rate risk because a portion of our outstanding debt is variable rate. Rising interest rates may increase our interest expense. Nevertheless, earnings on float balances (assets) partially offset this variability. We have also entered into interest rate swaps to hedge our exposure to rising interest rates.</w:t>
      </w:r>
    </w:p>
    <w:p>
      <w:pPr>
        <w:spacing w:after="0" w:line="178" w:lineRule="exact"/>
        <w:rPr>
          <w:sz w:val="20"/>
          <w:szCs w:val="20"/>
          <w:color w:val="auto"/>
        </w:rPr>
      </w:pPr>
    </w:p>
    <w:p>
      <w:pPr>
        <w:ind w:right="120" w:firstLine="744"/>
        <w:spacing w:after="0" w:line="259" w:lineRule="auto"/>
        <w:rPr>
          <w:sz w:val="20"/>
          <w:szCs w:val="20"/>
          <w:color w:val="auto"/>
        </w:rPr>
      </w:pPr>
      <w:r>
        <w:rPr>
          <w:rFonts w:ascii="Arial" w:cs="Arial" w:eastAsia="Arial" w:hAnsi="Arial"/>
          <w:sz w:val="18"/>
          <w:szCs w:val="18"/>
          <w:color w:val="auto"/>
        </w:rPr>
        <w:t>We are exposed to foreign currency exchange rate risk in connection with our investment in non-U.S. dollar functional currency operations to the extent that our foreign exchange positions remain unhedged. Our operations in Uruguay and India expose us to foreign currency exchange rate risk, but we consider this risk to be insignificant. We have entered into foreign exchange forward contracts to hedge against the effect of changes in the value of the India Rupee on amounts payable to our subsidiary in India.</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Risks Relating to Ownership of Our Common Shares</w:t>
      </w:r>
    </w:p>
    <w:p>
      <w:pPr>
        <w:spacing w:after="0" w:line="229"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b w:val="1"/>
          <w:bCs w:val="1"/>
          <w:i w:val="1"/>
          <w:iCs w:val="1"/>
          <w:color w:val="auto"/>
        </w:rPr>
        <w:t xml:space="preserve">Our common share price may experience substantial volatility which may affect your ability to sell our common shares at an advantageous price. </w:t>
      </w:r>
      <w:r>
        <w:rPr>
          <w:rFonts w:ascii="Arial" w:cs="Arial" w:eastAsia="Arial" w:hAnsi="Arial"/>
          <w:sz w:val="17"/>
          <w:szCs w:val="17"/>
          <w:color w:val="auto"/>
        </w:rPr>
        <w:t>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 price of our common shares has been and may continue to be volatile. For example, the closing market price of our common shares on the New York Stock Exchange has fluctuated during the twelve months ended December 31, 2010 between $8.48 per share and $12.45 per share and may continue to fluctuate. Therefore, the volatility may affect your ability to sell our common shares at an advantageous price. Market price fluctuations in our common shares may be due to acquisitions, dispositions, the Separation or other material public announcements along with a variety of additional factors including, without limitation, th ose set forth under “Risk Factors” and “Forward-Looking Statements.” In addition, the stock markets in general, including the New York Stock Exchange, recently have experienced extreme price and trading fluctuations. These fluctuations have resulted in volatility in the market prices of securities that often has been unrelated or disproportionate to changes in operating performance. These broad market fluctuations may adversely affect the market prices of our common shares.</w:t>
      </w:r>
    </w:p>
    <w:p>
      <w:pPr>
        <w:spacing w:after="0" w:line="18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 xml:space="preserve">Because of certain provisions of our organizational documents, takeovers may be more difficult possibly preventing you from obtaining an optimal share price. </w:t>
      </w:r>
      <w:r>
        <w:rPr>
          <w:rFonts w:ascii="Arial" w:cs="Arial" w:eastAsia="Arial" w:hAnsi="Arial"/>
          <w:sz w:val="17"/>
          <w:szCs w:val="17"/>
          <w:color w:val="auto"/>
        </w:rPr>
        <w:t>Our amended and restated articles of incorporation provide that the total number of shares of all classes of capital stock that we have authority to issue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220 million, of which 200 million are common shares and 20 million are preferred shares. Our Board of Directors has the authority, without a vote of the shareholders, to establish the preferences and rights of any preferred or other class or series of shares to be issued and to issue such shares. The issuance of preferred shares could delay or prevent a change in control. Since our Board of Directors has the power to establish the preferences and rights of the preferred shares without a shareholder vote, our Board of Directors may give the holders of preferred shares preferences, powers and rights, including voting rights, senior to the rights of holders of our common shares.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Separation of Altisource</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b w:val="1"/>
          <w:bCs w:val="1"/>
          <w:i w:val="1"/>
          <w:iCs w:val="1"/>
          <w:color w:val="auto"/>
        </w:rPr>
        <w:t xml:space="preserve">We could have conflicts with Altisource, and our Chairman of the Board, and other officers and directors, could have conflicts of interest due to their relationships with Ocwen and Altisource which may be resolved in a manner adverse to us. </w:t>
      </w:r>
      <w:r>
        <w:rPr>
          <w:rFonts w:ascii="Arial" w:cs="Arial" w:eastAsia="Arial" w:hAnsi="Arial"/>
          <w:sz w:val="16"/>
          <w:szCs w:val="16"/>
          <w:color w:val="auto"/>
        </w:rPr>
        <w:t>Conflicts may arise between Ocwen and Altisource as a result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our ongoing agreements and the nature of our respective businesses. Among other things, we became a party to a variety of agreements with Altisource in connection with the Separation, and we may enter into further agreements with Altisource after the Separation. Certain of our executive officers and directors may be subject to conflicts of interest with respect to such agreements and other matters due to their relationships with Altisource.</w:t>
      </w:r>
    </w:p>
    <w:p>
      <w:pPr>
        <w:spacing w:after="0" w:line="158" w:lineRule="exact"/>
        <w:rPr>
          <w:sz w:val="20"/>
          <w:szCs w:val="20"/>
          <w:color w:val="auto"/>
        </w:rPr>
      </w:pPr>
    </w:p>
    <w:p>
      <w:pPr>
        <w:ind w:right="300" w:firstLine="744"/>
        <w:spacing w:after="0" w:line="264" w:lineRule="auto"/>
        <w:rPr>
          <w:sz w:val="20"/>
          <w:szCs w:val="20"/>
          <w:color w:val="auto"/>
        </w:rPr>
      </w:pPr>
      <w:r>
        <w:rPr>
          <w:rFonts w:ascii="Arial" w:cs="Arial" w:eastAsia="Arial" w:hAnsi="Arial"/>
          <w:sz w:val="18"/>
          <w:szCs w:val="18"/>
          <w:color w:val="auto"/>
        </w:rPr>
        <w:t>William C. Erbey, Ocwen’s executive Chairman of the Board, became Altisource’s non-executive Chairman of the Board as a result of the Separation. As a result, he has obligations to us as well as to Altisource and may potentially have conflicts of interest with respect to matters potentially or actually involving or affecting Ocwen and Altisource.</w:t>
      </w:r>
    </w:p>
    <w:p>
      <w:pPr>
        <w:spacing w:after="0" w:line="181" w:lineRule="exact"/>
        <w:rPr>
          <w:sz w:val="20"/>
          <w:szCs w:val="20"/>
          <w:color w:val="auto"/>
        </w:rPr>
      </w:pPr>
    </w:p>
    <w:p>
      <w:pPr>
        <w:ind w:right="160" w:firstLine="747"/>
        <w:spacing w:after="0" w:line="264" w:lineRule="auto"/>
        <w:rPr>
          <w:sz w:val="20"/>
          <w:szCs w:val="20"/>
          <w:color w:val="auto"/>
        </w:rPr>
      </w:pPr>
      <w:r>
        <w:rPr>
          <w:rFonts w:ascii="Arial" w:cs="Arial" w:eastAsia="Arial" w:hAnsi="Arial"/>
          <w:sz w:val="18"/>
          <w:szCs w:val="18"/>
          <w:color w:val="auto"/>
        </w:rPr>
        <w:t>Mr. Erbey owns substantial amounts of Altisource common stock and stock options because of his relationships with Altisource. This ownership could create or appear to create potential conflicts of interest when our Chairman of the Board is faced with decisions that involve Ocwen, Altisource or any of their respective subsidiaries.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Matters that could give rise to conflicts between Ocwen and Altisource include, among other things:</w:t>
      </w:r>
    </w:p>
    <w:p>
      <w:pPr>
        <w:spacing w:after="0" w:line="225" w:lineRule="exact"/>
        <w:rPr>
          <w:sz w:val="20"/>
          <w:szCs w:val="20"/>
          <w:color w:val="auto"/>
        </w:rPr>
      </w:pPr>
    </w:p>
    <w:p>
      <w:pPr>
        <w:ind w:left="1380" w:hanging="562"/>
        <w:spacing w:after="0"/>
        <w:tabs>
          <w:tab w:leader="none" w:pos="1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competitive actions by Altisource;</w:t>
      </w:r>
    </w:p>
    <w:p>
      <w:pPr>
        <w:spacing w:after="0" w:line="225" w:lineRule="exact"/>
        <w:rPr>
          <w:rFonts w:ascii="Arial" w:cs="Arial" w:eastAsia="Arial" w:hAnsi="Arial"/>
          <w:sz w:val="18"/>
          <w:szCs w:val="18"/>
          <w:color w:val="auto"/>
        </w:rPr>
      </w:pPr>
    </w:p>
    <w:p>
      <w:pPr>
        <w:ind w:left="1380" w:hanging="562"/>
        <w:spacing w:after="0"/>
        <w:tabs>
          <w:tab w:leader="none" w:pos="1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quality and pricing of services that Altisource has agreed to provide to us or that we have agreed to provide to Altisource and</w:t>
      </w:r>
    </w:p>
    <w:p>
      <w:pPr>
        <w:spacing w:after="0" w:line="236" w:lineRule="exact"/>
        <w:rPr>
          <w:rFonts w:ascii="Arial" w:cs="Arial" w:eastAsia="Arial" w:hAnsi="Arial"/>
          <w:sz w:val="17"/>
          <w:szCs w:val="17"/>
          <w:color w:val="auto"/>
        </w:rPr>
      </w:pPr>
    </w:p>
    <w:p>
      <w:pPr>
        <w:ind w:left="1380" w:right="560" w:hanging="562"/>
        <w:spacing w:after="0" w:line="277" w:lineRule="auto"/>
        <w:tabs>
          <w:tab w:leader="none" w:pos="1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ongoing and future relationships with Altisource, including related party agreements and other arrangements with respect to the administration of tax matters, employee benefits, indemnification and other matters.</w:t>
      </w:r>
    </w:p>
    <w:p>
      <w:pPr>
        <w:spacing w:after="0" w:line="170" w:lineRule="exact"/>
        <w:rPr>
          <w:sz w:val="20"/>
          <w:szCs w:val="20"/>
          <w:color w:val="auto"/>
        </w:rPr>
      </w:pPr>
    </w:p>
    <w:p>
      <w:pPr>
        <w:ind w:firstLine="744"/>
        <w:spacing w:after="0" w:line="312" w:lineRule="auto"/>
        <w:rPr>
          <w:sz w:val="20"/>
          <w:szCs w:val="20"/>
          <w:color w:val="auto"/>
        </w:rPr>
      </w:pPr>
      <w:r>
        <w:rPr>
          <w:rFonts w:ascii="Arial" w:cs="Arial" w:eastAsia="Arial" w:hAnsi="Arial"/>
          <w:sz w:val="16"/>
          <w:szCs w:val="16"/>
          <w:color w:val="auto"/>
        </w:rPr>
        <w:t>We will also seek to manage these potential conflicts through dispute resolution and other provisions of our agreements with Altisource and through oversight by independent members of our Board of Directors. There can be no assurance that such measures will be effective, that we will be able to resolve all conflicts with Altisource or that the resolution of any such conflicts will be no less favorable to us than if we were dealing with a third party.</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3" w:name="page24"/>
    <w:bookmarkEnd w:id="23"/>
    <w:p>
      <w:pPr>
        <w:ind w:right="40"/>
        <w:spacing w:after="0" w:line="290" w:lineRule="auto"/>
        <w:rPr>
          <w:sz w:val="20"/>
          <w:szCs w:val="20"/>
          <w:color w:val="auto"/>
        </w:rPr>
      </w:pPr>
      <w:r>
        <w:rPr>
          <w:rFonts w:ascii="Arial" w:cs="Arial" w:eastAsia="Arial" w:hAnsi="Arial"/>
          <w:sz w:val="16"/>
          <w:szCs w:val="16"/>
          <w:b w:val="1"/>
          <w:bCs w:val="1"/>
          <w:i w:val="1"/>
          <w:iCs w:val="1"/>
          <w:color w:val="auto"/>
        </w:rPr>
        <w:t xml:space="preserve">The tax liability to Ocwen as a result of the Separation could be substantial. </w:t>
      </w:r>
      <w:r>
        <w:rPr>
          <w:rFonts w:ascii="Arial" w:cs="Arial" w:eastAsia="Arial" w:hAnsi="Arial"/>
          <w:sz w:val="16"/>
          <w:szCs w:val="16"/>
          <w:color w:val="auto"/>
        </w:rPr>
        <w:t>In the pre-spin-off restructuring, any assets that were transferred to Altisource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non-U.S. subsidiaries were taxable pursuant to Section 367(a) of the Code, or other applicable provisions of the Internal Revenue Code (the “Code”) and Treasury regulations. Taxable gains not recognized in the restructuring were generally recognized pursuant to the Separation itself under Section 367(b). The taxable gain recognized by Ocwen attributable to the transfer of assets to Altisource equaled the excess of the fair market value of each asset transferred over Ocwen’s basis in such asset. Ocwen’s basis in some assets transferred to Altisource may have been low or zero which could result in a substantial tax liability to Ocwen. In addition, the amount of taxable gain was based on a determination of the fair market value of Ocwen’s transferred assets. The determination of fair market values of non-publicly traded assets is subjective and could be subject to closing date adjustments or future challenge by the Internal Revenue Service (the “IRS”) which could result in an increased U.S. federal income tax liability to Ocwen.</w:t>
      </w:r>
    </w:p>
    <w:p>
      <w:pPr>
        <w:spacing w:after="0" w:line="16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i w:val="1"/>
          <w:iCs w:val="1"/>
          <w:color w:val="auto"/>
        </w:rPr>
        <w:t xml:space="preserve">New prospective tax regulations, if held applicable to the Separation, could materially increase tax costs to Ocwen. On June 10, 2009, the IRS issued new regulations under Section 7874 of the Code. </w:t>
      </w:r>
      <w:r>
        <w:rPr>
          <w:rFonts w:ascii="Arial" w:cs="Arial" w:eastAsia="Arial" w:hAnsi="Arial"/>
          <w:sz w:val="16"/>
          <w:szCs w:val="16"/>
          <w:color w:val="auto"/>
        </w:rPr>
        <w:t>The IRS further indicated that it intends to issue additional regulations with respect to transactions where a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 contributes assets, including subsidiary equity interests, to a foreign corporation and distributes the shares of such corporation, as in the Separation and the related transactions. Our understanding of the IRS’s plans regarding these forthcoming regulations is that they would apply to the Separation only if the value of assets held by Ocwen’s corporate or partnership subsidiary entities (either currently, or those that were distri buted from such entities as part of the plan encompassing the Separation) exceeded, in the aggregate, 60% of the value of Altisource when contributed to Altisource. It is not certain, however, what these regulations will provide for once adopted. Prior to completing the Separation, Ocwen’s board of directors required Ocwen and Altisource to receive a valuation from an independent valuation firm that enabled the Company to determine whether the value of these assets was less than 60% of the value of Altisource. Because we believe the value of these assets does not exceed the 60% threshold, as we confirmed by information we derived from the independent valuation, we do not believe that Section 7874 of the Code applies to the Separation. The independent valuation is not binding on the IRS. If the IRS were to successfully challenge this valuation and find that the value of these assets exceeded 60% of the value of Altisource, then Ocwen would not be permitted to offset gain recognized on the transfer of th ese assets to Altisource with net operating losses, tax credits or other tax attributes. This could materially increase the tax cost to Ocwen of the Separation.</w:t>
      </w:r>
    </w:p>
    <w:p>
      <w:pPr>
        <w:spacing w:after="0" w:line="175" w:lineRule="exact"/>
        <w:rPr>
          <w:sz w:val="20"/>
          <w:szCs w:val="20"/>
          <w:color w:val="auto"/>
        </w:rPr>
      </w:pPr>
    </w:p>
    <w:p>
      <w:pPr>
        <w:ind w:right="80" w:firstLine="744"/>
        <w:spacing w:after="0" w:line="259" w:lineRule="auto"/>
        <w:rPr>
          <w:sz w:val="20"/>
          <w:szCs w:val="20"/>
          <w:color w:val="auto"/>
        </w:rPr>
      </w:pPr>
      <w:r>
        <w:rPr>
          <w:rFonts w:ascii="Arial" w:cs="Arial" w:eastAsia="Arial" w:hAnsi="Arial"/>
          <w:sz w:val="18"/>
          <w:szCs w:val="18"/>
          <w:color w:val="auto"/>
        </w:rPr>
        <w:t>We may not realize all of the anticipated benefits of potential future acquisitions. Our ability to realize the anticipated benefits of potential future acquisitions of assets and/or companies will depend, in part, on our ability to scale-up to appropriately service any such assets and/or integrate the businesses of such acquired companies with our business. The process of acquiring assets and/or companies may disrupt our business and may not result in the full benefits expected. The risks associated with acquisitions include, among others:</w:t>
      </w:r>
    </w:p>
    <w:p>
      <w:pPr>
        <w:spacing w:after="0" w:line="187" w:lineRule="exact"/>
        <w:rPr>
          <w:sz w:val="20"/>
          <w:szCs w:val="20"/>
          <w:color w:val="auto"/>
        </w:rPr>
      </w:pPr>
    </w:p>
    <w:p>
      <w:pPr>
        <w:ind w:left="1380" w:hanging="562"/>
        <w:spacing w:after="0"/>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coordinating market functions;</w:t>
      </w:r>
    </w:p>
    <w:p>
      <w:pPr>
        <w:spacing w:after="0" w:line="23" w:lineRule="exact"/>
        <w:rPr>
          <w:rFonts w:ascii="Arial" w:cs="Arial" w:eastAsia="Arial" w:hAnsi="Arial"/>
          <w:sz w:val="18"/>
          <w:szCs w:val="18"/>
          <w:color w:val="auto"/>
        </w:rPr>
      </w:pPr>
    </w:p>
    <w:p>
      <w:pPr>
        <w:ind w:left="1380" w:hanging="562"/>
        <w:spacing w:after="0"/>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unanticipated issues in integrating information, communications and other systems;</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unanticipated incompatibility of purchasing, logistics, marketing and administration methods;</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retaining key employees; and</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diversion of management’s attention from ongoing business concerns.</w:t>
      </w:r>
    </w:p>
    <w:p>
      <w:pPr>
        <w:spacing w:after="0" w:line="211" w:lineRule="exact"/>
        <w:rPr>
          <w:sz w:val="20"/>
          <w:szCs w:val="20"/>
          <w:color w:val="auto"/>
        </w:rPr>
      </w:pPr>
    </w:p>
    <w:p>
      <w:pPr>
        <w:ind w:firstLine="744"/>
        <w:spacing w:after="0" w:line="312" w:lineRule="auto"/>
        <w:rPr>
          <w:sz w:val="20"/>
          <w:szCs w:val="20"/>
          <w:color w:val="auto"/>
        </w:rPr>
      </w:pPr>
      <w:r>
        <w:rPr>
          <w:rFonts w:ascii="Arial" w:cs="Arial" w:eastAsia="Arial" w:hAnsi="Arial"/>
          <w:sz w:val="16"/>
          <w:szCs w:val="16"/>
          <w:color w:val="auto"/>
        </w:rPr>
        <w:t>There is no assurance that we will realize the full benefits anticipated for any future acquisitions, or that we will be able to consummate any future acquisitions. In order to finance potential future acquisitions, we may, among other alternatives, issue additional shares of our common stock or convertible or other equity linked securities, including options, and warrants, or otherwise, which will dilute the ownership interest of our common stockholders.</w:t>
      </w:r>
    </w:p>
    <w:p>
      <w:pPr>
        <w:spacing w:after="0" w:line="14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24" w:name="page25"/>
    <w:bookmarkEnd w:id="24"/>
    <w:p>
      <w:pPr>
        <w:spacing w:after="0"/>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information relating to our primary facilities at December 31, 2010: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300" w:type="dxa"/>
            <w:vAlign w:val="bottom"/>
            <w:tcBorders>
              <w:bottom w:val="single" w:sz="8" w:color="auto"/>
            </w:tcBorders>
          </w:tcPr>
          <w:p>
            <w:pPr>
              <w:ind w:left="3300"/>
              <w:spacing w:after="0"/>
              <w:rPr>
                <w:sz w:val="20"/>
                <w:szCs w:val="20"/>
                <w:color w:val="auto"/>
              </w:rPr>
            </w:pPr>
            <w:r>
              <w:rPr>
                <w:rFonts w:ascii="Arial" w:cs="Arial" w:eastAsia="Arial" w:hAnsi="Arial"/>
                <w:sz w:val="18"/>
                <w:szCs w:val="18"/>
                <w:b w:val="1"/>
                <w:bCs w:val="1"/>
                <w:color w:val="auto"/>
              </w:rPr>
              <w:t>Location</w:t>
            </w:r>
          </w:p>
        </w:tc>
        <w:tc>
          <w:tcPr>
            <w:tcW w:w="340" w:type="dxa"/>
            <w:vAlign w:val="bottom"/>
          </w:tcPr>
          <w:p>
            <w:pPr>
              <w:spacing w:after="0"/>
              <w:rPr>
                <w:sz w:val="20"/>
                <w:szCs w:val="20"/>
                <w:color w:val="auto"/>
              </w:rPr>
            </w:pPr>
          </w:p>
        </w:tc>
        <w:tc>
          <w:tcPr>
            <w:tcW w:w="17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Owned/Leased</w:t>
            </w:r>
          </w:p>
        </w:tc>
        <w:tc>
          <w:tcPr>
            <w:tcW w:w="340" w:type="dxa"/>
            <w:vAlign w:val="bottom"/>
          </w:tcPr>
          <w:p>
            <w:pPr>
              <w:spacing w:after="0"/>
              <w:rPr>
                <w:sz w:val="20"/>
                <w:szCs w:val="20"/>
                <w:color w:val="auto"/>
              </w:rPr>
            </w:pPr>
          </w:p>
        </w:tc>
        <w:tc>
          <w:tcPr>
            <w:tcW w:w="1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Square Footage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Principal executive office:</w:t>
            </w:r>
          </w:p>
        </w:tc>
        <w:tc>
          <w:tcPr>
            <w:tcW w:w="340" w:type="dxa"/>
            <w:vAlign w:val="bottom"/>
            <w:shd w:val="clear" w:color="auto" w:fill="EAF9E8"/>
          </w:tcPr>
          <w:p>
            <w:pPr>
              <w:spacing w:after="0"/>
              <w:rPr>
                <w:sz w:val="18"/>
                <w:szCs w:val="18"/>
                <w:color w:val="auto"/>
              </w:rPr>
            </w:pPr>
          </w:p>
        </w:tc>
        <w:tc>
          <w:tcPr>
            <w:tcW w:w="17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7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60"/>
              <w:spacing w:after="0"/>
              <w:rPr>
                <w:sz w:val="20"/>
                <w:szCs w:val="20"/>
                <w:color w:val="auto"/>
              </w:rPr>
            </w:pPr>
            <w:r>
              <w:rPr>
                <w:rFonts w:ascii="Arial" w:cs="Arial" w:eastAsia="Arial" w:hAnsi="Arial"/>
                <w:sz w:val="18"/>
                <w:szCs w:val="18"/>
                <w:color w:val="auto"/>
              </w:rPr>
              <w:t>Atlanta, Georgia (1)</w:t>
            </w:r>
          </w:p>
        </w:tc>
        <w:tc>
          <w:tcPr>
            <w:tcW w:w="340" w:type="dxa"/>
            <w:vAlign w:val="bottom"/>
          </w:tcPr>
          <w:p>
            <w:pPr>
              <w:spacing w:after="0"/>
              <w:rPr>
                <w:sz w:val="18"/>
                <w:szCs w:val="18"/>
                <w:color w:val="auto"/>
              </w:rPr>
            </w:pPr>
          </w:p>
        </w:tc>
        <w:tc>
          <w:tcPr>
            <w:tcW w:w="1720" w:type="dxa"/>
            <w:vAlign w:val="bottom"/>
          </w:tcPr>
          <w:p>
            <w:pPr>
              <w:ind w:left="640"/>
              <w:spacing w:after="0"/>
              <w:rPr>
                <w:sz w:val="20"/>
                <w:szCs w:val="20"/>
                <w:color w:val="auto"/>
              </w:rPr>
            </w:pPr>
            <w:r>
              <w:rPr>
                <w:rFonts w:ascii="Arial" w:cs="Arial" w:eastAsia="Arial" w:hAnsi="Arial"/>
                <w:sz w:val="18"/>
                <w:szCs w:val="18"/>
                <w:color w:val="auto"/>
              </w:rPr>
              <w:t>Leased</w:t>
            </w:r>
          </w:p>
        </w:tc>
        <w:tc>
          <w:tcPr>
            <w:tcW w:w="2040" w:type="dxa"/>
            <w:vAlign w:val="bottom"/>
            <w:gridSpan w:val="2"/>
          </w:tcPr>
          <w:p>
            <w:pPr>
              <w:jc w:val="right"/>
              <w:ind w:right="47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7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7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Document storage and imaging facility:</w:t>
            </w: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AF9E8"/>
          </w:tcPr>
          <w:p>
            <w:pPr>
              <w:ind w:left="60"/>
              <w:spacing w:after="0"/>
              <w:rPr>
                <w:sz w:val="20"/>
                <w:szCs w:val="20"/>
                <w:color w:val="auto"/>
              </w:rPr>
            </w:pPr>
            <w:r>
              <w:rPr>
                <w:rFonts w:ascii="Arial" w:cs="Arial" w:eastAsia="Arial" w:hAnsi="Arial"/>
                <w:sz w:val="18"/>
                <w:szCs w:val="18"/>
                <w:color w:val="auto"/>
              </w:rPr>
              <w:t>Riviera Beach, Florida</w:t>
            </w:r>
          </w:p>
        </w:tc>
        <w:tc>
          <w:tcPr>
            <w:tcW w:w="340" w:type="dxa"/>
            <w:vAlign w:val="bottom"/>
            <w:shd w:val="clear" w:color="auto" w:fill="EAF9E8"/>
          </w:tcPr>
          <w:p>
            <w:pPr>
              <w:spacing w:after="0"/>
              <w:rPr>
                <w:sz w:val="18"/>
                <w:szCs w:val="18"/>
                <w:color w:val="auto"/>
              </w:rPr>
            </w:pPr>
          </w:p>
        </w:tc>
        <w:tc>
          <w:tcPr>
            <w:tcW w:w="1720" w:type="dxa"/>
            <w:vAlign w:val="bottom"/>
            <w:shd w:val="clear" w:color="auto" w:fill="EAF9E8"/>
          </w:tcPr>
          <w:p>
            <w:pPr>
              <w:ind w:left="640"/>
              <w:spacing w:after="0"/>
              <w:rPr>
                <w:sz w:val="20"/>
                <w:szCs w:val="20"/>
                <w:color w:val="auto"/>
              </w:rPr>
            </w:pPr>
            <w:r>
              <w:rPr>
                <w:rFonts w:ascii="Arial" w:cs="Arial" w:eastAsia="Arial" w:hAnsi="Arial"/>
                <w:sz w:val="18"/>
                <w:szCs w:val="18"/>
                <w:color w:val="auto"/>
              </w:rPr>
              <w:t>Leased</w:t>
            </w:r>
          </w:p>
        </w:tc>
        <w:tc>
          <w:tcPr>
            <w:tcW w:w="2040" w:type="dxa"/>
            <w:vAlign w:val="bottom"/>
            <w:gridSpan w:val="2"/>
            <w:shd w:val="clear" w:color="auto" w:fill="EAF9E8"/>
          </w:tcPr>
          <w:p>
            <w:pPr>
              <w:jc w:val="right"/>
              <w:ind w:right="47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Business operations and technology support offices:</w:t>
            </w:r>
          </w:p>
        </w:tc>
        <w:tc>
          <w:tcPr>
            <w:tcW w:w="340" w:type="dxa"/>
            <w:vAlign w:val="bottom"/>
            <w:shd w:val="clear" w:color="auto" w:fill="EAF9E8"/>
          </w:tcPr>
          <w:p>
            <w:pPr>
              <w:spacing w:after="0"/>
              <w:rPr>
                <w:sz w:val="18"/>
                <w:szCs w:val="18"/>
                <w:color w:val="auto"/>
              </w:rPr>
            </w:pPr>
          </w:p>
        </w:tc>
        <w:tc>
          <w:tcPr>
            <w:tcW w:w="17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7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60"/>
              <w:spacing w:after="0"/>
              <w:rPr>
                <w:sz w:val="20"/>
                <w:szCs w:val="20"/>
                <w:color w:val="auto"/>
              </w:rPr>
            </w:pPr>
            <w:r>
              <w:rPr>
                <w:rFonts w:ascii="Arial" w:cs="Arial" w:eastAsia="Arial" w:hAnsi="Arial"/>
                <w:sz w:val="18"/>
                <w:szCs w:val="18"/>
                <w:color w:val="auto"/>
              </w:rPr>
              <w:t>West Palm Beach, Florida</w:t>
            </w:r>
          </w:p>
        </w:tc>
        <w:tc>
          <w:tcPr>
            <w:tcW w:w="340" w:type="dxa"/>
            <w:vAlign w:val="bottom"/>
          </w:tcPr>
          <w:p>
            <w:pPr>
              <w:spacing w:after="0"/>
              <w:rPr>
                <w:sz w:val="18"/>
                <w:szCs w:val="18"/>
                <w:color w:val="auto"/>
              </w:rPr>
            </w:pPr>
          </w:p>
        </w:tc>
        <w:tc>
          <w:tcPr>
            <w:tcW w:w="1720" w:type="dxa"/>
            <w:vAlign w:val="bottom"/>
          </w:tcPr>
          <w:p>
            <w:pPr>
              <w:ind w:left="640"/>
              <w:spacing w:after="0"/>
              <w:rPr>
                <w:sz w:val="20"/>
                <w:szCs w:val="20"/>
                <w:color w:val="auto"/>
              </w:rPr>
            </w:pPr>
            <w:r>
              <w:rPr>
                <w:rFonts w:ascii="Arial" w:cs="Arial" w:eastAsia="Arial" w:hAnsi="Arial"/>
                <w:sz w:val="18"/>
                <w:szCs w:val="18"/>
                <w:color w:val="auto"/>
              </w:rPr>
              <w:t>Leased</w:t>
            </w:r>
          </w:p>
        </w:tc>
        <w:tc>
          <w:tcPr>
            <w:tcW w:w="2040" w:type="dxa"/>
            <w:vAlign w:val="bottom"/>
            <w:gridSpan w:val="2"/>
          </w:tcPr>
          <w:p>
            <w:pPr>
              <w:jc w:val="right"/>
              <w:ind w:right="470"/>
              <w:spacing w:after="0"/>
              <w:rPr>
                <w:sz w:val="20"/>
                <w:szCs w:val="20"/>
                <w:color w:val="auto"/>
              </w:rPr>
            </w:pPr>
            <w:r>
              <w:rPr>
                <w:rFonts w:ascii="Arial" w:cs="Arial" w:eastAsia="Arial" w:hAnsi="Arial"/>
                <w:sz w:val="18"/>
                <w:szCs w:val="18"/>
                <w:color w:val="auto"/>
              </w:rPr>
              <w:t>41,860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AF9E8"/>
          </w:tcPr>
          <w:p>
            <w:pPr>
              <w:ind w:left="60"/>
              <w:spacing w:after="0"/>
              <w:rPr>
                <w:sz w:val="20"/>
                <w:szCs w:val="20"/>
                <w:color w:val="auto"/>
              </w:rPr>
            </w:pPr>
            <w:r>
              <w:rPr>
                <w:rFonts w:ascii="Arial" w:cs="Arial" w:eastAsia="Arial" w:hAnsi="Arial"/>
                <w:sz w:val="18"/>
                <w:szCs w:val="18"/>
                <w:color w:val="auto"/>
              </w:rPr>
              <w:t>Sacramento, California (2)</w:t>
            </w:r>
          </w:p>
        </w:tc>
        <w:tc>
          <w:tcPr>
            <w:tcW w:w="340" w:type="dxa"/>
            <w:vAlign w:val="bottom"/>
            <w:shd w:val="clear" w:color="auto" w:fill="EAF9E8"/>
          </w:tcPr>
          <w:p>
            <w:pPr>
              <w:spacing w:after="0"/>
              <w:rPr>
                <w:sz w:val="18"/>
                <w:szCs w:val="18"/>
                <w:color w:val="auto"/>
              </w:rPr>
            </w:pPr>
          </w:p>
        </w:tc>
        <w:tc>
          <w:tcPr>
            <w:tcW w:w="1720" w:type="dxa"/>
            <w:vAlign w:val="bottom"/>
            <w:shd w:val="clear" w:color="auto" w:fill="EAF9E8"/>
          </w:tcPr>
          <w:p>
            <w:pPr>
              <w:ind w:left="640"/>
              <w:spacing w:after="0"/>
              <w:rPr>
                <w:sz w:val="20"/>
                <w:szCs w:val="20"/>
                <w:color w:val="auto"/>
              </w:rPr>
            </w:pPr>
            <w:r>
              <w:rPr>
                <w:rFonts w:ascii="Arial" w:cs="Arial" w:eastAsia="Arial" w:hAnsi="Arial"/>
                <w:sz w:val="18"/>
                <w:szCs w:val="18"/>
                <w:color w:val="auto"/>
              </w:rPr>
              <w:t>Leased</w:t>
            </w:r>
          </w:p>
        </w:tc>
        <w:tc>
          <w:tcPr>
            <w:tcW w:w="2040" w:type="dxa"/>
            <w:vAlign w:val="bottom"/>
            <w:gridSpan w:val="2"/>
            <w:shd w:val="clear" w:color="auto" w:fill="EAF9E8"/>
          </w:tcPr>
          <w:p>
            <w:pPr>
              <w:jc w:val="right"/>
              <w:ind w:right="470"/>
              <w:spacing w:after="0"/>
              <w:rPr>
                <w:sz w:val="20"/>
                <w:szCs w:val="20"/>
                <w:color w:val="auto"/>
              </w:rPr>
            </w:pPr>
            <w:r>
              <w:rPr>
                <w:rFonts w:ascii="Arial" w:cs="Arial" w:eastAsia="Arial" w:hAnsi="Arial"/>
                <w:sz w:val="18"/>
                <w:szCs w:val="18"/>
                <w:color w:val="auto"/>
              </w:rPr>
              <w:t>126,460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60"/>
              <w:spacing w:after="0"/>
              <w:rPr>
                <w:sz w:val="20"/>
                <w:szCs w:val="20"/>
                <w:color w:val="auto"/>
              </w:rPr>
            </w:pPr>
            <w:r>
              <w:rPr>
                <w:rFonts w:ascii="Arial" w:cs="Arial" w:eastAsia="Arial" w:hAnsi="Arial"/>
                <w:sz w:val="18"/>
                <w:szCs w:val="18"/>
                <w:color w:val="auto"/>
              </w:rPr>
              <w:t>Raleigh, North Carolina (2)</w:t>
            </w:r>
          </w:p>
        </w:tc>
        <w:tc>
          <w:tcPr>
            <w:tcW w:w="340" w:type="dxa"/>
            <w:vAlign w:val="bottom"/>
          </w:tcPr>
          <w:p>
            <w:pPr>
              <w:spacing w:after="0"/>
              <w:rPr>
                <w:sz w:val="18"/>
                <w:szCs w:val="18"/>
                <w:color w:val="auto"/>
              </w:rPr>
            </w:pPr>
          </w:p>
        </w:tc>
        <w:tc>
          <w:tcPr>
            <w:tcW w:w="1720" w:type="dxa"/>
            <w:vAlign w:val="bottom"/>
          </w:tcPr>
          <w:p>
            <w:pPr>
              <w:ind w:left="640"/>
              <w:spacing w:after="0"/>
              <w:rPr>
                <w:sz w:val="20"/>
                <w:szCs w:val="20"/>
                <w:color w:val="auto"/>
              </w:rPr>
            </w:pPr>
            <w:r>
              <w:rPr>
                <w:rFonts w:ascii="Arial" w:cs="Arial" w:eastAsia="Arial" w:hAnsi="Arial"/>
                <w:sz w:val="18"/>
                <w:szCs w:val="18"/>
                <w:color w:val="auto"/>
              </w:rPr>
              <w:t>Leased</w:t>
            </w:r>
          </w:p>
        </w:tc>
        <w:tc>
          <w:tcPr>
            <w:tcW w:w="2040" w:type="dxa"/>
            <w:vAlign w:val="bottom"/>
            <w:gridSpan w:val="2"/>
          </w:tcPr>
          <w:p>
            <w:pPr>
              <w:jc w:val="right"/>
              <w:ind w:right="470"/>
              <w:spacing w:after="0"/>
              <w:rPr>
                <w:sz w:val="20"/>
                <w:szCs w:val="20"/>
                <w:color w:val="auto"/>
              </w:rPr>
            </w:pPr>
            <w:r>
              <w:rPr>
                <w:rFonts w:ascii="Arial" w:cs="Arial" w:eastAsia="Arial" w:hAnsi="Arial"/>
                <w:sz w:val="18"/>
                <w:szCs w:val="18"/>
                <w:color w:val="auto"/>
              </w:rPr>
              <w:t>46,528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AF9E8"/>
          </w:tcPr>
          <w:p>
            <w:pPr>
              <w:ind w:left="60"/>
              <w:spacing w:after="0"/>
              <w:rPr>
                <w:sz w:val="20"/>
                <w:szCs w:val="20"/>
                <w:color w:val="auto"/>
              </w:rPr>
            </w:pPr>
            <w:r>
              <w:rPr>
                <w:rFonts w:ascii="Arial" w:cs="Arial" w:eastAsia="Arial" w:hAnsi="Arial"/>
                <w:sz w:val="18"/>
                <w:szCs w:val="18"/>
                <w:color w:val="auto"/>
              </w:rPr>
              <w:t>Bangalore, India</w:t>
            </w:r>
          </w:p>
        </w:tc>
        <w:tc>
          <w:tcPr>
            <w:tcW w:w="340" w:type="dxa"/>
            <w:vAlign w:val="bottom"/>
            <w:shd w:val="clear" w:color="auto" w:fill="EAF9E8"/>
          </w:tcPr>
          <w:p>
            <w:pPr>
              <w:spacing w:after="0"/>
              <w:rPr>
                <w:sz w:val="18"/>
                <w:szCs w:val="18"/>
                <w:color w:val="auto"/>
              </w:rPr>
            </w:pPr>
          </w:p>
        </w:tc>
        <w:tc>
          <w:tcPr>
            <w:tcW w:w="1720" w:type="dxa"/>
            <w:vAlign w:val="bottom"/>
            <w:shd w:val="clear" w:color="auto" w:fill="EAF9E8"/>
          </w:tcPr>
          <w:p>
            <w:pPr>
              <w:ind w:left="640"/>
              <w:spacing w:after="0"/>
              <w:rPr>
                <w:sz w:val="20"/>
                <w:szCs w:val="20"/>
                <w:color w:val="auto"/>
              </w:rPr>
            </w:pPr>
            <w:r>
              <w:rPr>
                <w:rFonts w:ascii="Arial" w:cs="Arial" w:eastAsia="Arial" w:hAnsi="Arial"/>
                <w:sz w:val="18"/>
                <w:szCs w:val="18"/>
                <w:color w:val="auto"/>
              </w:rPr>
              <w:t>Leased</w:t>
            </w:r>
          </w:p>
        </w:tc>
        <w:tc>
          <w:tcPr>
            <w:tcW w:w="2040" w:type="dxa"/>
            <w:vAlign w:val="bottom"/>
            <w:gridSpan w:val="2"/>
            <w:shd w:val="clear" w:color="auto" w:fill="EAF9E8"/>
          </w:tcPr>
          <w:p>
            <w:pPr>
              <w:jc w:val="right"/>
              <w:ind w:right="470"/>
              <w:spacing w:after="0"/>
              <w:rPr>
                <w:sz w:val="20"/>
                <w:szCs w:val="20"/>
                <w:color w:val="auto"/>
              </w:rPr>
            </w:pPr>
            <w:r>
              <w:rPr>
                <w:rFonts w:ascii="Arial" w:cs="Arial" w:eastAsia="Arial" w:hAnsi="Arial"/>
                <w:sz w:val="18"/>
                <w:szCs w:val="18"/>
                <w:color w:val="auto"/>
              </w:rPr>
              <w:t>86,413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60"/>
              <w:spacing w:after="0"/>
              <w:rPr>
                <w:sz w:val="20"/>
                <w:szCs w:val="20"/>
                <w:color w:val="auto"/>
              </w:rPr>
            </w:pPr>
            <w:r>
              <w:rPr>
                <w:rFonts w:ascii="Arial" w:cs="Arial" w:eastAsia="Arial" w:hAnsi="Arial"/>
                <w:sz w:val="18"/>
                <w:szCs w:val="18"/>
                <w:color w:val="auto"/>
              </w:rPr>
              <w:t>Mumbai, India</w:t>
            </w:r>
          </w:p>
        </w:tc>
        <w:tc>
          <w:tcPr>
            <w:tcW w:w="340" w:type="dxa"/>
            <w:vAlign w:val="bottom"/>
          </w:tcPr>
          <w:p>
            <w:pPr>
              <w:spacing w:after="0"/>
              <w:rPr>
                <w:sz w:val="18"/>
                <w:szCs w:val="18"/>
                <w:color w:val="auto"/>
              </w:rPr>
            </w:pPr>
          </w:p>
        </w:tc>
        <w:tc>
          <w:tcPr>
            <w:tcW w:w="1720" w:type="dxa"/>
            <w:vAlign w:val="bottom"/>
          </w:tcPr>
          <w:p>
            <w:pPr>
              <w:ind w:left="640"/>
              <w:spacing w:after="0"/>
              <w:rPr>
                <w:sz w:val="20"/>
                <w:szCs w:val="20"/>
                <w:color w:val="auto"/>
              </w:rPr>
            </w:pPr>
            <w:r>
              <w:rPr>
                <w:rFonts w:ascii="Arial" w:cs="Arial" w:eastAsia="Arial" w:hAnsi="Arial"/>
                <w:sz w:val="18"/>
                <w:szCs w:val="18"/>
                <w:color w:val="auto"/>
              </w:rPr>
              <w:t>Leased</w:t>
            </w:r>
          </w:p>
        </w:tc>
        <w:tc>
          <w:tcPr>
            <w:tcW w:w="2040" w:type="dxa"/>
            <w:vAlign w:val="bottom"/>
            <w:gridSpan w:val="2"/>
          </w:tcPr>
          <w:p>
            <w:pPr>
              <w:jc w:val="right"/>
              <w:ind w:right="470"/>
              <w:spacing w:after="0"/>
              <w:rPr>
                <w:sz w:val="20"/>
                <w:szCs w:val="20"/>
                <w:color w:val="auto"/>
              </w:rPr>
            </w:pPr>
            <w:r>
              <w:rPr>
                <w:rFonts w:ascii="Arial" w:cs="Arial" w:eastAsia="Arial" w:hAnsi="Arial"/>
                <w:sz w:val="18"/>
                <w:szCs w:val="18"/>
                <w:color w:val="auto"/>
              </w:rPr>
              <w:t>23,140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AF9E8"/>
          </w:tcPr>
          <w:p>
            <w:pPr>
              <w:ind w:left="60"/>
              <w:spacing w:after="0"/>
              <w:rPr>
                <w:sz w:val="20"/>
                <w:szCs w:val="20"/>
                <w:color w:val="auto"/>
              </w:rPr>
            </w:pPr>
            <w:r>
              <w:rPr>
                <w:rFonts w:ascii="Arial" w:cs="Arial" w:eastAsia="Arial" w:hAnsi="Arial"/>
                <w:sz w:val="18"/>
                <w:szCs w:val="18"/>
                <w:color w:val="auto"/>
              </w:rPr>
              <w:t>Montevideo, Uruguay</w:t>
            </w:r>
          </w:p>
        </w:tc>
        <w:tc>
          <w:tcPr>
            <w:tcW w:w="340" w:type="dxa"/>
            <w:vAlign w:val="bottom"/>
            <w:shd w:val="clear" w:color="auto" w:fill="EAF9E8"/>
          </w:tcPr>
          <w:p>
            <w:pPr>
              <w:spacing w:after="0"/>
              <w:rPr>
                <w:sz w:val="18"/>
                <w:szCs w:val="18"/>
                <w:color w:val="auto"/>
              </w:rPr>
            </w:pPr>
          </w:p>
        </w:tc>
        <w:tc>
          <w:tcPr>
            <w:tcW w:w="1720" w:type="dxa"/>
            <w:vAlign w:val="bottom"/>
            <w:shd w:val="clear" w:color="auto" w:fill="EAF9E8"/>
          </w:tcPr>
          <w:p>
            <w:pPr>
              <w:ind w:left="640"/>
              <w:spacing w:after="0"/>
              <w:rPr>
                <w:sz w:val="20"/>
                <w:szCs w:val="20"/>
                <w:color w:val="auto"/>
              </w:rPr>
            </w:pPr>
            <w:r>
              <w:rPr>
                <w:rFonts w:ascii="Arial" w:cs="Arial" w:eastAsia="Arial" w:hAnsi="Arial"/>
                <w:sz w:val="18"/>
                <w:szCs w:val="18"/>
                <w:color w:val="auto"/>
              </w:rPr>
              <w:t>Leased</w:t>
            </w:r>
          </w:p>
        </w:tc>
        <w:tc>
          <w:tcPr>
            <w:tcW w:w="2040" w:type="dxa"/>
            <w:vAlign w:val="bottom"/>
            <w:gridSpan w:val="2"/>
            <w:shd w:val="clear" w:color="auto" w:fill="EAF9E8"/>
          </w:tcPr>
          <w:p>
            <w:pPr>
              <w:jc w:val="right"/>
              <w:ind w:right="470"/>
              <w:spacing w:after="0"/>
              <w:rPr>
                <w:sz w:val="20"/>
                <w:szCs w:val="20"/>
                <w:color w:val="auto"/>
              </w:rPr>
            </w:pPr>
            <w:r>
              <w:rPr>
                <w:rFonts w:ascii="Arial" w:cs="Arial" w:eastAsia="Arial" w:hAnsi="Arial"/>
                <w:sz w:val="18"/>
                <w:szCs w:val="18"/>
                <w:color w:val="auto"/>
              </w:rPr>
              <w:t>16,668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December 2010, we entered into an agreement to sublease this space from Altisource through October 2014.</w:t>
      </w:r>
    </w:p>
    <w:p>
      <w:pPr>
        <w:spacing w:after="0" w:line="225" w:lineRule="exact"/>
        <w:rPr>
          <w:rFonts w:ascii="Arial" w:cs="Arial" w:eastAsia="Arial" w:hAnsi="Arial"/>
          <w:sz w:val="18"/>
          <w:szCs w:val="18"/>
          <w:color w:val="auto"/>
        </w:rPr>
      </w:pPr>
    </w:p>
    <w:p>
      <w:pPr>
        <w:ind w:left="580" w:right="420" w:hanging="572"/>
        <w:spacing w:after="0" w:line="277"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assumed these leases in connection with our acquisition of HomEq Servicing. The former HomEq operations have been shut down and these facilities are currently not in use.</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addition to the facilities listed in the table above, we also lease small offices in Orlando, Florida and Washington, D.C.</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 (Dollars in thousands)</w:t>
      </w:r>
    </w:p>
    <w:p>
      <w:pPr>
        <w:spacing w:after="0" w:line="22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 description of material pending or recently settled legal proceedings to which OCN or its subsidiaries are a party follows:</w:t>
      </w:r>
    </w:p>
    <w:p>
      <w:pPr>
        <w:spacing w:after="0" w:line="225" w:lineRule="exact"/>
        <w:rPr>
          <w:sz w:val="20"/>
          <w:szCs w:val="20"/>
          <w:color w:val="auto"/>
        </w:rPr>
      </w:pPr>
    </w:p>
    <w:p>
      <w:pPr>
        <w:ind w:firstLine="747"/>
        <w:spacing w:after="0" w:line="270" w:lineRule="auto"/>
        <w:rPr>
          <w:sz w:val="20"/>
          <w:szCs w:val="20"/>
          <w:color w:val="auto"/>
        </w:rPr>
      </w:pPr>
      <w:r>
        <w:rPr>
          <w:rFonts w:ascii="Arial" w:cs="Arial" w:eastAsia="Arial" w:hAnsi="Arial"/>
          <w:sz w:val="17"/>
          <w:szCs w:val="17"/>
          <w:color w:val="auto"/>
        </w:rPr>
        <w:t>Since April 2004, we have been included as a defendant in litigation in federal court in Chicago which consolidated certain class actions and individual actions brought by borrowers in various federal and state courts challenging the defendants’ mortgage servicing practices, including charging improper or unnecessary fees, misapplying borrower payments and similar allegations (the MDL Proceeding). We believe the allegations in the MDL Proceeding are without merit and have defended against them vigorously. In the interests of obtaining finality and cost certainty with regard to this complex and protracted litigated matter, however, defendants, including Ocwen, have entered into a definit ive written agreement with plaintiffs’ counsel with respect to a class settlement. Ocwen’s portion of the proposed settlement payment would be $5,163 plus certain other non-cash consideration. This liability and related settlement administrative costs are included in Other liabilities on the Consolidated Balance Sheet. The Court has granted preliminary approval to this class settlement, and notice of the settlement is being provided to potential class members. If the Court does not grant final approval of the settlement, then we will continue to vigorously defend the MDL Proceeding.</w:t>
      </w:r>
    </w:p>
    <w:p>
      <w:pPr>
        <w:spacing w:after="0" w:line="182" w:lineRule="exact"/>
        <w:rPr>
          <w:sz w:val="20"/>
          <w:szCs w:val="20"/>
          <w:color w:val="auto"/>
        </w:rPr>
      </w:pPr>
    </w:p>
    <w:p>
      <w:pPr>
        <w:ind w:right="100" w:firstLine="747"/>
        <w:spacing w:after="0" w:line="289" w:lineRule="auto"/>
        <w:rPr>
          <w:sz w:val="20"/>
          <w:szCs w:val="20"/>
          <w:color w:val="auto"/>
        </w:rPr>
      </w:pPr>
      <w:r>
        <w:rPr>
          <w:rFonts w:ascii="Arial" w:cs="Arial" w:eastAsia="Arial" w:hAnsi="Arial"/>
          <w:sz w:val="16"/>
          <w:szCs w:val="16"/>
          <w:color w:val="auto"/>
        </w:rPr>
        <w:t>In November 2004, a judgment was entered in litigation in federal court in Denver brought by Cartel Asset Management, Inc. (Cartel) against OCN, the Bank and Ocwen Technology Xchange, Inc. (OTX), a subsidiary that has been dissolved. This matter involved allegations of misappropriation of trade secrets and contract-related claims brought by Cartel, a former vendor. In September 2007, the United States Court of Appeals for the Tenth Circuit upheld the judgment against OTX and remanded the case for a retrial on damages against the Bank. The trial court set a date of September 13, 2010 for the retrial against the Bank, as well as OLS and OCN which were added as defendants. At the retrial, Cartel requested the jury to award it $35,000 in compensatory damages, plus punitive damages. On September 24, 2010, the jury returned a verdict in the amount of $6,360 in compensatory damages and $6,360 in punitive damages. The verdict, which has not yet been reduced to a final judgment, does not include prejudgment interest or plaintiff’s legal fees which may also be payable by Ocwen. Ocwen is evaluating post-verdict legal remedies in connection with the matter. Ocwen has accrued its best estimate of the total expected liability related to this matter. This liability is included in Other liabilities on the Consolidated Balance Sheet.</w:t>
      </w:r>
    </w:p>
    <w:p>
      <w:pPr>
        <w:spacing w:after="0" w:line="167" w:lineRule="exact"/>
        <w:rPr>
          <w:sz w:val="20"/>
          <w:szCs w:val="20"/>
          <w:color w:val="auto"/>
        </w:rPr>
      </w:pPr>
    </w:p>
    <w:p>
      <w:pPr>
        <w:ind w:right="260" w:firstLine="747"/>
        <w:spacing w:after="0" w:line="289" w:lineRule="auto"/>
        <w:rPr>
          <w:sz w:val="20"/>
          <w:szCs w:val="20"/>
          <w:color w:val="auto"/>
        </w:rPr>
      </w:pPr>
      <w:r>
        <w:rPr>
          <w:rFonts w:ascii="Arial" w:cs="Arial" w:eastAsia="Arial" w:hAnsi="Arial"/>
          <w:sz w:val="16"/>
          <w:szCs w:val="16"/>
          <w:color w:val="auto"/>
        </w:rPr>
        <w:t>In September 2006, the Bankruptcy Trustee in Chapter 7 proceedings involving American Business Financial Services, Inc. (ABFS) brought an action against multiple defendants, including OLS, in Bankruptcy Court. The action arises out of Debtor-in-Possession financing to ABFS by defendant Greenwich Capital Financial Products, Inc. and the subsequent purchases by OLS of MSRs and certain residual interests in mortgage-backed securities previously held by ABFS. The Trustee filed an amended complaint in March 2007 alleging various claims against OLS including turnover, fraudulent transfers, accounting, breach of fiduciary duty, aiding and abetting breach of fiduciary duty, breach of contract, fraud, civil conspiracy and conversion. The Trustee seeks compensatory damages in excess of $100,000 and punitive damages jointly and severally against all defendants. In April 2008, OLS filed an answer denying all charges and a counterclaim for breach of contract, fraud, negligent misrepresentation and indemnification in connection with the MSR purchase transaction. Fact discovery is complete and both Ocwen and the Trustee have filed motions for partial summary judgment. We believe that the Trustee’s allegations against OLS are without merit and intend to continue to vigorously defend against this matter.</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5" w:name="page26"/>
    <w:bookmarkEnd w:id="25"/>
    <w:p>
      <w:pPr>
        <w:ind w:right="20" w:firstLine="747"/>
        <w:spacing w:after="0" w:line="277" w:lineRule="auto"/>
        <w:rPr>
          <w:sz w:val="20"/>
          <w:szCs w:val="20"/>
          <w:color w:val="auto"/>
        </w:rPr>
      </w:pPr>
      <w:r>
        <w:rPr>
          <w:rFonts w:ascii="Arial" w:cs="Arial" w:eastAsia="Arial" w:hAnsi="Arial"/>
          <w:sz w:val="18"/>
          <w:szCs w:val="18"/>
          <w:color w:val="auto"/>
        </w:rPr>
        <w:t>OCN is subject to various other pending legal proceedings. In our opinion, the resolution of those proceedings will not have a material effect on our financial condition, results of operations or cash flows.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380" w:right="160" w:hanging="1377"/>
        <w:spacing w:after="0" w:line="282" w:lineRule="auto"/>
        <w:tabs>
          <w:tab w:leader="none" w:pos="13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the Company’s Common Stock</w:t>
      </w:r>
    </w:p>
    <w:p>
      <w:pPr>
        <w:spacing w:after="0" w:line="229" w:lineRule="exact"/>
        <w:rPr>
          <w:sz w:val="20"/>
          <w:szCs w:val="20"/>
          <w:color w:val="auto"/>
        </w:rPr>
      </w:pPr>
    </w:p>
    <w:p>
      <w:pPr>
        <w:ind w:right="140" w:firstLine="744"/>
        <w:spacing w:after="0" w:line="277" w:lineRule="auto"/>
        <w:rPr>
          <w:sz w:val="20"/>
          <w:szCs w:val="20"/>
          <w:color w:val="auto"/>
        </w:rPr>
      </w:pPr>
      <w:r>
        <w:rPr>
          <w:rFonts w:ascii="Arial" w:cs="Arial" w:eastAsia="Arial" w:hAnsi="Arial"/>
          <w:sz w:val="18"/>
          <w:szCs w:val="18"/>
          <w:color w:val="auto"/>
        </w:rPr>
        <w:t>The common stock of Ocwen Financial Corporation is traded under the symbol “OCN” on the New York Stock Exchange (NYSE). The following table sets forth the high and low closing sales prices for our common stock: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High</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2010</w:t>
            </w:r>
          </w:p>
        </w:tc>
        <w:tc>
          <w:tcPr>
            <w:tcW w:w="3600" w:type="dxa"/>
            <w:vAlign w:val="bottom"/>
            <w:shd w:val="clear" w:color="auto" w:fill="EAF9E8"/>
          </w:tcPr>
          <w:p>
            <w:pPr>
              <w:spacing w:after="0"/>
              <w:rPr>
                <w:sz w:val="18"/>
                <w:szCs w:val="18"/>
                <w:color w:val="auto"/>
              </w:rPr>
            </w:pPr>
          </w:p>
        </w:tc>
        <w:tc>
          <w:tcPr>
            <w:tcW w:w="840" w:type="dxa"/>
            <w:vAlign w:val="bottom"/>
            <w:tcBorders>
              <w:top w:val="single" w:sz="8" w:color="auto"/>
            </w:tcBorders>
            <w:shd w:val="clear" w:color="auto" w:fill="EAF9E8"/>
          </w:tcPr>
          <w:p>
            <w:pPr>
              <w:spacing w:after="0"/>
              <w:rPr>
                <w:sz w:val="18"/>
                <w:szCs w:val="18"/>
                <w:color w:val="auto"/>
              </w:rPr>
            </w:pPr>
          </w:p>
        </w:tc>
        <w:tc>
          <w:tcPr>
            <w:tcW w:w="420" w:type="dxa"/>
            <w:vAlign w:val="bottom"/>
            <w:tcBorders>
              <w:top w:val="single" w:sz="8" w:color="auto"/>
            </w:tcBorders>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8"/>
                <w:szCs w:val="18"/>
                <w:color w:val="auto"/>
              </w:rPr>
              <w:t>First quarter</w:t>
            </w:r>
          </w:p>
        </w:tc>
        <w:tc>
          <w:tcPr>
            <w:tcW w:w="444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11.36</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EAF9E8"/>
          </w:tcPr>
          <w:p>
            <w:pPr>
              <w:ind w:left="60"/>
              <w:spacing w:after="0"/>
              <w:rPr>
                <w:sz w:val="20"/>
                <w:szCs w:val="20"/>
                <w:color w:val="auto"/>
              </w:rPr>
            </w:pPr>
            <w:r>
              <w:rPr>
                <w:rFonts w:ascii="Arial" w:cs="Arial" w:eastAsia="Arial" w:hAnsi="Arial"/>
                <w:sz w:val="18"/>
                <w:szCs w:val="18"/>
                <w:color w:val="auto"/>
              </w:rPr>
              <w:t>Second quarter</w:t>
            </w:r>
          </w:p>
        </w:tc>
        <w:tc>
          <w:tcPr>
            <w:tcW w:w="36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6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w w:val="88"/>
              </w:rPr>
              <w:t>12.45</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8"/>
                <w:szCs w:val="18"/>
                <w:color w:val="auto"/>
              </w:rPr>
              <w:t>Third quarter</w:t>
            </w:r>
          </w:p>
        </w:tc>
        <w:tc>
          <w:tcPr>
            <w:tcW w:w="3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10.74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EAF9E8"/>
          </w:tcPr>
          <w:p>
            <w:pPr>
              <w:ind w:left="60"/>
              <w:spacing w:after="0"/>
              <w:rPr>
                <w:sz w:val="20"/>
                <w:szCs w:val="20"/>
                <w:color w:val="auto"/>
              </w:rPr>
            </w:pPr>
            <w:r>
              <w:rPr>
                <w:rFonts w:ascii="Arial" w:cs="Arial" w:eastAsia="Arial" w:hAnsi="Arial"/>
                <w:sz w:val="18"/>
                <w:szCs w:val="18"/>
                <w:color w:val="auto"/>
              </w:rPr>
              <w:t>Fourth quarter</w:t>
            </w:r>
          </w:p>
        </w:tc>
        <w:tc>
          <w:tcPr>
            <w:tcW w:w="36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6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w w:val="88"/>
              </w:rPr>
              <w:t>10.20</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2009</w:t>
            </w:r>
          </w:p>
        </w:tc>
        <w:tc>
          <w:tcPr>
            <w:tcW w:w="36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8"/>
                <w:szCs w:val="18"/>
                <w:color w:val="auto"/>
              </w:rPr>
              <w:t>First quarter</w:t>
            </w:r>
          </w:p>
        </w:tc>
        <w:tc>
          <w:tcPr>
            <w:tcW w:w="444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12.02</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EAF9E8"/>
          </w:tcPr>
          <w:p>
            <w:pPr>
              <w:ind w:left="60"/>
              <w:spacing w:after="0"/>
              <w:rPr>
                <w:sz w:val="20"/>
                <w:szCs w:val="20"/>
                <w:color w:val="auto"/>
              </w:rPr>
            </w:pPr>
            <w:r>
              <w:rPr>
                <w:rFonts w:ascii="Arial" w:cs="Arial" w:eastAsia="Arial" w:hAnsi="Arial"/>
                <w:sz w:val="18"/>
                <w:szCs w:val="18"/>
                <w:color w:val="auto"/>
              </w:rPr>
              <w:t>Second quarter</w:t>
            </w:r>
          </w:p>
        </w:tc>
        <w:tc>
          <w:tcPr>
            <w:tcW w:w="36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6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w w:val="88"/>
              </w:rPr>
              <w:t>13.30</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8"/>
                <w:szCs w:val="18"/>
                <w:color w:val="auto"/>
              </w:rPr>
              <w:t>Third quarter</w:t>
            </w:r>
          </w:p>
        </w:tc>
        <w:tc>
          <w:tcPr>
            <w:tcW w:w="3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14.30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EAF9E8"/>
          </w:tcPr>
          <w:p>
            <w:pPr>
              <w:ind w:left="60"/>
              <w:spacing w:after="0"/>
              <w:rPr>
                <w:sz w:val="20"/>
                <w:szCs w:val="20"/>
                <w:color w:val="auto"/>
              </w:rPr>
            </w:pPr>
            <w:r>
              <w:rPr>
                <w:rFonts w:ascii="Arial" w:cs="Arial" w:eastAsia="Arial" w:hAnsi="Arial"/>
                <w:sz w:val="18"/>
                <w:szCs w:val="18"/>
                <w:color w:val="auto"/>
              </w:rPr>
              <w:t>Fourth quarter</w:t>
            </w:r>
          </w:p>
        </w:tc>
        <w:tc>
          <w:tcPr>
            <w:tcW w:w="36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6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w w:val="88"/>
              </w:rPr>
              <w:t>11.95</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closing sales price of our common stock on February 22, 2011 was $10.95.</w:t>
      </w:r>
    </w:p>
    <w:p>
      <w:pPr>
        <w:spacing w:after="0" w:line="225" w:lineRule="exact"/>
        <w:rPr>
          <w:sz w:val="20"/>
          <w:szCs w:val="20"/>
          <w:color w:val="auto"/>
        </w:rPr>
      </w:pPr>
    </w:p>
    <w:p>
      <w:pPr>
        <w:ind w:right="300" w:firstLine="744"/>
        <w:spacing w:after="0" w:line="297" w:lineRule="auto"/>
        <w:rPr>
          <w:sz w:val="20"/>
          <w:szCs w:val="20"/>
          <w:color w:val="auto"/>
        </w:rPr>
      </w:pPr>
      <w:r>
        <w:rPr>
          <w:rFonts w:ascii="Arial" w:cs="Arial" w:eastAsia="Arial" w:hAnsi="Arial"/>
          <w:sz w:val="16"/>
          <w:szCs w:val="16"/>
          <w:color w:val="auto"/>
        </w:rPr>
        <w:t>We do not currently pay cash dividends on our common stock and have no current plans to do so in the future. The timing and amount of future dividends, if any, will be determined by our Board of Directors and will depend, among other factors, upon our earnings, financial condition, cash requirements, the capital requirements of subsidiaries and investment opportunities at the time any such payment is considered. In addition, the Guaranty agreement with the OTS and the indentures and covenants relating to certain of our borrowings contain limitations on our payment of dividends. See Note 31 to the Consolidated Financial Statements for additional information regarding limitations on t he payment of dividends on our common stock.</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6" w:name="page27"/>
    <w:bookmarkEnd w:id="26"/>
    <w:p>
      <w:pPr>
        <w:ind w:right="260" w:firstLine="744"/>
        <w:spacing w:after="0" w:line="342" w:lineRule="auto"/>
        <w:rPr>
          <w:sz w:val="20"/>
          <w:szCs w:val="20"/>
          <w:color w:val="auto"/>
        </w:rPr>
      </w:pPr>
      <w:r>
        <w:rPr>
          <w:rFonts w:ascii="Arial" w:cs="Arial" w:eastAsia="Arial" w:hAnsi="Arial"/>
          <w:sz w:val="16"/>
          <w:szCs w:val="16"/>
          <w:color w:val="auto"/>
        </w:rPr>
        <w:t>The following graph compares the cumulative total return on the common stock of Ocwen Financial Corporation since December 31, 2005, with the cumulative total return on the stocks included in Standard &amp; Poor’s 500 Market Index and Standard &amp; Poor’s Diversified Financials Market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87630</wp:posOffset>
            </wp:positionV>
            <wp:extent cx="4288155" cy="27616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88155" cy="276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8"/>
                <w:szCs w:val="18"/>
                <w:b w:val="1"/>
                <w:bCs w:val="1"/>
                <w:i w:val="1"/>
                <w:iCs w:val="1"/>
                <w:color w:val="auto"/>
                <w:w w:val="93"/>
              </w:rPr>
              <w:t>Period Ending</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23"/>
        </w:trPr>
        <w:tc>
          <w:tcPr>
            <w:tcW w:w="17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Index</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12/31/05</w:t>
            </w:r>
          </w:p>
        </w:tc>
        <w:tc>
          <w:tcPr>
            <w:tcW w:w="1700" w:type="dxa"/>
            <w:vAlign w:val="bottom"/>
            <w:gridSpan w:val="2"/>
          </w:tcPr>
          <w:p>
            <w:pPr>
              <w:jc w:val="center"/>
              <w:ind w:left="330"/>
              <w:spacing w:after="0"/>
              <w:rPr>
                <w:sz w:val="20"/>
                <w:szCs w:val="20"/>
                <w:color w:val="auto"/>
              </w:rPr>
            </w:pPr>
            <w:r>
              <w:rPr>
                <w:rFonts w:ascii="Arial" w:cs="Arial" w:eastAsia="Arial" w:hAnsi="Arial"/>
                <w:sz w:val="18"/>
                <w:szCs w:val="18"/>
                <w:b w:val="1"/>
                <w:bCs w:val="1"/>
                <w:color w:val="auto"/>
                <w:w w:val="91"/>
              </w:rPr>
              <w:t>12/31/06</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12/31/07</w:t>
            </w:r>
          </w:p>
        </w:tc>
        <w:tc>
          <w:tcPr>
            <w:tcW w:w="19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12/31/08</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12/31/09</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12/31/10</w:t>
            </w:r>
          </w:p>
        </w:tc>
      </w:tr>
      <w:tr>
        <w:trPr>
          <w:trHeight w:val="202"/>
        </w:trPr>
        <w:tc>
          <w:tcPr>
            <w:tcW w:w="20" w:type="dxa"/>
            <w:vAlign w:val="bottom"/>
          </w:tcPr>
          <w:p>
            <w:pPr>
              <w:spacing w:after="0"/>
              <w:rPr>
                <w:sz w:val="17"/>
                <w:szCs w:val="17"/>
                <w:color w:val="auto"/>
              </w:rPr>
            </w:pPr>
          </w:p>
        </w:tc>
        <w:tc>
          <w:tcPr>
            <w:tcW w:w="1300" w:type="dxa"/>
            <w:vAlign w:val="bottom"/>
            <w:tcBorders>
              <w:top w:val="single" w:sz="8" w:color="auto"/>
            </w:tcBorders>
            <w:shd w:val="clear" w:color="auto" w:fill="EAF9E8"/>
          </w:tcPr>
          <w:p>
            <w:pPr>
              <w:spacing w:after="0" w:line="201" w:lineRule="exact"/>
              <w:rPr>
                <w:sz w:val="20"/>
                <w:szCs w:val="20"/>
                <w:color w:val="auto"/>
              </w:rPr>
            </w:pPr>
            <w:r>
              <w:rPr>
                <w:rFonts w:ascii="Arial" w:cs="Arial" w:eastAsia="Arial" w:hAnsi="Arial"/>
                <w:sz w:val="18"/>
                <w:szCs w:val="18"/>
                <w:color w:val="auto"/>
                <w:w w:val="96"/>
              </w:rPr>
              <w:t>Ocwen Financial</w:t>
            </w:r>
          </w:p>
        </w:tc>
        <w:tc>
          <w:tcPr>
            <w:tcW w:w="400" w:type="dxa"/>
            <w:vAlign w:val="bottom"/>
            <w:shd w:val="clear" w:color="auto" w:fill="EAF9E8"/>
          </w:tcPr>
          <w:p>
            <w:pPr>
              <w:spacing w:after="0"/>
              <w:rPr>
                <w:sz w:val="17"/>
                <w:szCs w:val="17"/>
                <w:color w:val="auto"/>
              </w:rPr>
            </w:pPr>
          </w:p>
        </w:tc>
        <w:tc>
          <w:tcPr>
            <w:tcW w:w="1280" w:type="dxa"/>
            <w:vAlign w:val="bottom"/>
            <w:tcBorders>
              <w:top w:val="single" w:sz="8" w:color="auto"/>
            </w:tcBorders>
            <w:shd w:val="clear" w:color="auto" w:fill="EAF9E8"/>
          </w:tcPr>
          <w:p>
            <w:pPr>
              <w:spacing w:after="0"/>
              <w:rPr>
                <w:sz w:val="17"/>
                <w:szCs w:val="17"/>
                <w:color w:val="auto"/>
              </w:rPr>
            </w:pPr>
          </w:p>
        </w:tc>
        <w:tc>
          <w:tcPr>
            <w:tcW w:w="420" w:type="dxa"/>
            <w:vAlign w:val="bottom"/>
            <w:shd w:val="clear" w:color="auto" w:fill="EAF9E8"/>
          </w:tcPr>
          <w:p>
            <w:pPr>
              <w:spacing w:after="0"/>
              <w:rPr>
                <w:sz w:val="17"/>
                <w:szCs w:val="17"/>
                <w:color w:val="auto"/>
              </w:rPr>
            </w:pPr>
          </w:p>
        </w:tc>
        <w:tc>
          <w:tcPr>
            <w:tcW w:w="1280" w:type="dxa"/>
            <w:vAlign w:val="bottom"/>
            <w:tcBorders>
              <w:top w:val="single" w:sz="8" w:color="auto"/>
            </w:tcBorders>
            <w:shd w:val="clear" w:color="auto" w:fill="EAF9E8"/>
          </w:tcPr>
          <w:p>
            <w:pPr>
              <w:spacing w:after="0"/>
              <w:rPr>
                <w:sz w:val="17"/>
                <w:szCs w:val="17"/>
                <w:color w:val="auto"/>
              </w:rPr>
            </w:pPr>
          </w:p>
        </w:tc>
        <w:tc>
          <w:tcPr>
            <w:tcW w:w="400" w:type="dxa"/>
            <w:vAlign w:val="bottom"/>
            <w:shd w:val="clear" w:color="auto" w:fill="EAF9E8"/>
          </w:tcPr>
          <w:p>
            <w:pPr>
              <w:spacing w:after="0"/>
              <w:rPr>
                <w:sz w:val="17"/>
                <w:szCs w:val="17"/>
                <w:color w:val="auto"/>
              </w:rPr>
            </w:pPr>
          </w:p>
        </w:tc>
        <w:tc>
          <w:tcPr>
            <w:tcW w:w="1040" w:type="dxa"/>
            <w:vAlign w:val="bottom"/>
            <w:tcBorders>
              <w:top w:val="single" w:sz="8" w:color="auto"/>
            </w:tcBorders>
            <w:shd w:val="clear" w:color="auto" w:fill="EAF9E8"/>
          </w:tcPr>
          <w:p>
            <w:pPr>
              <w:spacing w:after="0"/>
              <w:rPr>
                <w:sz w:val="17"/>
                <w:szCs w:val="17"/>
                <w:color w:val="auto"/>
              </w:rPr>
            </w:pPr>
          </w:p>
        </w:tc>
        <w:tc>
          <w:tcPr>
            <w:tcW w:w="220" w:type="dxa"/>
            <w:vAlign w:val="bottom"/>
            <w:tcBorders>
              <w:top w:val="single" w:sz="8" w:color="auto"/>
            </w:tcBorders>
            <w:shd w:val="clear" w:color="auto" w:fill="EAF9E8"/>
          </w:tcPr>
          <w:p>
            <w:pPr>
              <w:spacing w:after="0"/>
              <w:rPr>
                <w:sz w:val="17"/>
                <w:szCs w:val="17"/>
                <w:color w:val="auto"/>
              </w:rPr>
            </w:pPr>
          </w:p>
        </w:tc>
        <w:tc>
          <w:tcPr>
            <w:tcW w:w="420" w:type="dxa"/>
            <w:vAlign w:val="bottom"/>
            <w:shd w:val="clear" w:color="auto" w:fill="EAF9E8"/>
          </w:tcPr>
          <w:p>
            <w:pPr>
              <w:spacing w:after="0"/>
              <w:rPr>
                <w:sz w:val="17"/>
                <w:szCs w:val="17"/>
                <w:color w:val="auto"/>
              </w:rPr>
            </w:pPr>
          </w:p>
        </w:tc>
        <w:tc>
          <w:tcPr>
            <w:tcW w:w="1280" w:type="dxa"/>
            <w:vAlign w:val="bottom"/>
            <w:tcBorders>
              <w:top w:val="single" w:sz="8" w:color="auto"/>
            </w:tcBorders>
            <w:shd w:val="clear" w:color="auto" w:fill="EAF9E8"/>
          </w:tcPr>
          <w:p>
            <w:pPr>
              <w:spacing w:after="0"/>
              <w:rPr>
                <w:sz w:val="17"/>
                <w:szCs w:val="17"/>
                <w:color w:val="auto"/>
              </w:rPr>
            </w:pPr>
          </w:p>
        </w:tc>
        <w:tc>
          <w:tcPr>
            <w:tcW w:w="400" w:type="dxa"/>
            <w:vAlign w:val="bottom"/>
            <w:shd w:val="clear" w:color="auto" w:fill="EAF9E8"/>
          </w:tcPr>
          <w:p>
            <w:pPr>
              <w:spacing w:after="0"/>
              <w:rPr>
                <w:sz w:val="17"/>
                <w:szCs w:val="17"/>
                <w:color w:val="auto"/>
              </w:rPr>
            </w:pPr>
          </w:p>
        </w:tc>
        <w:tc>
          <w:tcPr>
            <w:tcW w:w="1280" w:type="dxa"/>
            <w:vAlign w:val="bottom"/>
            <w:tcBorders>
              <w:top w:val="single" w:sz="8" w:color="auto"/>
            </w:tcBorders>
            <w:shd w:val="clear" w:color="auto" w:fill="EAF9E8"/>
          </w:tcPr>
          <w:p>
            <w:pPr>
              <w:spacing w:after="0"/>
              <w:rPr>
                <w:sz w:val="17"/>
                <w:szCs w:val="17"/>
                <w:color w:val="auto"/>
              </w:rPr>
            </w:pPr>
          </w:p>
        </w:tc>
        <w:tc>
          <w:tcPr>
            <w:tcW w:w="400" w:type="dxa"/>
            <w:vAlign w:val="bottom"/>
            <w:shd w:val="clear" w:color="auto" w:fill="EAF9E8"/>
          </w:tcPr>
          <w:p>
            <w:pPr>
              <w:spacing w:after="0"/>
              <w:rPr>
                <w:sz w:val="17"/>
                <w:szCs w:val="17"/>
                <w:color w:val="auto"/>
              </w:rPr>
            </w:pPr>
          </w:p>
        </w:tc>
        <w:tc>
          <w:tcPr>
            <w:tcW w:w="1280" w:type="dxa"/>
            <w:vAlign w:val="bottom"/>
            <w:tcBorders>
              <w:top w:val="single" w:sz="8" w:color="auto"/>
            </w:tcBorders>
            <w:shd w:val="clear" w:color="auto" w:fill="EAF9E8"/>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7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Corporation</w:t>
            </w:r>
          </w:p>
        </w:tc>
        <w:tc>
          <w:tcPr>
            <w:tcW w:w="12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100.00</w:t>
            </w:r>
          </w:p>
        </w:tc>
        <w:tc>
          <w:tcPr>
            <w:tcW w:w="1700" w:type="dxa"/>
            <w:vAlign w:val="bottom"/>
            <w:gridSpan w:val="2"/>
            <w:shd w:val="clear" w:color="auto" w:fill="EAF9E8"/>
          </w:tcPr>
          <w:p>
            <w:pPr>
              <w:jc w:val="center"/>
              <w:ind w:left="290"/>
              <w:spacing w:after="0"/>
              <w:rPr>
                <w:sz w:val="20"/>
                <w:szCs w:val="20"/>
                <w:color w:val="auto"/>
              </w:rPr>
            </w:pPr>
            <w:r>
              <w:rPr>
                <w:rFonts w:ascii="Arial" w:cs="Arial" w:eastAsia="Arial" w:hAnsi="Arial"/>
                <w:sz w:val="18"/>
                <w:szCs w:val="18"/>
                <w:color w:val="auto"/>
                <w:w w:val="87"/>
              </w:rPr>
              <w:t>182.30</w:t>
            </w:r>
          </w:p>
        </w:tc>
        <w:tc>
          <w:tcPr>
            <w:tcW w:w="14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63.68</w:t>
            </w:r>
          </w:p>
        </w:tc>
        <w:tc>
          <w:tcPr>
            <w:tcW w:w="1920" w:type="dxa"/>
            <w:vAlign w:val="bottom"/>
            <w:gridSpan w:val="3"/>
            <w:shd w:val="clear" w:color="auto" w:fill="EAF9E8"/>
          </w:tcPr>
          <w:p>
            <w:pPr>
              <w:jc w:val="right"/>
              <w:ind w:right="400"/>
              <w:spacing w:after="0"/>
              <w:rPr>
                <w:sz w:val="20"/>
                <w:szCs w:val="20"/>
                <w:color w:val="auto"/>
              </w:rPr>
            </w:pPr>
            <w:r>
              <w:rPr>
                <w:rFonts w:ascii="Arial" w:cs="Arial" w:eastAsia="Arial" w:hAnsi="Arial"/>
                <w:sz w:val="18"/>
                <w:szCs w:val="18"/>
                <w:color w:val="auto"/>
              </w:rPr>
              <w:t>105.52</w:t>
            </w:r>
          </w:p>
        </w:tc>
        <w:tc>
          <w:tcPr>
            <w:tcW w:w="1680" w:type="dxa"/>
            <w:vAlign w:val="bottom"/>
            <w:gridSpan w:val="2"/>
            <w:shd w:val="clear" w:color="auto" w:fill="EAF9E8"/>
          </w:tcPr>
          <w:p>
            <w:pPr>
              <w:jc w:val="right"/>
              <w:ind w:right="420"/>
              <w:spacing w:after="0"/>
              <w:rPr>
                <w:sz w:val="20"/>
                <w:szCs w:val="20"/>
                <w:color w:val="auto"/>
              </w:rPr>
            </w:pPr>
            <w:r>
              <w:rPr>
                <w:rFonts w:ascii="Arial" w:cs="Arial" w:eastAsia="Arial" w:hAnsi="Arial"/>
                <w:sz w:val="18"/>
                <w:szCs w:val="18"/>
                <w:color w:val="auto"/>
              </w:rPr>
              <w:t>110.00</w:t>
            </w:r>
          </w:p>
        </w:tc>
        <w:tc>
          <w:tcPr>
            <w:tcW w:w="1680" w:type="dxa"/>
            <w:vAlign w:val="bottom"/>
            <w:gridSpan w:val="2"/>
            <w:shd w:val="clear" w:color="auto" w:fill="EAF9E8"/>
          </w:tcPr>
          <w:p>
            <w:pPr>
              <w:jc w:val="right"/>
              <w:ind w:right="400"/>
              <w:spacing w:after="0"/>
              <w:rPr>
                <w:sz w:val="20"/>
                <w:szCs w:val="20"/>
                <w:color w:val="auto"/>
              </w:rPr>
            </w:pPr>
            <w:r>
              <w:rPr>
                <w:rFonts w:ascii="Arial" w:cs="Arial" w:eastAsia="Arial" w:hAnsi="Arial"/>
                <w:sz w:val="18"/>
                <w:szCs w:val="18"/>
                <w:color w:val="auto"/>
              </w:rPr>
              <w:t>109.66</w:t>
            </w:r>
          </w:p>
        </w:tc>
      </w:tr>
      <w:tr>
        <w:trPr>
          <w:trHeight w:val="216"/>
        </w:trPr>
        <w:tc>
          <w:tcPr>
            <w:tcW w:w="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S&amp;P 500</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100.00</w:t>
            </w:r>
          </w:p>
        </w:tc>
        <w:tc>
          <w:tcPr>
            <w:tcW w:w="1700" w:type="dxa"/>
            <w:vAlign w:val="bottom"/>
            <w:gridSpan w:val="2"/>
          </w:tcPr>
          <w:p>
            <w:pPr>
              <w:jc w:val="center"/>
              <w:ind w:left="290"/>
              <w:spacing w:after="0"/>
              <w:rPr>
                <w:sz w:val="20"/>
                <w:szCs w:val="20"/>
                <w:color w:val="auto"/>
              </w:rPr>
            </w:pPr>
            <w:r>
              <w:rPr>
                <w:rFonts w:ascii="Arial" w:cs="Arial" w:eastAsia="Arial" w:hAnsi="Arial"/>
                <w:sz w:val="18"/>
                <w:szCs w:val="18"/>
                <w:color w:val="auto"/>
                <w:w w:val="87"/>
              </w:rPr>
              <w:t>113.62</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117.63</w:t>
            </w:r>
          </w:p>
        </w:tc>
        <w:tc>
          <w:tcPr>
            <w:tcW w:w="1920" w:type="dxa"/>
            <w:vAlign w:val="bottom"/>
            <w:gridSpan w:val="3"/>
          </w:tcPr>
          <w:p>
            <w:pPr>
              <w:jc w:val="right"/>
              <w:ind w:right="400"/>
              <w:spacing w:after="0"/>
              <w:rPr>
                <w:sz w:val="20"/>
                <w:szCs w:val="20"/>
                <w:color w:val="auto"/>
              </w:rPr>
            </w:pPr>
            <w:r>
              <w:rPr>
                <w:rFonts w:ascii="Arial" w:cs="Arial" w:eastAsia="Arial" w:hAnsi="Arial"/>
                <w:sz w:val="18"/>
                <w:szCs w:val="18"/>
                <w:color w:val="auto"/>
              </w:rPr>
              <w:t>72.36</w:t>
            </w:r>
          </w:p>
        </w:tc>
        <w:tc>
          <w:tcPr>
            <w:tcW w:w="1680" w:type="dxa"/>
            <w:vAlign w:val="bottom"/>
            <w:gridSpan w:val="2"/>
          </w:tcPr>
          <w:p>
            <w:pPr>
              <w:jc w:val="right"/>
              <w:ind w:right="420"/>
              <w:spacing w:after="0"/>
              <w:rPr>
                <w:sz w:val="20"/>
                <w:szCs w:val="20"/>
                <w:color w:val="auto"/>
              </w:rPr>
            </w:pPr>
            <w:r>
              <w:rPr>
                <w:rFonts w:ascii="Arial" w:cs="Arial" w:eastAsia="Arial" w:hAnsi="Arial"/>
                <w:sz w:val="18"/>
                <w:szCs w:val="18"/>
                <w:color w:val="auto"/>
              </w:rPr>
              <w:t>89.33</w:t>
            </w:r>
          </w:p>
        </w:tc>
        <w:tc>
          <w:tcPr>
            <w:tcW w:w="1680" w:type="dxa"/>
            <w:vAlign w:val="bottom"/>
            <w:gridSpan w:val="2"/>
          </w:tcPr>
          <w:p>
            <w:pPr>
              <w:jc w:val="right"/>
              <w:ind w:right="400"/>
              <w:spacing w:after="0"/>
              <w:rPr>
                <w:sz w:val="20"/>
                <w:szCs w:val="20"/>
                <w:color w:val="auto"/>
              </w:rPr>
            </w:pPr>
            <w:r>
              <w:rPr>
                <w:rFonts w:ascii="Arial" w:cs="Arial" w:eastAsia="Arial" w:hAnsi="Arial"/>
                <w:sz w:val="18"/>
                <w:szCs w:val="18"/>
                <w:color w:val="auto"/>
              </w:rPr>
              <w:t>100.75</w:t>
            </w:r>
          </w:p>
        </w:tc>
      </w:tr>
      <w:tr>
        <w:trPr>
          <w:trHeight w:val="202"/>
        </w:trPr>
        <w:tc>
          <w:tcPr>
            <w:tcW w:w="20" w:type="dxa"/>
            <w:vAlign w:val="bottom"/>
          </w:tcPr>
          <w:p>
            <w:pPr>
              <w:spacing w:after="0"/>
              <w:rPr>
                <w:sz w:val="17"/>
                <w:szCs w:val="17"/>
                <w:color w:val="auto"/>
              </w:rPr>
            </w:pPr>
          </w:p>
        </w:tc>
        <w:tc>
          <w:tcPr>
            <w:tcW w:w="1700" w:type="dxa"/>
            <w:vAlign w:val="bottom"/>
            <w:gridSpan w:val="2"/>
            <w:shd w:val="clear" w:color="auto" w:fill="EAF9E8"/>
          </w:tcPr>
          <w:p>
            <w:pPr>
              <w:spacing w:after="0" w:line="201" w:lineRule="exact"/>
              <w:rPr>
                <w:sz w:val="20"/>
                <w:szCs w:val="20"/>
                <w:color w:val="auto"/>
              </w:rPr>
            </w:pPr>
            <w:r>
              <w:rPr>
                <w:rFonts w:ascii="Arial" w:cs="Arial" w:eastAsia="Arial" w:hAnsi="Arial"/>
                <w:sz w:val="18"/>
                <w:szCs w:val="18"/>
                <w:color w:val="auto"/>
              </w:rPr>
              <w:t>S&amp;P Diversified</w:t>
            </w:r>
          </w:p>
        </w:tc>
        <w:tc>
          <w:tcPr>
            <w:tcW w:w="1280" w:type="dxa"/>
            <w:vAlign w:val="bottom"/>
            <w:shd w:val="clear" w:color="auto" w:fill="EAF9E8"/>
          </w:tcPr>
          <w:p>
            <w:pPr>
              <w:spacing w:after="0"/>
              <w:rPr>
                <w:sz w:val="17"/>
                <w:szCs w:val="17"/>
                <w:color w:val="auto"/>
              </w:rPr>
            </w:pPr>
          </w:p>
        </w:tc>
        <w:tc>
          <w:tcPr>
            <w:tcW w:w="420" w:type="dxa"/>
            <w:vAlign w:val="bottom"/>
            <w:shd w:val="clear" w:color="auto" w:fill="EAF9E8"/>
          </w:tcPr>
          <w:p>
            <w:pPr>
              <w:spacing w:after="0"/>
              <w:rPr>
                <w:sz w:val="17"/>
                <w:szCs w:val="17"/>
                <w:color w:val="auto"/>
              </w:rPr>
            </w:pPr>
          </w:p>
        </w:tc>
        <w:tc>
          <w:tcPr>
            <w:tcW w:w="1280" w:type="dxa"/>
            <w:vAlign w:val="bottom"/>
            <w:shd w:val="clear" w:color="auto" w:fill="EAF9E8"/>
          </w:tcPr>
          <w:p>
            <w:pPr>
              <w:spacing w:after="0"/>
              <w:rPr>
                <w:sz w:val="17"/>
                <w:szCs w:val="17"/>
                <w:color w:val="auto"/>
              </w:rPr>
            </w:pPr>
          </w:p>
        </w:tc>
        <w:tc>
          <w:tcPr>
            <w:tcW w:w="40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420" w:type="dxa"/>
            <w:vAlign w:val="bottom"/>
            <w:shd w:val="clear" w:color="auto" w:fill="EAF9E8"/>
          </w:tcPr>
          <w:p>
            <w:pPr>
              <w:spacing w:after="0"/>
              <w:rPr>
                <w:sz w:val="17"/>
                <w:szCs w:val="17"/>
                <w:color w:val="auto"/>
              </w:rPr>
            </w:pPr>
          </w:p>
        </w:tc>
        <w:tc>
          <w:tcPr>
            <w:tcW w:w="1280" w:type="dxa"/>
            <w:vAlign w:val="bottom"/>
            <w:shd w:val="clear" w:color="auto" w:fill="EAF9E8"/>
          </w:tcPr>
          <w:p>
            <w:pPr>
              <w:spacing w:after="0"/>
              <w:rPr>
                <w:sz w:val="17"/>
                <w:szCs w:val="17"/>
                <w:color w:val="auto"/>
              </w:rPr>
            </w:pPr>
          </w:p>
        </w:tc>
        <w:tc>
          <w:tcPr>
            <w:tcW w:w="400" w:type="dxa"/>
            <w:vAlign w:val="bottom"/>
            <w:shd w:val="clear" w:color="auto" w:fill="EAF9E8"/>
          </w:tcPr>
          <w:p>
            <w:pPr>
              <w:spacing w:after="0"/>
              <w:rPr>
                <w:sz w:val="17"/>
                <w:szCs w:val="17"/>
                <w:color w:val="auto"/>
              </w:rPr>
            </w:pPr>
          </w:p>
        </w:tc>
        <w:tc>
          <w:tcPr>
            <w:tcW w:w="1280" w:type="dxa"/>
            <w:vAlign w:val="bottom"/>
            <w:shd w:val="clear" w:color="auto" w:fill="EAF9E8"/>
          </w:tcPr>
          <w:p>
            <w:pPr>
              <w:spacing w:after="0"/>
              <w:rPr>
                <w:sz w:val="17"/>
                <w:szCs w:val="17"/>
                <w:color w:val="auto"/>
              </w:rPr>
            </w:pPr>
          </w:p>
        </w:tc>
        <w:tc>
          <w:tcPr>
            <w:tcW w:w="400" w:type="dxa"/>
            <w:vAlign w:val="bottom"/>
            <w:shd w:val="clear" w:color="auto" w:fill="EAF9E8"/>
          </w:tcPr>
          <w:p>
            <w:pPr>
              <w:spacing w:after="0"/>
              <w:rPr>
                <w:sz w:val="17"/>
                <w:szCs w:val="17"/>
                <w:color w:val="auto"/>
              </w:rPr>
            </w:pPr>
          </w:p>
        </w:tc>
        <w:tc>
          <w:tcPr>
            <w:tcW w:w="1280" w:type="dxa"/>
            <w:vAlign w:val="bottom"/>
            <w:shd w:val="clear" w:color="auto" w:fill="EAF9E8"/>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7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Financials</w:t>
            </w:r>
          </w:p>
        </w:tc>
        <w:tc>
          <w:tcPr>
            <w:tcW w:w="12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100.00</w:t>
            </w:r>
          </w:p>
        </w:tc>
        <w:tc>
          <w:tcPr>
            <w:tcW w:w="1700" w:type="dxa"/>
            <w:vAlign w:val="bottom"/>
            <w:gridSpan w:val="2"/>
            <w:shd w:val="clear" w:color="auto" w:fill="EAF9E8"/>
          </w:tcPr>
          <w:p>
            <w:pPr>
              <w:jc w:val="center"/>
              <w:ind w:left="290"/>
              <w:spacing w:after="0"/>
              <w:rPr>
                <w:sz w:val="20"/>
                <w:szCs w:val="20"/>
                <w:color w:val="auto"/>
              </w:rPr>
            </w:pPr>
            <w:r>
              <w:rPr>
                <w:rFonts w:ascii="Arial" w:cs="Arial" w:eastAsia="Arial" w:hAnsi="Arial"/>
                <w:sz w:val="18"/>
                <w:szCs w:val="18"/>
                <w:color w:val="auto"/>
                <w:w w:val="87"/>
              </w:rPr>
              <w:t>120.74</w:t>
            </w:r>
          </w:p>
        </w:tc>
        <w:tc>
          <w:tcPr>
            <w:tcW w:w="14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95.70</w:t>
            </w:r>
          </w:p>
        </w:tc>
        <w:tc>
          <w:tcPr>
            <w:tcW w:w="1920" w:type="dxa"/>
            <w:vAlign w:val="bottom"/>
            <w:gridSpan w:val="3"/>
            <w:shd w:val="clear" w:color="auto" w:fill="EAF9E8"/>
          </w:tcPr>
          <w:p>
            <w:pPr>
              <w:jc w:val="right"/>
              <w:ind w:right="400"/>
              <w:spacing w:after="0"/>
              <w:rPr>
                <w:sz w:val="20"/>
                <w:szCs w:val="20"/>
                <w:color w:val="auto"/>
              </w:rPr>
            </w:pPr>
            <w:r>
              <w:rPr>
                <w:rFonts w:ascii="Arial" w:cs="Arial" w:eastAsia="Arial" w:hAnsi="Arial"/>
                <w:sz w:val="18"/>
                <w:szCs w:val="18"/>
                <w:color w:val="auto"/>
              </w:rPr>
              <w:t>38.16</w:t>
            </w:r>
          </w:p>
        </w:tc>
        <w:tc>
          <w:tcPr>
            <w:tcW w:w="1680" w:type="dxa"/>
            <w:vAlign w:val="bottom"/>
            <w:gridSpan w:val="2"/>
            <w:shd w:val="clear" w:color="auto" w:fill="EAF9E8"/>
          </w:tcPr>
          <w:p>
            <w:pPr>
              <w:jc w:val="right"/>
              <w:ind w:right="420"/>
              <w:spacing w:after="0"/>
              <w:rPr>
                <w:sz w:val="20"/>
                <w:szCs w:val="20"/>
                <w:color w:val="auto"/>
              </w:rPr>
            </w:pPr>
            <w:r>
              <w:rPr>
                <w:rFonts w:ascii="Arial" w:cs="Arial" w:eastAsia="Arial" w:hAnsi="Arial"/>
                <w:sz w:val="18"/>
                <w:szCs w:val="18"/>
                <w:color w:val="auto"/>
              </w:rPr>
              <w:t>49.05</w:t>
            </w:r>
          </w:p>
        </w:tc>
        <w:tc>
          <w:tcPr>
            <w:tcW w:w="1680" w:type="dxa"/>
            <w:vAlign w:val="bottom"/>
            <w:gridSpan w:val="2"/>
            <w:shd w:val="clear" w:color="auto" w:fill="EAF9E8"/>
          </w:tcPr>
          <w:p>
            <w:pPr>
              <w:jc w:val="right"/>
              <w:ind w:right="400"/>
              <w:spacing w:after="0"/>
              <w:rPr>
                <w:sz w:val="20"/>
                <w:szCs w:val="20"/>
                <w:color w:val="auto"/>
              </w:rPr>
            </w:pPr>
            <w:r>
              <w:rPr>
                <w:rFonts w:ascii="Arial" w:cs="Arial" w:eastAsia="Arial" w:hAnsi="Arial"/>
                <w:sz w:val="18"/>
                <w:szCs w:val="18"/>
                <w:color w:val="auto"/>
              </w:rPr>
              <w:t>51.16</w:t>
            </w:r>
          </w:p>
        </w:tc>
      </w:tr>
    </w:tbl>
    <w:p>
      <w:pPr>
        <w:spacing w:after="0" w:line="202" w:lineRule="exact"/>
        <w:rPr>
          <w:sz w:val="20"/>
          <w:szCs w:val="20"/>
          <w:color w:val="auto"/>
        </w:rPr>
      </w:pPr>
    </w:p>
    <w:p>
      <w:pPr>
        <w:ind w:left="580" w:hanging="572"/>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Excludes the significant value distributed in 2009 to Ocwen investors in the form of Altisource common equity.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did not purchase any shares of our own common stock during 2010.</w:t>
      </w:r>
    </w:p>
    <w:p>
      <w:pPr>
        <w:spacing w:after="0" w:line="225" w:lineRule="exact"/>
        <w:rPr>
          <w:sz w:val="20"/>
          <w:szCs w:val="20"/>
          <w:color w:val="auto"/>
        </w:rPr>
      </w:pPr>
    </w:p>
    <w:p>
      <w:pPr>
        <w:ind w:right="80" w:firstLine="747"/>
        <w:spacing w:after="0" w:line="259" w:lineRule="auto"/>
        <w:rPr>
          <w:sz w:val="20"/>
          <w:szCs w:val="20"/>
          <w:color w:val="auto"/>
        </w:rPr>
      </w:pPr>
      <w:r>
        <w:rPr>
          <w:rFonts w:ascii="Arial" w:cs="Arial" w:eastAsia="Arial" w:hAnsi="Arial"/>
          <w:sz w:val="18"/>
          <w:szCs w:val="18"/>
          <w:color w:val="auto"/>
        </w:rPr>
        <w:t>Our ability to repurchase shares of our common stock is restricted under the terms of the Guaranty that we entered into with the OTS in connection with debanking. See Note 31 to the Consolidated Financial Statements for additional information regarding the terms of the Guaranty. The $350,000 senior secured term loan agreement that we entered on July 29, 2010 also limits our ability to repurchase shares of our common stock. See Note 16 for additional information regarding the terms of this loan.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Holders of Common Stock</w:t>
      </w:r>
    </w:p>
    <w:p>
      <w:pPr>
        <w:spacing w:after="0" w:line="229" w:lineRule="exact"/>
        <w:rPr>
          <w:sz w:val="20"/>
          <w:szCs w:val="20"/>
          <w:color w:val="auto"/>
        </w:rPr>
      </w:pPr>
    </w:p>
    <w:p>
      <w:pPr>
        <w:ind w:firstLine="737"/>
        <w:spacing w:after="0" w:line="264" w:lineRule="auto"/>
        <w:rPr>
          <w:sz w:val="20"/>
          <w:szCs w:val="20"/>
          <w:color w:val="auto"/>
        </w:rPr>
      </w:pPr>
      <w:r>
        <w:rPr>
          <w:rFonts w:ascii="Arial" w:cs="Arial" w:eastAsia="Arial" w:hAnsi="Arial"/>
          <w:sz w:val="18"/>
          <w:szCs w:val="18"/>
          <w:color w:val="auto"/>
        </w:rPr>
        <w:t>At February 22, 2011, 100,726,947 shares of our common stock were outstanding and held by approximately 111 holders of record. Such number of stockholders does not reflect the number of individuals or institutional investors holding our stock in nominee name through banks, brokerage firms and others.</w:t>
      </w:r>
    </w:p>
    <w:p>
      <w:pPr>
        <w:spacing w:after="0" w:line="17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 (Dollars in thousands, except per share data)</w:t>
      </w:r>
    </w:p>
    <w:p>
      <w:pPr>
        <w:spacing w:after="0" w:line="229" w:lineRule="exact"/>
        <w:rPr>
          <w:sz w:val="20"/>
          <w:szCs w:val="20"/>
          <w:color w:val="auto"/>
        </w:rPr>
      </w:pPr>
    </w:p>
    <w:p>
      <w:pPr>
        <w:ind w:right="120" w:firstLine="744"/>
        <w:spacing w:after="0" w:line="342" w:lineRule="auto"/>
        <w:rPr>
          <w:sz w:val="20"/>
          <w:szCs w:val="20"/>
          <w:color w:val="auto"/>
        </w:rPr>
      </w:pPr>
      <w:r>
        <w:rPr>
          <w:rFonts w:ascii="Arial" w:cs="Arial" w:eastAsia="Arial" w:hAnsi="Arial"/>
          <w:sz w:val="16"/>
          <w:szCs w:val="16"/>
          <w:color w:val="auto"/>
        </w:rPr>
        <w:t>The following tables present selected consolidated financial information of Ocwen and its subsidiaries at the dates and for the years indicated. Our historical balance sheet and operations data at and for the five years ended December 31, 2010 have been derived from our audited financial statements.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7" w:name="page28"/>
    <w:bookmarkEnd w:id="27"/>
    <w:p>
      <w:pPr>
        <w:ind w:right="280" w:firstLine="737"/>
        <w:spacing w:after="0" w:line="259" w:lineRule="auto"/>
        <w:rPr>
          <w:sz w:val="20"/>
          <w:szCs w:val="20"/>
          <w:color w:val="auto"/>
        </w:rPr>
      </w:pPr>
      <w:r>
        <w:rPr>
          <w:rFonts w:ascii="Arial" w:cs="Arial" w:eastAsia="Arial" w:hAnsi="Arial"/>
          <w:sz w:val="18"/>
          <w:szCs w:val="18"/>
          <w:color w:val="auto"/>
        </w:rPr>
        <w:t>As disclosed in Note 2 to the Consolidated Financial Statements, on September 1, 2010, we completed the acquisition of the U.S. non-prime mortgage servicing business of Barclays Bank plc known as HomEq Servicing and boarded approximately 134,000 residential mortgage loans with an aggregate unpaid principal balance of approximately $22,400,000. The transaction has been accounted for using the acquisition method of accounting and included the mortgage servicing rights and associated servicer advances of the business.</w:t>
      </w:r>
    </w:p>
    <w:p>
      <w:pPr>
        <w:spacing w:after="0" w:line="187" w:lineRule="exact"/>
        <w:rPr>
          <w:sz w:val="20"/>
          <w:szCs w:val="20"/>
          <w:color w:val="auto"/>
        </w:rPr>
      </w:pPr>
    </w:p>
    <w:p>
      <w:pPr>
        <w:ind w:firstLine="747"/>
        <w:spacing w:after="0" w:line="273" w:lineRule="auto"/>
        <w:rPr>
          <w:sz w:val="20"/>
          <w:szCs w:val="20"/>
          <w:color w:val="auto"/>
        </w:rPr>
      </w:pPr>
      <w:r>
        <w:rPr>
          <w:rFonts w:ascii="Arial" w:cs="Arial" w:eastAsia="Arial" w:hAnsi="Arial"/>
          <w:sz w:val="17"/>
          <w:szCs w:val="17"/>
          <w:color w:val="auto"/>
        </w:rPr>
        <w:t>On August 10, 2009, we completed the Separation by distributing all of the shares of Altisource common stock to Ocwen shareholders in the form of a pro rata stock distribution. Altisource consists of the operations of our former Ocwen Solutions line of business and related assets comprising the Mortgage Services, Financial Services and Technology Products segments. On August 9, 2009, as a result of the Separation, we eliminated the assets and liabilities of Altisource from our consolidated balance sheet effective at the close of business, and the operating results of Altisource are no longer included in our operating results after that date. We do not report the historical operating results o f Altisource as a discontinued operation because of the significance of the continuing involvement between Altisource and Ocwen under long-term services agreements.</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reclassified certain amounts included in the selected financial data for prior years to conform to the 2010 presentation.</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28" w:name="page29"/>
    <w:bookmarkEnd w:id="28"/>
    <w:p>
      <w:pPr>
        <w:ind w:right="100" w:firstLine="744"/>
        <w:spacing w:after="0" w:line="264" w:lineRule="auto"/>
        <w:rPr>
          <w:sz w:val="20"/>
          <w:szCs w:val="20"/>
          <w:color w:val="auto"/>
        </w:rPr>
      </w:pPr>
      <w:r>
        <w:rPr>
          <w:rFonts w:ascii="Arial" w:cs="Arial" w:eastAsia="Arial" w:hAnsi="Arial"/>
          <w:sz w:val="18"/>
          <w:szCs w:val="18"/>
          <w:color w:val="auto"/>
        </w:rPr>
        <w:t>The selected consolidated financial information should be read in conjunction with the information we have provided in Management’s Discussion and Analysis of Financial Condition and Results of Operations, the Consolidated Financial Statements and the Notes to the Consolidated Financial Statements.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 (7)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2009 (6)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Selected Balance Sheet Data</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EAF9E8"/>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127,796</w:t>
            </w:r>
          </w:p>
        </w:tc>
        <w:tc>
          <w:tcPr>
            <w:tcW w:w="120" w:type="dxa"/>
            <w:vAlign w:val="bottom"/>
            <w:shd w:val="clear" w:color="auto" w:fill="EAF9E8"/>
          </w:tcPr>
          <w:p>
            <w:pPr>
              <w:spacing w:after="0"/>
              <w:rPr>
                <w:sz w:val="18"/>
                <w:szCs w:val="18"/>
                <w:color w:val="auto"/>
              </w:rPr>
            </w:pPr>
          </w:p>
        </w:tc>
        <w:tc>
          <w:tcPr>
            <w:tcW w:w="4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90,919</w:t>
            </w:r>
          </w:p>
        </w:tc>
        <w:tc>
          <w:tcPr>
            <w:tcW w:w="38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201,025</w:t>
            </w:r>
          </w:p>
        </w:tc>
        <w:tc>
          <w:tcPr>
            <w:tcW w:w="200" w:type="dxa"/>
            <w:vAlign w:val="bottom"/>
            <w:shd w:val="clear" w:color="auto" w:fill="EAF9E8"/>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114,243</w:t>
            </w:r>
          </w:p>
        </w:tc>
        <w:tc>
          <w:tcPr>
            <w:tcW w:w="3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236,581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Restricted cash – for securitization investors (1)</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Trading securities, at fair value:</w:t>
            </w: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60"/>
              <w:spacing w:after="0"/>
              <w:rPr>
                <w:sz w:val="20"/>
                <w:szCs w:val="20"/>
                <w:color w:val="auto"/>
              </w:rPr>
            </w:pPr>
            <w:r>
              <w:rPr>
                <w:rFonts w:ascii="Arial" w:cs="Arial" w:eastAsia="Arial" w:hAnsi="Arial"/>
                <w:sz w:val="18"/>
                <w:szCs w:val="18"/>
                <w:color w:val="auto"/>
              </w:rPr>
              <w:t>Auction rate</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247,464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239,301</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AF9E8"/>
          </w:tcPr>
          <w:p>
            <w:pPr>
              <w:ind w:left="60"/>
              <w:spacing w:after="0"/>
              <w:rPr>
                <w:sz w:val="20"/>
                <w:szCs w:val="20"/>
                <w:color w:val="auto"/>
              </w:rPr>
            </w:pPr>
            <w:r>
              <w:rPr>
                <w:rFonts w:ascii="Arial" w:cs="Arial" w:eastAsia="Arial" w:hAnsi="Arial"/>
                <w:sz w:val="18"/>
                <w:szCs w:val="18"/>
                <w:color w:val="auto"/>
              </w:rPr>
              <w:t>Other investment grade securities</w:t>
            </w:r>
          </w:p>
        </w:tc>
        <w:tc>
          <w:tcPr>
            <w:tcW w:w="18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34,876</w:t>
            </w: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74,986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60"/>
              <w:spacing w:after="0"/>
              <w:rPr>
                <w:sz w:val="20"/>
                <w:szCs w:val="20"/>
                <w:color w:val="auto"/>
              </w:rPr>
            </w:pPr>
            <w:r>
              <w:rPr>
                <w:rFonts w:ascii="Arial" w:cs="Arial" w:eastAsia="Arial" w:hAnsi="Arial"/>
                <w:sz w:val="18"/>
                <w:szCs w:val="18"/>
                <w:color w:val="auto"/>
              </w:rPr>
              <w:t>Subordinates and residuals</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3,692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4,369</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7,362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65,242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Investment in certificates of deposit</w:t>
            </w:r>
          </w:p>
        </w:tc>
        <w:tc>
          <w:tcPr>
            <w:tcW w:w="18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72,733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Loans held for resale, at lower of cost or fair value</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25,803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33,197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49,918</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75,240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99,064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Advances</w:t>
            </w: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184,833</w:t>
            </w:r>
          </w:p>
        </w:tc>
        <w:tc>
          <w:tcPr>
            <w:tcW w:w="1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145,914</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102,085</w:t>
            </w:r>
          </w:p>
        </w:tc>
        <w:tc>
          <w:tcPr>
            <w:tcW w:w="2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292,887</w:t>
            </w: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324,137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Match funded advances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1,924,052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822,615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1,100,555</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1,126,097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572,708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Loans, net – restricted for securitization investors (1)</w:t>
            </w:r>
          </w:p>
        </w:tc>
        <w:tc>
          <w:tcPr>
            <w:tcW w:w="18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67,340</w:t>
            </w: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Mortgage servicing rights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193,985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117,802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139,500</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197,295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183,743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Deferred tax assets, net (2)</w:t>
            </w: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138,716</w:t>
            </w:r>
          </w:p>
        </w:tc>
        <w:tc>
          <w:tcPr>
            <w:tcW w:w="1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132,683</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175,145</w:t>
            </w:r>
          </w:p>
        </w:tc>
        <w:tc>
          <w:tcPr>
            <w:tcW w:w="2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175,669</w:t>
            </w: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172,202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Intangibles, net, including goodwill (6) (7)</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12,810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46,227</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58,301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Investment in unconsolidated entities (3)</w:t>
            </w:r>
          </w:p>
        </w:tc>
        <w:tc>
          <w:tcPr>
            <w:tcW w:w="18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12,072</w:t>
            </w: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15,008</w:t>
            </w:r>
          </w:p>
        </w:tc>
        <w:tc>
          <w:tcPr>
            <w:tcW w:w="1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25,663</w:t>
            </w:r>
          </w:p>
        </w:tc>
        <w:tc>
          <w:tcPr>
            <w:tcW w:w="2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76,465</w:t>
            </w: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46,151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160,056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153,312</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233,489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20" w:type="dxa"/>
            <w:vAlign w:val="bottom"/>
            <w:gridSpan w:val="2"/>
            <w:shd w:val="clear" w:color="auto" w:fill="EAF9E8"/>
          </w:tcPr>
          <w:p>
            <w:pPr>
              <w:ind w:left="6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EAF9E8"/>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2,921,409</w:t>
            </w:r>
          </w:p>
        </w:tc>
        <w:tc>
          <w:tcPr>
            <w:tcW w:w="120" w:type="dxa"/>
            <w:vAlign w:val="bottom"/>
            <w:shd w:val="clear" w:color="auto" w:fill="EAF9E8"/>
          </w:tcPr>
          <w:p>
            <w:pPr>
              <w:spacing w:after="0"/>
              <w:rPr>
                <w:sz w:val="22"/>
                <w:szCs w:val="22"/>
                <w:color w:val="auto"/>
              </w:rPr>
            </w:pPr>
          </w:p>
        </w:tc>
        <w:tc>
          <w:tcPr>
            <w:tcW w:w="4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1,769,350</w:t>
            </w:r>
          </w:p>
        </w:tc>
        <w:tc>
          <w:tcPr>
            <w:tcW w:w="180" w:type="dxa"/>
            <w:vAlign w:val="bottom"/>
            <w:shd w:val="clear" w:color="auto" w:fill="EAF9E8"/>
          </w:tcPr>
          <w:p>
            <w:pPr>
              <w:spacing w:after="0"/>
              <w:rPr>
                <w:sz w:val="22"/>
                <w:szCs w:val="22"/>
                <w:color w:val="auto"/>
              </w:rPr>
            </w:pPr>
          </w:p>
        </w:tc>
        <w:tc>
          <w:tcPr>
            <w:tcW w:w="38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2,237,100</w:t>
            </w:r>
          </w:p>
        </w:tc>
        <w:tc>
          <w:tcPr>
            <w:tcW w:w="200" w:type="dxa"/>
            <w:vAlign w:val="bottom"/>
            <w:shd w:val="clear" w:color="auto" w:fill="EAF9E8"/>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2,391,924</w:t>
            </w:r>
          </w:p>
        </w:tc>
        <w:tc>
          <w:tcPr>
            <w:tcW w:w="3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2,005,394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Borders>
              <w:top w:val="single" w:sz="8" w:color="EAF9E8"/>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Borders>
              <w:top w:val="single" w:sz="8" w:color="EAF9E8"/>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EAF9E8"/>
            </w:tcBorders>
          </w:tcPr>
          <w:p>
            <w:pPr>
              <w:spacing w:after="0"/>
              <w:rPr>
                <w:sz w:val="18"/>
                <w:szCs w:val="18"/>
                <w:color w:val="auto"/>
              </w:rPr>
            </w:pPr>
          </w:p>
        </w:tc>
        <w:tc>
          <w:tcPr>
            <w:tcW w:w="160" w:type="dxa"/>
            <w:vAlign w:val="bottom"/>
            <w:tcBorders>
              <w:top w:val="single" w:sz="8" w:color="EAF9E8"/>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Match funded liabilities</w:t>
            </w:r>
          </w:p>
        </w:tc>
        <w:tc>
          <w:tcPr>
            <w:tcW w:w="180" w:type="dxa"/>
            <w:vAlign w:val="bottom"/>
            <w:shd w:val="clear" w:color="auto" w:fill="EAF9E8"/>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1,482,529</w:t>
            </w:r>
          </w:p>
        </w:tc>
        <w:tc>
          <w:tcPr>
            <w:tcW w:w="120" w:type="dxa"/>
            <w:vAlign w:val="bottom"/>
            <w:shd w:val="clear" w:color="auto" w:fill="EAF9E8"/>
          </w:tcPr>
          <w:p>
            <w:pPr>
              <w:spacing w:after="0"/>
              <w:rPr>
                <w:sz w:val="18"/>
                <w:szCs w:val="18"/>
                <w:color w:val="auto"/>
              </w:rPr>
            </w:pPr>
          </w:p>
        </w:tc>
        <w:tc>
          <w:tcPr>
            <w:tcW w:w="4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465,691</w:t>
            </w:r>
          </w:p>
        </w:tc>
        <w:tc>
          <w:tcPr>
            <w:tcW w:w="180" w:type="dxa"/>
            <w:vAlign w:val="bottom"/>
            <w:shd w:val="clear" w:color="auto" w:fill="EAF9E8"/>
          </w:tcPr>
          <w:p>
            <w:pPr>
              <w:spacing w:after="0"/>
              <w:rPr>
                <w:sz w:val="18"/>
                <w:szCs w:val="18"/>
                <w:color w:val="auto"/>
              </w:rPr>
            </w:pPr>
          </w:p>
        </w:tc>
        <w:tc>
          <w:tcPr>
            <w:tcW w:w="38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961,939</w:t>
            </w:r>
          </w:p>
        </w:tc>
        <w:tc>
          <w:tcPr>
            <w:tcW w:w="200" w:type="dxa"/>
            <w:vAlign w:val="bottom"/>
            <w:shd w:val="clear" w:color="auto" w:fill="EAF9E8"/>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1,001,403</w:t>
            </w:r>
          </w:p>
        </w:tc>
        <w:tc>
          <w:tcPr>
            <w:tcW w:w="3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510,236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w w:val="97"/>
              </w:rPr>
              <w:t>Secured borrowings – owed to securitization investors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ind w:left="8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62,705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shd w:val="clear" w:color="auto" w:fill="EAF9E8"/>
          </w:tcPr>
          <w:p>
            <w:pPr>
              <w:spacing w:after="0" w:line="201" w:lineRule="exact"/>
              <w:rPr>
                <w:sz w:val="20"/>
                <w:szCs w:val="20"/>
                <w:color w:val="auto"/>
              </w:rPr>
            </w:pPr>
            <w:r>
              <w:rPr>
                <w:rFonts w:ascii="Arial" w:cs="Arial" w:eastAsia="Arial" w:hAnsi="Arial"/>
                <w:sz w:val="18"/>
                <w:szCs w:val="18"/>
                <w:color w:val="auto"/>
              </w:rPr>
              <w:t>Debt securities, lines of credit and other secured</w:t>
            </w:r>
          </w:p>
        </w:tc>
        <w:tc>
          <w:tcPr>
            <w:tcW w:w="1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shd w:val="clear" w:color="auto" w:fill="EAF9E8"/>
          </w:tcPr>
          <w:p>
            <w:pPr>
              <w:ind w:left="60"/>
              <w:spacing w:after="0"/>
              <w:rPr>
                <w:sz w:val="20"/>
                <w:szCs w:val="20"/>
                <w:color w:val="auto"/>
              </w:rPr>
            </w:pPr>
            <w:r>
              <w:rPr>
                <w:rFonts w:ascii="Arial" w:cs="Arial" w:eastAsia="Arial" w:hAnsi="Arial"/>
                <w:sz w:val="18"/>
                <w:szCs w:val="18"/>
                <w:color w:val="auto"/>
              </w:rPr>
              <w:t>borrowings:</w:t>
            </w:r>
          </w:p>
        </w:tc>
        <w:tc>
          <w:tcPr>
            <w:tcW w:w="180" w:type="dxa"/>
            <w:vAlign w:val="bottom"/>
            <w:shd w:val="clear" w:color="auto" w:fill="EAF9E8"/>
          </w:tcPr>
          <w:p>
            <w:pPr>
              <w:spacing w:after="0"/>
              <w:rPr>
                <w:sz w:val="20"/>
                <w:szCs w:val="20"/>
                <w:color w:val="auto"/>
              </w:rPr>
            </w:pPr>
          </w:p>
        </w:tc>
        <w:tc>
          <w:tcPr>
            <w:tcW w:w="9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98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94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94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9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140"/>
              <w:spacing w:after="0"/>
              <w:rPr>
                <w:sz w:val="20"/>
                <w:szCs w:val="20"/>
                <w:color w:val="auto"/>
              </w:rPr>
            </w:pPr>
            <w:r>
              <w:rPr>
                <w:rFonts w:ascii="Arial" w:cs="Arial" w:eastAsia="Arial" w:hAnsi="Arial"/>
                <w:sz w:val="18"/>
                <w:szCs w:val="18"/>
                <w:color w:val="auto"/>
              </w:rPr>
              <w:t>Short-term</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51,085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7,979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182,860</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339,976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310,149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Long-term</w:t>
            </w: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277,542</w:t>
            </w:r>
          </w:p>
        </w:tc>
        <w:tc>
          <w:tcPr>
            <w:tcW w:w="1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143,395</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67,377</w:t>
            </w:r>
          </w:p>
        </w:tc>
        <w:tc>
          <w:tcPr>
            <w:tcW w:w="2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143,111</w:t>
            </w: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153,462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Investment line</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156,968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200,719</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Servicer liabilities</w:t>
            </w: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2,492</w:t>
            </w:r>
          </w:p>
        </w:tc>
        <w:tc>
          <w:tcPr>
            <w:tcW w:w="1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38,672</w:t>
            </w:r>
          </w:p>
        </w:tc>
        <w:tc>
          <w:tcPr>
            <w:tcW w:w="1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135,751</w:t>
            </w:r>
          </w:p>
        </w:tc>
        <w:tc>
          <w:tcPr>
            <w:tcW w:w="2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204,484</w:t>
            </w: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383,549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140,239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90,782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78,813</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110,429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81,340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bottom w:val="single" w:sz="8" w:color="EAF9E8"/>
            </w:tcBorders>
            <w:gridSpan w:val="2"/>
            <w:shd w:val="clear" w:color="auto" w:fill="EAF9E8"/>
          </w:tcPr>
          <w:p>
            <w:pPr>
              <w:ind w:left="6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shd w:val="clear" w:color="auto" w:fill="EAF9E8"/>
          </w:tcPr>
          <w:p>
            <w:pPr>
              <w:spacing w:after="0"/>
              <w:rPr>
                <w:sz w:val="19"/>
                <w:szCs w:val="19"/>
                <w:color w:val="auto"/>
              </w:rPr>
            </w:pP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2,016,592</w:t>
            </w:r>
          </w:p>
        </w:tc>
        <w:tc>
          <w:tcPr>
            <w:tcW w:w="1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top w:val="single" w:sz="8" w:color="auto"/>
              <w:bottom w:val="single" w:sz="8" w:color="auto"/>
            </w:tcBorders>
            <w:shd w:val="clear" w:color="auto" w:fill="EAF9E8"/>
          </w:tcPr>
          <w:p>
            <w:pPr>
              <w:spacing w:after="0"/>
              <w:rPr>
                <w:sz w:val="19"/>
                <w:szCs w:val="19"/>
                <w:color w:val="auto"/>
              </w:rPr>
            </w:pP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903,487</w:t>
            </w:r>
          </w:p>
        </w:tc>
        <w:tc>
          <w:tcPr>
            <w:tcW w:w="18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top w:val="single" w:sz="8" w:color="auto"/>
              <w:bottom w:val="single" w:sz="8" w:color="auto"/>
            </w:tcBorders>
            <w:shd w:val="clear" w:color="auto" w:fill="EAF9E8"/>
          </w:tcPr>
          <w:p>
            <w:pPr>
              <w:spacing w:after="0"/>
              <w:rPr>
                <w:sz w:val="19"/>
                <w:szCs w:val="19"/>
                <w:color w:val="auto"/>
              </w:rPr>
            </w:pPr>
          </w:p>
        </w:tc>
        <w:tc>
          <w:tcPr>
            <w:tcW w:w="9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1,627,459</w:t>
            </w:r>
          </w:p>
        </w:tc>
        <w:tc>
          <w:tcPr>
            <w:tcW w:w="32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top w:val="single" w:sz="8" w:color="auto"/>
              <w:bottom w:val="single" w:sz="8" w:color="auto"/>
            </w:tcBorders>
            <w:shd w:val="clear" w:color="auto" w:fill="EAF9E8"/>
          </w:tcPr>
          <w:p>
            <w:pPr>
              <w:spacing w:after="0"/>
              <w:rPr>
                <w:sz w:val="19"/>
                <w:szCs w:val="19"/>
                <w:color w:val="auto"/>
              </w:rPr>
            </w:pPr>
          </w:p>
        </w:tc>
        <w:tc>
          <w:tcPr>
            <w:tcW w:w="9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1,799,403</w:t>
            </w:r>
          </w:p>
        </w:tc>
        <w:tc>
          <w:tcPr>
            <w:tcW w:w="16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top w:val="single" w:sz="8" w:color="auto"/>
              <w:bottom w:val="single" w:sz="8" w:color="auto"/>
            </w:tcBorders>
            <w:shd w:val="clear" w:color="auto" w:fill="EAF9E8"/>
          </w:tcPr>
          <w:p>
            <w:pPr>
              <w:spacing w:after="0"/>
              <w:rPr>
                <w:sz w:val="19"/>
                <w:szCs w:val="19"/>
                <w:color w:val="auto"/>
              </w:rPr>
            </w:pPr>
          </w:p>
        </w:tc>
        <w:tc>
          <w:tcPr>
            <w:tcW w:w="9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1,438,736</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w w:val="99"/>
              </w:rPr>
              <w:t>Ocwen Financial Corporation stockholders’ equity (1)</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904,571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865,611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609,235</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590,542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564,868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Non-controlling interest in subsidiaries</w:t>
            </w:r>
          </w:p>
        </w:tc>
        <w:tc>
          <w:tcPr>
            <w:tcW w:w="180" w:type="dxa"/>
            <w:vAlign w:val="bottom"/>
            <w:shd w:val="clear" w:color="auto" w:fill="EAF9E8"/>
          </w:tcPr>
          <w:p>
            <w:pPr>
              <w:spacing w:after="0"/>
              <w:rPr>
                <w:sz w:val="19"/>
                <w:szCs w:val="19"/>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1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252</w:t>
            </w:r>
          </w:p>
        </w:tc>
        <w:tc>
          <w:tcPr>
            <w:tcW w:w="1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406</w:t>
            </w:r>
          </w:p>
        </w:tc>
        <w:tc>
          <w:tcPr>
            <w:tcW w:w="200" w:type="dxa"/>
            <w:vAlign w:val="bottom"/>
            <w:shd w:val="clear" w:color="auto" w:fill="EAF9E8"/>
          </w:tcPr>
          <w:p>
            <w:pPr>
              <w:spacing w:after="0"/>
              <w:rPr>
                <w:sz w:val="19"/>
                <w:szCs w:val="19"/>
                <w:color w:val="auto"/>
              </w:rPr>
            </w:pPr>
          </w:p>
        </w:tc>
        <w:tc>
          <w:tcPr>
            <w:tcW w:w="11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1,979</w:t>
            </w:r>
          </w:p>
        </w:tc>
        <w:tc>
          <w:tcPr>
            <w:tcW w:w="16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top w:val="single" w:sz="8" w:color="EAF9E8"/>
            </w:tcBorders>
            <w:gridSpan w:val="2"/>
          </w:tcPr>
          <w:p>
            <w:pPr>
              <w:ind w:left="60"/>
              <w:spacing w:after="0"/>
              <w:rPr>
                <w:sz w:val="20"/>
                <w:szCs w:val="20"/>
                <w:color w:val="auto"/>
              </w:rPr>
            </w:pPr>
            <w:r>
              <w:rPr>
                <w:rFonts w:ascii="Arial" w:cs="Arial" w:eastAsia="Arial" w:hAnsi="Arial"/>
                <w:sz w:val="18"/>
                <w:szCs w:val="18"/>
                <w:color w:val="auto"/>
              </w:rPr>
              <w:t>Total equity</w:t>
            </w: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904,817</w:t>
            </w:r>
          </w:p>
        </w:tc>
        <w:tc>
          <w:tcPr>
            <w:tcW w:w="120" w:type="dxa"/>
            <w:vAlign w:val="bottom"/>
            <w:tcBorders>
              <w:top w:val="single" w:sz="8" w:color="EAF9E8"/>
            </w:tcBorders>
          </w:tcPr>
          <w:p>
            <w:pPr>
              <w:spacing w:after="0"/>
              <w:rPr>
                <w:sz w:val="19"/>
                <w:szCs w:val="19"/>
                <w:color w:val="auto"/>
              </w:rPr>
            </w:pPr>
          </w:p>
        </w:tc>
        <w:tc>
          <w:tcPr>
            <w:tcW w:w="220" w:type="dxa"/>
            <w:vAlign w:val="bottom"/>
            <w:tcBorders>
              <w:top w:val="single" w:sz="8" w:color="EAF9E8"/>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865,863</w:t>
            </w:r>
          </w:p>
        </w:tc>
        <w:tc>
          <w:tcPr>
            <w:tcW w:w="180" w:type="dxa"/>
            <w:vAlign w:val="bottom"/>
            <w:tcBorders>
              <w:top w:val="single" w:sz="8" w:color="EAF9E8"/>
            </w:tcBorders>
          </w:tcPr>
          <w:p>
            <w:pPr>
              <w:spacing w:after="0"/>
              <w:rPr>
                <w:sz w:val="19"/>
                <w:szCs w:val="19"/>
                <w:color w:val="auto"/>
              </w:rPr>
            </w:pPr>
          </w:p>
        </w:tc>
        <w:tc>
          <w:tcPr>
            <w:tcW w:w="180" w:type="dxa"/>
            <w:vAlign w:val="bottom"/>
            <w:tcBorders>
              <w:top w:val="single" w:sz="8" w:color="EAF9E8"/>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609,641</w:t>
            </w:r>
          </w:p>
        </w:tc>
        <w:tc>
          <w:tcPr>
            <w:tcW w:w="320" w:type="dxa"/>
            <w:vAlign w:val="bottom"/>
            <w:tcBorders>
              <w:top w:val="single" w:sz="8" w:color="EAF9E8"/>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592,521</w:t>
            </w:r>
          </w:p>
        </w:tc>
        <w:tc>
          <w:tcPr>
            <w:tcW w:w="160" w:type="dxa"/>
            <w:vAlign w:val="bottom"/>
            <w:tcBorders>
              <w:top w:val="single" w:sz="8" w:color="EAF9E8"/>
            </w:tcBorders>
          </w:tcPr>
          <w:p>
            <w:pPr>
              <w:spacing w:after="0"/>
              <w:rPr>
                <w:sz w:val="19"/>
                <w:szCs w:val="19"/>
                <w:color w:val="auto"/>
              </w:rPr>
            </w:pPr>
          </w:p>
        </w:tc>
        <w:tc>
          <w:tcPr>
            <w:tcW w:w="160" w:type="dxa"/>
            <w:vAlign w:val="bottom"/>
            <w:tcBorders>
              <w:top w:val="single" w:sz="8" w:color="EAF9E8"/>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566,658</w:t>
            </w:r>
          </w:p>
        </w:tc>
        <w:tc>
          <w:tcPr>
            <w:tcW w:w="100" w:type="dxa"/>
            <w:vAlign w:val="bottom"/>
            <w:tcBorders>
              <w:top w:val="single" w:sz="8" w:color="EAF9E8"/>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2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Total liabilities and equity</w:t>
            </w:r>
          </w:p>
        </w:tc>
        <w:tc>
          <w:tcPr>
            <w:tcW w:w="180" w:type="dxa"/>
            <w:vAlign w:val="bottom"/>
            <w:shd w:val="clear" w:color="auto" w:fill="EAF9E8"/>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2,921,409</w:t>
            </w:r>
          </w:p>
        </w:tc>
        <w:tc>
          <w:tcPr>
            <w:tcW w:w="120" w:type="dxa"/>
            <w:vAlign w:val="bottom"/>
            <w:shd w:val="clear" w:color="auto" w:fill="EAF9E8"/>
          </w:tcPr>
          <w:p>
            <w:pPr>
              <w:spacing w:after="0"/>
              <w:rPr>
                <w:sz w:val="22"/>
                <w:szCs w:val="22"/>
                <w:color w:val="auto"/>
              </w:rPr>
            </w:pPr>
          </w:p>
        </w:tc>
        <w:tc>
          <w:tcPr>
            <w:tcW w:w="4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1,769,350</w:t>
            </w:r>
          </w:p>
        </w:tc>
        <w:tc>
          <w:tcPr>
            <w:tcW w:w="180" w:type="dxa"/>
            <w:vAlign w:val="bottom"/>
            <w:shd w:val="clear" w:color="auto" w:fill="EAF9E8"/>
          </w:tcPr>
          <w:p>
            <w:pPr>
              <w:spacing w:after="0"/>
              <w:rPr>
                <w:sz w:val="22"/>
                <w:szCs w:val="22"/>
                <w:color w:val="auto"/>
              </w:rPr>
            </w:pPr>
          </w:p>
        </w:tc>
        <w:tc>
          <w:tcPr>
            <w:tcW w:w="38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2,237,100</w:t>
            </w:r>
          </w:p>
        </w:tc>
        <w:tc>
          <w:tcPr>
            <w:tcW w:w="200" w:type="dxa"/>
            <w:vAlign w:val="bottom"/>
            <w:shd w:val="clear" w:color="auto" w:fill="EAF9E8"/>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2,391,924</w:t>
            </w:r>
          </w:p>
        </w:tc>
        <w:tc>
          <w:tcPr>
            <w:tcW w:w="3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2,005,394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EAF9E8"/>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Borders>
              <w:top w:val="single" w:sz="8" w:color="EAF9E8"/>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EAF9E8"/>
            </w:tcBorders>
          </w:tcPr>
          <w:p>
            <w:pPr>
              <w:spacing w:after="0"/>
              <w:rPr>
                <w:sz w:val="18"/>
                <w:szCs w:val="18"/>
                <w:color w:val="auto"/>
              </w:rPr>
            </w:pPr>
          </w:p>
        </w:tc>
        <w:tc>
          <w:tcPr>
            <w:tcW w:w="160" w:type="dxa"/>
            <w:vAlign w:val="bottom"/>
            <w:tcBorders>
              <w:top w:val="single" w:sz="8" w:color="EAF9E8"/>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gridSpan w:val="2"/>
            <w:shd w:val="clear" w:color="auto" w:fill="EAF9E8"/>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Residential Loans and Real Estate Serviced for</w:t>
            </w:r>
          </w:p>
        </w:tc>
        <w:tc>
          <w:tcPr>
            <w:tcW w:w="1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20" w:type="dxa"/>
            <w:vAlign w:val="bottom"/>
            <w:gridSpan w:val="2"/>
            <w:shd w:val="clear" w:color="auto" w:fill="EAF9E8"/>
          </w:tcPr>
          <w:p>
            <w:pPr>
              <w:jc w:val="center"/>
              <w:ind w:right="240"/>
              <w:spacing w:after="0"/>
              <w:rPr>
                <w:sz w:val="20"/>
                <w:szCs w:val="20"/>
                <w:color w:val="auto"/>
              </w:rPr>
            </w:pPr>
            <w:r>
              <w:rPr>
                <w:rFonts w:ascii="Arial" w:cs="Arial" w:eastAsia="Arial" w:hAnsi="Arial"/>
                <w:sz w:val="18"/>
                <w:szCs w:val="18"/>
                <w:b w:val="1"/>
                <w:bCs w:val="1"/>
                <w:color w:val="auto"/>
                <w:w w:val="92"/>
              </w:rPr>
              <w:t>Others</w:t>
            </w:r>
          </w:p>
        </w:tc>
        <w:tc>
          <w:tcPr>
            <w:tcW w:w="180" w:type="dxa"/>
            <w:vAlign w:val="bottom"/>
            <w:shd w:val="clear" w:color="auto" w:fill="EAF9E8"/>
          </w:tcPr>
          <w:p>
            <w:pPr>
              <w:spacing w:after="0"/>
              <w:rPr>
                <w:sz w:val="20"/>
                <w:szCs w:val="20"/>
                <w:color w:val="auto"/>
              </w:rPr>
            </w:pPr>
          </w:p>
        </w:tc>
        <w:tc>
          <w:tcPr>
            <w:tcW w:w="9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98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94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94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9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98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98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940" w:type="dxa"/>
            <w:vAlign w:val="bottom"/>
            <w:tcBorders>
              <w:top w:val="single" w:sz="8" w:color="EAF9E8"/>
            </w:tcBorders>
          </w:tcPr>
          <w:p>
            <w:pPr>
              <w:spacing w:after="0"/>
              <w:rPr>
                <w:sz w:val="18"/>
                <w:szCs w:val="18"/>
                <w:color w:val="auto"/>
              </w:rPr>
            </w:pPr>
          </w:p>
        </w:tc>
        <w:tc>
          <w:tcPr>
            <w:tcW w:w="32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940" w:type="dxa"/>
            <w:vAlign w:val="bottom"/>
            <w:tcBorders>
              <w:top w:val="single" w:sz="8" w:color="EAF9E8"/>
            </w:tcBorders>
          </w:tcPr>
          <w:p>
            <w:pPr>
              <w:spacing w:after="0"/>
              <w:rPr>
                <w:sz w:val="18"/>
                <w:szCs w:val="18"/>
                <w:color w:val="auto"/>
              </w:rPr>
            </w:pPr>
          </w:p>
        </w:tc>
        <w:tc>
          <w:tcPr>
            <w:tcW w:w="160" w:type="dxa"/>
            <w:vAlign w:val="bottom"/>
            <w:tcBorders>
              <w:top w:val="single" w:sz="8" w:color="EAF9E8"/>
            </w:tcBorders>
          </w:tcPr>
          <w:p>
            <w:pPr>
              <w:spacing w:after="0"/>
              <w:rPr>
                <w:sz w:val="18"/>
                <w:szCs w:val="18"/>
                <w:color w:val="auto"/>
              </w:rPr>
            </w:pPr>
          </w:p>
        </w:tc>
        <w:tc>
          <w:tcPr>
            <w:tcW w:w="16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940" w:type="dxa"/>
            <w:vAlign w:val="bottom"/>
            <w:tcBorders>
              <w:top w:val="single" w:sz="8" w:color="EAF9E8"/>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Count</w:t>
            </w: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479,165</w:t>
            </w:r>
          </w:p>
        </w:tc>
        <w:tc>
          <w:tcPr>
            <w:tcW w:w="1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351,595</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322,515</w:t>
            </w:r>
          </w:p>
        </w:tc>
        <w:tc>
          <w:tcPr>
            <w:tcW w:w="2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435,616</w:t>
            </w: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473,665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tcPr>
          <w:p>
            <w:pPr>
              <w:ind w:left="140"/>
              <w:spacing w:after="0"/>
              <w:rPr>
                <w:sz w:val="20"/>
                <w:szCs w:val="20"/>
                <w:color w:val="auto"/>
              </w:rPr>
            </w:pPr>
            <w:r>
              <w:rPr>
                <w:rFonts w:ascii="Arial" w:cs="Arial" w:eastAsia="Arial" w:hAnsi="Arial"/>
                <w:sz w:val="18"/>
                <w:szCs w:val="18"/>
                <w:color w:val="auto"/>
              </w:rPr>
              <w:t>Amount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73,886,391</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49,980,077</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40,171,532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53,545,985</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52,834,028</w:t>
            </w:r>
          </w:p>
        </w:tc>
        <w:tc>
          <w:tcPr>
            <w:tcW w:w="0" w:type="dxa"/>
            <w:vAlign w:val="bottom"/>
          </w:tcPr>
          <w:p>
            <w:pPr>
              <w:spacing w:after="0"/>
              <w:rPr>
                <w:sz w:val="1"/>
                <w:szCs w:val="1"/>
                <w:color w:val="auto"/>
              </w:rPr>
            </w:pPr>
          </w:p>
        </w:tc>
      </w:tr>
      <w:tr>
        <w:trPr>
          <w:trHeight w:val="566"/>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8"/>
          </w:tcPr>
          <w:p>
            <w:pPr>
              <w:jc w:val="right"/>
              <w:ind w:right="920"/>
              <w:spacing w:after="0"/>
              <w:rPr>
                <w:sz w:val="20"/>
                <w:szCs w:val="20"/>
                <w:color w:val="auto"/>
              </w:rPr>
            </w:pPr>
            <w:r>
              <w:rPr>
                <w:rFonts w:ascii="Arial" w:cs="Arial" w:eastAsia="Arial" w:hAnsi="Arial"/>
                <w:sz w:val="18"/>
                <w:szCs w:val="18"/>
                <w:b w:val="1"/>
                <w:bCs w:val="1"/>
                <w:color w:val="auto"/>
              </w:rPr>
              <w:t>For the Years Ended December 31,</w:t>
            </w: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 (7)</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2009 (6)</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Selected Operations Data</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60"/>
              <w:spacing w:after="0"/>
              <w:rPr>
                <w:sz w:val="20"/>
                <w:szCs w:val="20"/>
                <w:color w:val="auto"/>
              </w:rPr>
            </w:pPr>
            <w:r>
              <w:rPr>
                <w:rFonts w:ascii="Arial" w:cs="Arial" w:eastAsia="Arial" w:hAnsi="Arial"/>
                <w:sz w:val="18"/>
                <w:szCs w:val="18"/>
                <w:color w:val="auto"/>
              </w:rPr>
              <w:t>Servicing and subservicing fees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321,699</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264,467</w:t>
            </w:r>
          </w:p>
        </w:tc>
        <w:tc>
          <w:tcPr>
            <w:tcW w:w="3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368,026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379,277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340,584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2"/>
            <w:shd w:val="clear" w:color="auto" w:fill="EAF9E8"/>
          </w:tcPr>
          <w:p>
            <w:pPr>
              <w:ind w:left="6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EAF9E8"/>
          </w:tcPr>
          <w:p>
            <w:pPr>
              <w:spacing w:after="0"/>
              <w:rPr>
                <w:sz w:val="19"/>
                <w:szCs w:val="19"/>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38,682</w:t>
            </w:r>
          </w:p>
        </w:tc>
        <w:tc>
          <w:tcPr>
            <w:tcW w:w="3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116,261</w:t>
            </w:r>
          </w:p>
        </w:tc>
        <w:tc>
          <w:tcPr>
            <w:tcW w:w="20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124,102</w:t>
            </w:r>
          </w:p>
        </w:tc>
        <w:tc>
          <w:tcPr>
            <w:tcW w:w="200" w:type="dxa"/>
            <w:vAlign w:val="bottom"/>
            <w:shd w:val="clear" w:color="auto" w:fill="EAF9E8"/>
          </w:tcPr>
          <w:p>
            <w:pPr>
              <w:spacing w:after="0"/>
              <w:rPr>
                <w:sz w:val="19"/>
                <w:szCs w:val="19"/>
                <w:color w:val="auto"/>
              </w:rPr>
            </w:pPr>
          </w:p>
        </w:tc>
        <w:tc>
          <w:tcPr>
            <w:tcW w:w="11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101,384</w:t>
            </w:r>
          </w:p>
        </w:tc>
        <w:tc>
          <w:tcPr>
            <w:tcW w:w="14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90,746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Borders>
              <w:top w:val="single" w:sz="8" w:color="EAF9E8"/>
            </w:tcBorders>
            <w:gridSpan w:val="2"/>
          </w:tcPr>
          <w:p>
            <w:pPr>
              <w:ind w:left="14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360,381</w:t>
            </w:r>
          </w:p>
        </w:tc>
        <w:tc>
          <w:tcPr>
            <w:tcW w:w="34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380,728</w:t>
            </w:r>
          </w:p>
        </w:tc>
        <w:tc>
          <w:tcPr>
            <w:tcW w:w="360" w:type="dxa"/>
            <w:vAlign w:val="bottom"/>
            <w:tcBorders>
              <w:top w:val="single" w:sz="8" w:color="EAF9E8"/>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492,128</w:t>
            </w:r>
          </w:p>
        </w:tc>
        <w:tc>
          <w:tcPr>
            <w:tcW w:w="320" w:type="dxa"/>
            <w:vAlign w:val="bottom"/>
            <w:tcBorders>
              <w:top w:val="single" w:sz="8" w:color="EAF9E8"/>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480,661</w:t>
            </w:r>
          </w:p>
        </w:tc>
        <w:tc>
          <w:tcPr>
            <w:tcW w:w="18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431,330</w:t>
            </w: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bottom w:val="single" w:sz="8" w:color="EAF9E8"/>
            </w:tcBorders>
            <w:gridSpan w:val="2"/>
            <w:shd w:val="clear" w:color="auto" w:fill="EAF9E8"/>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auto"/>
            </w:tcBorders>
            <w:shd w:val="clear" w:color="auto" w:fill="EAF9E8"/>
          </w:tcPr>
          <w:p>
            <w:pPr>
              <w:spacing w:after="0"/>
              <w:rPr>
                <w:sz w:val="19"/>
                <w:szCs w:val="19"/>
                <w:color w:val="auto"/>
              </w:rPr>
            </w:pP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236,474</w:t>
            </w:r>
          </w:p>
        </w:tc>
        <w:tc>
          <w:tcPr>
            <w:tcW w:w="34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auto"/>
            </w:tcBorders>
            <w:shd w:val="clear" w:color="auto" w:fill="EAF9E8"/>
          </w:tcPr>
          <w:p>
            <w:pPr>
              <w:spacing w:after="0"/>
              <w:rPr>
                <w:sz w:val="19"/>
                <w:szCs w:val="19"/>
                <w:color w:val="auto"/>
              </w:rPr>
            </w:pP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235,654</w:t>
            </w:r>
          </w:p>
        </w:tc>
        <w:tc>
          <w:tcPr>
            <w:tcW w:w="36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auto"/>
            </w:tcBorders>
            <w:shd w:val="clear" w:color="auto" w:fill="EAF9E8"/>
          </w:tcPr>
          <w:p>
            <w:pPr>
              <w:spacing w:after="0"/>
              <w:rPr>
                <w:sz w:val="19"/>
                <w:szCs w:val="19"/>
                <w:color w:val="auto"/>
              </w:rPr>
            </w:pPr>
          </w:p>
        </w:tc>
        <w:tc>
          <w:tcPr>
            <w:tcW w:w="9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323,355</w:t>
            </w:r>
          </w:p>
        </w:tc>
        <w:tc>
          <w:tcPr>
            <w:tcW w:w="32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auto"/>
            </w:tcBorders>
            <w:shd w:val="clear" w:color="auto" w:fill="EAF9E8"/>
          </w:tcPr>
          <w:p>
            <w:pPr>
              <w:spacing w:after="0"/>
              <w:rPr>
                <w:sz w:val="19"/>
                <w:szCs w:val="19"/>
                <w:color w:val="auto"/>
              </w:rPr>
            </w:pPr>
          </w:p>
        </w:tc>
        <w:tc>
          <w:tcPr>
            <w:tcW w:w="9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351,866</w:t>
            </w:r>
          </w:p>
        </w:tc>
        <w:tc>
          <w:tcPr>
            <w:tcW w:w="18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auto"/>
            </w:tcBorders>
            <w:shd w:val="clear" w:color="auto" w:fill="EAF9E8"/>
          </w:tcPr>
          <w:p>
            <w:pPr>
              <w:spacing w:after="0"/>
              <w:rPr>
                <w:sz w:val="19"/>
                <w:szCs w:val="19"/>
                <w:color w:val="auto"/>
              </w:rPr>
            </w:pPr>
          </w:p>
        </w:tc>
        <w:tc>
          <w:tcPr>
            <w:tcW w:w="9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339,655</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123,907</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145,074</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168,773</w:t>
            </w: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128,795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91,675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spacing w:after="0"/>
              <w:rPr>
                <w:sz w:val="18"/>
                <w:szCs w:val="18"/>
                <w:color w:val="auto"/>
              </w:rPr>
            </w:pPr>
          </w:p>
        </w:tc>
        <w:tc>
          <w:tcPr>
            <w:tcW w:w="940" w:type="dxa"/>
            <w:vAlign w:val="bottom"/>
            <w:tcBorders>
              <w:top w:val="single" w:sz="8" w:color="auto"/>
            </w:tcBorders>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spacing w:after="0"/>
              <w:rPr>
                <w:sz w:val="18"/>
                <w:szCs w:val="18"/>
                <w:color w:val="auto"/>
              </w:rPr>
            </w:pPr>
          </w:p>
        </w:tc>
        <w:tc>
          <w:tcPr>
            <w:tcW w:w="940" w:type="dxa"/>
            <w:vAlign w:val="bottom"/>
            <w:tcBorders>
              <w:top w:val="single" w:sz="8" w:color="auto"/>
            </w:tcBorders>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spacing w:after="0"/>
              <w:rPr>
                <w:sz w:val="18"/>
                <w:szCs w:val="18"/>
                <w:color w:val="auto"/>
              </w:rPr>
            </w:pPr>
          </w:p>
        </w:tc>
        <w:tc>
          <w:tcPr>
            <w:tcW w:w="94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60"/>
              <w:spacing w:after="0"/>
              <w:rPr>
                <w:sz w:val="20"/>
                <w:szCs w:val="20"/>
                <w:color w:val="auto"/>
              </w:rPr>
            </w:pPr>
            <w:r>
              <w:rPr>
                <w:rFonts w:ascii="Arial" w:cs="Arial" w:eastAsia="Arial" w:hAnsi="Arial"/>
                <w:sz w:val="18"/>
                <w:szCs w:val="18"/>
                <w:color w:val="auto"/>
              </w:rPr>
              <w:t>Interest income (1)</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10,859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8,786</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14,696</w:t>
            </w: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29,651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AF9E8"/>
          </w:tcPr>
          <w:p>
            <w:pPr>
              <w:ind w:left="6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(85,923)</w:t>
            </w:r>
          </w:p>
        </w:tc>
        <w:tc>
          <w:tcPr>
            <w:tcW w:w="18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(62,954)</w:t>
            </w:r>
          </w:p>
        </w:tc>
        <w:tc>
          <w:tcPr>
            <w:tcW w:w="2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(86,574)</w:t>
            </w:r>
          </w:p>
        </w:tc>
        <w:tc>
          <w:tcPr>
            <w:tcW w:w="20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(76,586)</w:t>
            </w: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(56,979)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60"/>
              <w:spacing w:after="0"/>
              <w:rPr>
                <w:sz w:val="20"/>
                <w:szCs w:val="20"/>
                <w:color w:val="auto"/>
              </w:rPr>
            </w:pPr>
            <w:r>
              <w:rPr>
                <w:rFonts w:ascii="Arial" w:cs="Arial" w:eastAsia="Arial" w:hAnsi="Arial"/>
                <w:sz w:val="18"/>
                <w:szCs w:val="18"/>
                <w:color w:val="auto"/>
              </w:rPr>
              <w:t>Other, net (1)</w:t>
            </w:r>
          </w:p>
        </w:tc>
        <w:tc>
          <w:tcPr>
            <w:tcW w:w="1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(9,689)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2,355</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(65,913)</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(27,306)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(3,717)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Other expense, net</w:t>
            </w:r>
          </w:p>
        </w:tc>
        <w:tc>
          <w:tcPr>
            <w:tcW w:w="180" w:type="dxa"/>
            <w:vAlign w:val="bottom"/>
            <w:shd w:val="clear" w:color="auto" w:fill="EAF9E8"/>
          </w:tcPr>
          <w:p>
            <w:pPr>
              <w:spacing w:after="0"/>
              <w:rPr>
                <w:sz w:val="19"/>
                <w:szCs w:val="19"/>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(84,753)</w:t>
            </w:r>
          </w:p>
        </w:tc>
        <w:tc>
          <w:tcPr>
            <w:tcW w:w="18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(51,813)</w:t>
            </w:r>
          </w:p>
        </w:tc>
        <w:tc>
          <w:tcPr>
            <w:tcW w:w="20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(137,791)</w:t>
            </w:r>
          </w:p>
        </w:tc>
        <w:tc>
          <w:tcPr>
            <w:tcW w:w="200" w:type="dxa"/>
            <w:vAlign w:val="bottom"/>
            <w:shd w:val="clear" w:color="auto" w:fill="EAF9E8"/>
          </w:tcPr>
          <w:p>
            <w:pPr>
              <w:spacing w:after="0"/>
              <w:rPr>
                <w:sz w:val="19"/>
                <w:szCs w:val="19"/>
                <w:color w:val="auto"/>
              </w:rPr>
            </w:pP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(74,241)</w:t>
            </w:r>
          </w:p>
        </w:tc>
        <w:tc>
          <w:tcPr>
            <w:tcW w:w="14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0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(13,087)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Borders>
              <w:top w:val="single" w:sz="8" w:color="EAF9E8"/>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Borders>
              <w:top w:val="single" w:sz="8" w:color="EAF9E8"/>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20" w:type="dxa"/>
            <w:vAlign w:val="bottom"/>
            <w:gridSpan w:val="2"/>
            <w:shd w:val="clear" w:color="auto" w:fill="EAF9E8"/>
          </w:tcPr>
          <w:p>
            <w:pPr>
              <w:spacing w:after="0" w:line="201" w:lineRule="exact"/>
              <w:rPr>
                <w:sz w:val="20"/>
                <w:szCs w:val="20"/>
                <w:color w:val="auto"/>
              </w:rPr>
            </w:pPr>
            <w:r>
              <w:rPr>
                <w:rFonts w:ascii="Arial" w:cs="Arial" w:eastAsia="Arial" w:hAnsi="Arial"/>
                <w:sz w:val="18"/>
                <w:szCs w:val="18"/>
                <w:color w:val="auto"/>
              </w:rPr>
              <w:t>Income from continuing operations before income</w:t>
            </w:r>
          </w:p>
        </w:tc>
        <w:tc>
          <w:tcPr>
            <w:tcW w:w="1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shd w:val="clear" w:color="auto" w:fill="EAF9E8"/>
          </w:tcPr>
          <w:p>
            <w:pPr>
              <w:ind w:left="60"/>
              <w:spacing w:after="0"/>
              <w:rPr>
                <w:sz w:val="20"/>
                <w:szCs w:val="20"/>
                <w:color w:val="auto"/>
              </w:rPr>
            </w:pPr>
            <w:r>
              <w:rPr>
                <w:rFonts w:ascii="Arial" w:cs="Arial" w:eastAsia="Arial" w:hAnsi="Arial"/>
                <w:sz w:val="18"/>
                <w:szCs w:val="18"/>
                <w:color w:val="auto"/>
              </w:rPr>
              <w:t>taxes</w:t>
            </w:r>
          </w:p>
        </w:tc>
        <w:tc>
          <w:tcPr>
            <w:tcW w:w="180" w:type="dxa"/>
            <w:vAlign w:val="bottom"/>
            <w:shd w:val="clear" w:color="auto" w:fill="EAF9E8"/>
          </w:tcPr>
          <w:p>
            <w:pPr>
              <w:spacing w:after="0"/>
              <w:rPr>
                <w:sz w:val="20"/>
                <w:szCs w:val="20"/>
                <w:color w:val="auto"/>
              </w:rPr>
            </w:pPr>
          </w:p>
        </w:tc>
        <w:tc>
          <w:tcPr>
            <w:tcW w:w="13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39,154</w:t>
            </w:r>
          </w:p>
        </w:tc>
        <w:tc>
          <w:tcPr>
            <w:tcW w:w="180" w:type="dxa"/>
            <w:vAlign w:val="bottom"/>
            <w:shd w:val="clear" w:color="auto" w:fill="EAF9E8"/>
          </w:tcPr>
          <w:p>
            <w:pPr>
              <w:spacing w:after="0"/>
              <w:rPr>
                <w:sz w:val="20"/>
                <w:szCs w:val="20"/>
                <w:color w:val="auto"/>
              </w:rPr>
            </w:pPr>
          </w:p>
        </w:tc>
        <w:tc>
          <w:tcPr>
            <w:tcW w:w="13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93,261</w:t>
            </w:r>
          </w:p>
        </w:tc>
        <w:tc>
          <w:tcPr>
            <w:tcW w:w="200" w:type="dxa"/>
            <w:vAlign w:val="bottom"/>
            <w:shd w:val="clear" w:color="auto" w:fill="EAF9E8"/>
          </w:tcPr>
          <w:p>
            <w:pPr>
              <w:spacing w:after="0"/>
              <w:rPr>
                <w:sz w:val="20"/>
                <w:szCs w:val="20"/>
                <w:color w:val="auto"/>
              </w:rPr>
            </w:pPr>
          </w:p>
        </w:tc>
        <w:tc>
          <w:tcPr>
            <w:tcW w:w="12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30,982</w:t>
            </w:r>
          </w:p>
        </w:tc>
        <w:tc>
          <w:tcPr>
            <w:tcW w:w="200" w:type="dxa"/>
            <w:vAlign w:val="bottom"/>
            <w:shd w:val="clear" w:color="auto" w:fill="EAF9E8"/>
          </w:tcPr>
          <w:p>
            <w:pPr>
              <w:spacing w:after="0"/>
              <w:rPr>
                <w:sz w:val="20"/>
                <w:szCs w:val="20"/>
                <w:color w:val="auto"/>
              </w:rPr>
            </w:pPr>
          </w:p>
        </w:tc>
        <w:tc>
          <w:tcPr>
            <w:tcW w:w="11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54,554</w:t>
            </w:r>
          </w:p>
        </w:tc>
        <w:tc>
          <w:tcPr>
            <w:tcW w:w="14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78,588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Income tax expense (benefit) (2)(6)</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5,545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96,110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12,006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(127,720)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AF9E8"/>
          </w:tcPr>
          <w:p>
            <w:pPr>
              <w:ind w:left="60"/>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33,609</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(2,849)</w:t>
            </w:r>
          </w:p>
        </w:tc>
        <w:tc>
          <w:tcPr>
            <w:tcW w:w="2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18,976</w:t>
            </w:r>
          </w:p>
        </w:tc>
        <w:tc>
          <w:tcPr>
            <w:tcW w:w="20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39,368</w:t>
            </w: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206,308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rPr>
              <w:t>Income (loss) from discontinued operations, net of</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tcPr>
          <w:p>
            <w:pPr>
              <w:ind w:left="60"/>
              <w:spacing w:after="0"/>
              <w:rPr>
                <w:sz w:val="20"/>
                <w:szCs w:val="20"/>
                <w:color w:val="auto"/>
              </w:rPr>
            </w:pPr>
            <w:r>
              <w:rPr>
                <w:rFonts w:ascii="Arial" w:cs="Arial" w:eastAsia="Arial" w:hAnsi="Arial"/>
                <w:sz w:val="18"/>
                <w:szCs w:val="18"/>
                <w:color w:val="auto"/>
              </w:rPr>
              <w:t>taxes (4)</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4,383</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3,121</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(5,767)</w:t>
            </w:r>
          </w:p>
        </w:tc>
        <w:tc>
          <w:tcPr>
            <w:tcW w:w="2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(3,172)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37,992</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272</w:t>
            </w:r>
          </w:p>
        </w:tc>
        <w:tc>
          <w:tcPr>
            <w:tcW w:w="2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13,209</w:t>
            </w:r>
          </w:p>
        </w:tc>
        <w:tc>
          <w:tcPr>
            <w:tcW w:w="20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36,196</w:t>
            </w: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204,214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rPr>
              <w:t>Net loss (income) attributable to non-controlling</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tcPr>
          <w:p>
            <w:pPr>
              <w:ind w:left="60"/>
              <w:spacing w:after="0"/>
              <w:rPr>
                <w:sz w:val="20"/>
                <w:szCs w:val="20"/>
                <w:color w:val="auto"/>
              </w:rPr>
            </w:pPr>
            <w:r>
              <w:rPr>
                <w:rFonts w:ascii="Arial" w:cs="Arial" w:eastAsia="Arial" w:hAnsi="Arial"/>
                <w:sz w:val="18"/>
                <w:szCs w:val="18"/>
                <w:color w:val="auto"/>
              </w:rPr>
              <w:t>interests</w:t>
            </w:r>
          </w:p>
        </w:tc>
        <w:tc>
          <w:tcPr>
            <w:tcW w:w="18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22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Net income attributable to OCN</w:t>
            </w:r>
          </w:p>
        </w:tc>
        <w:tc>
          <w:tcPr>
            <w:tcW w:w="180" w:type="dxa"/>
            <w:vAlign w:val="bottom"/>
            <w:shd w:val="clear" w:color="auto" w:fill="EAF9E8"/>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37,984</w:t>
            </w:r>
          </w:p>
        </w:tc>
        <w:tc>
          <w:tcPr>
            <w:tcW w:w="340" w:type="dxa"/>
            <w:vAlign w:val="bottom"/>
            <w:shd w:val="clear" w:color="auto" w:fill="EAF9E8"/>
          </w:tcPr>
          <w:p>
            <w:pPr>
              <w:spacing w:after="0"/>
              <w:rPr>
                <w:sz w:val="22"/>
                <w:szCs w:val="22"/>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297</w:t>
            </w:r>
          </w:p>
        </w:tc>
        <w:tc>
          <w:tcPr>
            <w:tcW w:w="2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13,250</w:t>
            </w:r>
          </w:p>
        </w:tc>
        <w:tc>
          <w:tcPr>
            <w:tcW w:w="200" w:type="dxa"/>
            <w:vAlign w:val="bottom"/>
            <w:shd w:val="clear" w:color="auto" w:fill="EAF9E8"/>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36,104</w:t>
            </w:r>
          </w:p>
        </w:tc>
        <w:tc>
          <w:tcPr>
            <w:tcW w:w="3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204,145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Borders>
              <w:top w:val="single" w:sz="8" w:color="EAF9E8"/>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Borders>
              <w:top w:val="single" w:sz="8" w:color="EAF9E8"/>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Basic earnings per share</w:t>
            </w: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0.34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(0.04)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0.30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0.63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Income (loss) from discontinued operations (4)</w:t>
            </w: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0.04</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(0.09)</w:t>
            </w:r>
          </w:p>
        </w:tc>
        <w:tc>
          <w:tcPr>
            <w:tcW w:w="20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shd w:val="clear" w:color="auto" w:fill="EAF9E8"/>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0.38</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0.21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0.58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Diluted earnings per share</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shd w:val="clear" w:color="auto" w:fill="EAF9E8"/>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0.32</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0.30</w:t>
            </w:r>
          </w:p>
        </w:tc>
        <w:tc>
          <w:tcPr>
            <w:tcW w:w="200" w:type="dxa"/>
            <w:vAlign w:val="bottom"/>
            <w:shd w:val="clear" w:color="auto" w:fill="EAF9E8"/>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0.62</w:t>
            </w:r>
          </w:p>
        </w:tc>
        <w:tc>
          <w:tcPr>
            <w:tcW w:w="3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Income (loss) from discontinued operations (4)</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(0.09)</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(0.05)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22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EAF9E8"/>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0.36</w:t>
            </w:r>
          </w:p>
        </w:tc>
        <w:tc>
          <w:tcPr>
            <w:tcW w:w="340" w:type="dxa"/>
            <w:vAlign w:val="bottom"/>
            <w:shd w:val="clear" w:color="auto" w:fill="EAF9E8"/>
          </w:tcPr>
          <w:p>
            <w:pPr>
              <w:spacing w:after="0"/>
              <w:rPr>
                <w:sz w:val="22"/>
                <w:szCs w:val="22"/>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0.21</w:t>
            </w:r>
          </w:p>
        </w:tc>
        <w:tc>
          <w:tcPr>
            <w:tcW w:w="200" w:type="dxa"/>
            <w:vAlign w:val="bottom"/>
            <w:shd w:val="clear" w:color="auto" w:fill="EAF9E8"/>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0.57</w:t>
            </w:r>
          </w:p>
        </w:tc>
        <w:tc>
          <w:tcPr>
            <w:tcW w:w="3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Borders>
              <w:top w:val="single" w:sz="8" w:color="EAF9E8"/>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Borders>
              <w:top w:val="single" w:sz="8" w:color="EAF9E8"/>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8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100,273,121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78,252,000</w:t>
            </w:r>
          </w:p>
        </w:tc>
        <w:tc>
          <w:tcPr>
            <w:tcW w:w="2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62,670,957</w:t>
            </w: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62,712,076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62,871,613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AF9E8"/>
          </w:tcPr>
          <w:p>
            <w:pPr>
              <w:ind w:left="60"/>
              <w:spacing w:after="0"/>
              <w:rPr>
                <w:sz w:val="20"/>
                <w:szCs w:val="20"/>
                <w:color w:val="auto"/>
              </w:rPr>
            </w:pPr>
            <w:r>
              <w:rPr>
                <w:rFonts w:ascii="Arial" w:cs="Arial" w:eastAsia="Arial" w:hAnsi="Arial"/>
                <w:sz w:val="18"/>
                <w:szCs w:val="18"/>
                <w:color w:val="auto"/>
              </w:rPr>
              <w:t>Diluted (5)</w:t>
            </w: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5"/>
              </w:rPr>
              <w:t>107,483,015</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78,252,000</w:t>
            </w:r>
          </w:p>
        </w:tc>
        <w:tc>
          <w:tcPr>
            <w:tcW w:w="2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62,935,314</w:t>
            </w:r>
          </w:p>
        </w:tc>
        <w:tc>
          <w:tcPr>
            <w:tcW w:w="20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63,496,339</w:t>
            </w: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71,864,311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right="20" w:hanging="572"/>
        <w:spacing w:after="0" w:line="271" w:lineRule="auto"/>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As a result of our adoption of Accounting Standards Update (ASU) 2009-16 (ASC 860, Transfers and Servicing) and ASU 2009-17 (ASC 810, Consolidation) on January 1, 2010 we began consolidating four residential mortgage loan securitization trusts that were previously excluded from our consolidated financial statements because each trust was a qualifying special purpose entity (QSPE). In prior years, we had securitized residential mortgage loans using certain trusts. Upon adoption of this new accounting guidance, we recorded a $75,506 increase in total assets, a $73,232 increase in liabilities and a $2,274 increase in the opening balance of retained earnings. Our Consolidated Statements of Operations and Consolidated Balance Sheets for the prior years presented have not been retroactively adjusted. Beginning January 1, 2010, we eliminate in c onsolidation our investment in the securities we hold that were issued by the securitization trusts, as well as the related interest income and unrealized gains and losses. See Note 1 to the Consolidated Financial Statements for additional information.</w:t>
      </w:r>
    </w:p>
    <w:p>
      <w:pPr>
        <w:spacing w:after="0" w:line="178" w:lineRule="exact"/>
        <w:rPr>
          <w:rFonts w:ascii="Arial" w:cs="Arial" w:eastAsia="Arial" w:hAnsi="Arial"/>
          <w:sz w:val="17"/>
          <w:szCs w:val="17"/>
          <w:color w:val="auto"/>
        </w:rPr>
      </w:pPr>
    </w:p>
    <w:p>
      <w:pPr>
        <w:ind w:left="580" w:right="540" w:hanging="572"/>
        <w:spacing w:after="0" w:line="277"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income tax benefit for 2006 reflects the reversal of $155,377 of valuation allowances on our deferred tax assets in order to increase the net deferred tax asset to the amount that is more likely than not to be realized in future periods.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0" w:name="page31"/>
    <w:bookmarkEnd w:id="30"/>
    <w:p>
      <w:pPr>
        <w:ind w:left="580" w:right="20" w:hanging="572"/>
        <w:spacing w:after="0" w:line="257"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account for our investments in unconsolidated entities using the equity method. In 2006, we acquired an equity interest in BMS Holdings. During 2008, our 45% equity interest in the losses of BMS Holdings reduced our investment to zero, and we suspended the recognition of losses from our investment. In 2010, the stock of BMS was transferred to debt holders as part of a restructuring plan, and as a result, BMS Holdings has no remaining assets or operations. Following the restructuring, BMS Holdings changed its name to BHI Liquidation, Inc. (BHI). In 2007, we acquired 25% equity interests in OSI and in ONL and affiliates.</w:t>
      </w:r>
    </w:p>
    <w:p>
      <w:pPr>
        <w:spacing w:after="0" w:line="188" w:lineRule="exact"/>
        <w:rPr>
          <w:rFonts w:ascii="Arial" w:cs="Arial" w:eastAsia="Arial" w:hAnsi="Arial"/>
          <w:sz w:val="18"/>
          <w:szCs w:val="18"/>
          <w:color w:val="auto"/>
        </w:rPr>
      </w:pPr>
    </w:p>
    <w:p>
      <w:pPr>
        <w:ind w:left="580" w:hanging="572"/>
        <w:spacing w:after="0" w:line="264"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fourth quarter of 2009, we completed the sale of our investment in BOK. We have reported the results of operations of BOK in the consolidated financial statements as discontinued operations. Income from discontinued operations for 2010 represents a true-up of Ocwen’s income tax expense on the sale of BOK.</w:t>
      </w:r>
    </w:p>
    <w:p>
      <w:pPr>
        <w:spacing w:after="0" w:line="181" w:lineRule="exact"/>
        <w:rPr>
          <w:rFonts w:ascii="Arial" w:cs="Arial" w:eastAsia="Arial" w:hAnsi="Arial"/>
          <w:sz w:val="18"/>
          <w:szCs w:val="18"/>
          <w:color w:val="auto"/>
        </w:rPr>
      </w:pPr>
    </w:p>
    <w:p>
      <w:pPr>
        <w:ind w:left="580" w:right="320" w:hanging="572"/>
        <w:spacing w:after="0" w:line="259"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assumed conversion of the 3.25% Convertible Notes has been reflected in the calculation of weighted average common shares outstanding in computing diluted earnings per share for 2006. Conversion of the Convertible Notes to common stock was not assumed for 2009, 2008 and 2007 because the effect was antidilutive. Interest expense on the Convertible Notes, net of income tax, has been added to net income for purposes of computing diluted earnings per share for 2010 and 2006.</w:t>
      </w:r>
    </w:p>
    <w:p>
      <w:pPr>
        <w:spacing w:after="0" w:line="186" w:lineRule="exact"/>
        <w:rPr>
          <w:rFonts w:ascii="Arial" w:cs="Arial" w:eastAsia="Arial" w:hAnsi="Arial"/>
          <w:sz w:val="18"/>
          <w:szCs w:val="18"/>
          <w:color w:val="auto"/>
        </w:rPr>
      </w:pPr>
    </w:p>
    <w:p>
      <w:pPr>
        <w:ind w:left="580" w:hanging="572"/>
        <w:spacing w:after="0" w:line="254"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a consequence of the Separation and related transactions, Ocwen incurred income taxes to the extent that the fair market value of Altisource assets exceeded Ocwen’s tax basis in such assets in accordance with Section 367 of the Internal Revenue Code. Ocwen recognized $52,047 of income tax expense, of which $25,649 was current expense and $26,398 was deferred expense. We eliminated $88,478 of the assets (including goodwill and other intangibles) and $16,332 of the liabilities of Altisource from our consolidated balance sheet effective at the close of business on August 9, 2009. Beginning August 10, 2009, the operating results of Altisource are no longer included in our operating results. The Separation contributed significantly to the declines in revenues, operating expenses, income from operations and income from continuing opera tions. See Management’s Discussion and Analysis of Financial Condition and Results of Operations—Overview for additional information regarding the effects of the Separation.</w:t>
      </w:r>
    </w:p>
    <w:p>
      <w:pPr>
        <w:spacing w:after="0" w:line="192" w:lineRule="exact"/>
        <w:rPr>
          <w:rFonts w:ascii="Arial" w:cs="Arial" w:eastAsia="Arial" w:hAnsi="Arial"/>
          <w:sz w:val="18"/>
          <w:szCs w:val="18"/>
          <w:color w:val="auto"/>
        </w:rPr>
      </w:pPr>
    </w:p>
    <w:p>
      <w:pPr>
        <w:ind w:left="580" w:right="40" w:hanging="572"/>
        <w:spacing w:after="0" w:line="255"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Ocwen acquired HomEq Servicing for total consideration of $1,165,673, of which $852,617 was funded by a new match funded servicing advance facility with the remainder primarily borrowed under a new senior secured term loan. Total identifiable net assets acquired were $1,162,189, including MSRs of $84,324 and advances of $1,063,180. We also acquired goodwill of $12,810. Revenues and operating expenses of HomEq Servicing from the acquisition date of September 1, 2010 through December 31, 2010 were $43,127 and $56,725, respectively. Operating expenses for this period consist principally of non-recurring costs related to the acquisition, including employee severance and lease termination costs and the amortization of MSRs. These operating expenses do not include an allocation of costs related to the servicing of HomEq Servicing loans on Ocw en’s platform.</w:t>
      </w:r>
    </w:p>
    <w:p>
      <w:pPr>
        <w:spacing w:after="0" w:line="185" w:lineRule="exact"/>
        <w:rPr>
          <w:sz w:val="20"/>
          <w:szCs w:val="20"/>
          <w:color w:val="auto"/>
        </w:rPr>
      </w:pPr>
    </w:p>
    <w:p>
      <w:pPr>
        <w:ind w:left="1380" w:right="40" w:hanging="1377"/>
        <w:spacing w:after="0" w:line="282" w:lineRule="auto"/>
        <w:tabs>
          <w:tab w:leader="none" w:pos="13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(Dollars in thousands, except share data)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400" w:firstLine="747"/>
        <w:spacing w:after="0" w:line="277" w:lineRule="auto"/>
        <w:rPr>
          <w:sz w:val="20"/>
          <w:szCs w:val="20"/>
          <w:color w:val="auto"/>
        </w:rPr>
      </w:pPr>
      <w:r>
        <w:rPr>
          <w:rFonts w:ascii="Arial" w:cs="Arial" w:eastAsia="Arial" w:hAnsi="Arial"/>
          <w:sz w:val="18"/>
          <w:szCs w:val="18"/>
          <w:color w:val="auto"/>
        </w:rPr>
        <w:t>Unless specifically stated otherwise, all references to 2010, 2009 and 2008 refer to our fiscal years ended, or the dates, as the context requires, December 31, 2010, December 31, 2009 and December 31, 2008, respectively.</w:t>
      </w:r>
    </w:p>
    <w:p>
      <w:pPr>
        <w:spacing w:after="0" w:line="170" w:lineRule="exact"/>
        <w:rPr>
          <w:sz w:val="20"/>
          <w:szCs w:val="20"/>
          <w:color w:val="auto"/>
        </w:rPr>
      </w:pPr>
    </w:p>
    <w:p>
      <w:pPr>
        <w:ind w:right="60" w:firstLine="744"/>
        <w:spacing w:after="0" w:line="277" w:lineRule="auto"/>
        <w:rPr>
          <w:sz w:val="20"/>
          <w:szCs w:val="20"/>
          <w:color w:val="auto"/>
        </w:rPr>
      </w:pPr>
      <w:r>
        <w:rPr>
          <w:rFonts w:ascii="Arial" w:cs="Arial" w:eastAsia="Arial" w:hAnsi="Arial"/>
          <w:sz w:val="18"/>
          <w:szCs w:val="18"/>
          <w:color w:val="auto"/>
        </w:rPr>
        <w:t>The following discussion of our results of operations, financial condition and capital resources and liquidity should be read in conjunction with our Consolidated Financial Statements and the related notes, all included elsewhere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Summary</w:t>
      </w:r>
    </w:p>
    <w:p>
      <w:pPr>
        <w:spacing w:after="0" w:line="229" w:lineRule="exact"/>
        <w:rPr>
          <w:sz w:val="20"/>
          <w:szCs w:val="20"/>
          <w:color w:val="auto"/>
        </w:rPr>
      </w:pPr>
    </w:p>
    <w:p>
      <w:pPr>
        <w:ind w:right="180" w:firstLine="744"/>
        <w:spacing w:after="0" w:line="259" w:lineRule="auto"/>
        <w:rPr>
          <w:sz w:val="20"/>
          <w:szCs w:val="20"/>
          <w:color w:val="auto"/>
        </w:rPr>
      </w:pPr>
      <w:r>
        <w:rPr>
          <w:rFonts w:ascii="Arial" w:cs="Arial" w:eastAsia="Arial" w:hAnsi="Arial"/>
          <w:sz w:val="18"/>
          <w:szCs w:val="18"/>
          <w:color w:val="auto"/>
        </w:rPr>
        <w:t>The HomEq Acquisition and related shutdown costs in 2010 and the Altisource Separation and related income taxes in 2009 have significantly impacted our consolidated operating results. The operating results of the HomEq Servicing business are included in the Servicing segment since the acquisition on September 1, 2010. As a result of the Separation on August 10, 2009, Ocwen ceased, beginning on that date, to record operating results from the Mortgage Services, Financial Services and Technology Products segments.</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31" w:name="page32"/>
    <w:bookmarkEnd w:id="31"/>
    <w:p>
      <w:pPr>
        <w:ind w:right="580" w:firstLine="744"/>
        <w:spacing w:after="0" w:line="277" w:lineRule="auto"/>
        <w:rPr>
          <w:sz w:val="20"/>
          <w:szCs w:val="20"/>
          <w:color w:val="auto"/>
        </w:rPr>
      </w:pPr>
      <w:r>
        <w:rPr>
          <w:rFonts w:ascii="Arial" w:cs="Arial" w:eastAsia="Arial" w:hAnsi="Arial"/>
          <w:sz w:val="18"/>
          <w:szCs w:val="18"/>
          <w:color w:val="auto"/>
        </w:rPr>
        <w:t>The following table summarizes our consolidated operating results for the years indicated. We have provided a more complete discussion of operating results by line of business in the Segments section.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7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70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2008</w:t>
            </w:r>
          </w:p>
        </w:tc>
        <w:tc>
          <w:tcPr>
            <w:tcW w:w="320" w:type="dxa"/>
            <w:vAlign w:val="bottom"/>
          </w:tcPr>
          <w:p>
            <w:pPr>
              <w:spacing w:after="0"/>
              <w:rPr>
                <w:sz w:val="19"/>
                <w:szCs w:val="19"/>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2010 to 2009</w:t>
            </w: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2009 to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AF9E8"/>
          </w:tcPr>
          <w:p>
            <w:pPr>
              <w:spacing w:after="0"/>
              <w:rPr>
                <w:sz w:val="20"/>
                <w:szCs w:val="20"/>
                <w:color w:val="auto"/>
              </w:rPr>
            </w:pPr>
            <w:r>
              <w:rPr>
                <w:rFonts w:ascii="Arial" w:cs="Arial" w:eastAsia="Arial" w:hAnsi="Arial"/>
                <w:sz w:val="18"/>
                <w:szCs w:val="18"/>
                <w:color w:val="auto"/>
              </w:rPr>
              <w:t>Consolidated:</w:t>
            </w: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Revenue (1)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360,381</w:t>
            </w:r>
          </w:p>
        </w:tc>
        <w:tc>
          <w:tcPr>
            <w:tcW w:w="3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380,728</w:t>
            </w:r>
          </w:p>
        </w:tc>
        <w:tc>
          <w:tcPr>
            <w:tcW w:w="3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492,128</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bottom w:val="single" w:sz="8" w:color="EAF9E8"/>
            </w:tcBorders>
            <w:shd w:val="clear" w:color="auto" w:fill="EAF9E8"/>
          </w:tcPr>
          <w:p>
            <w:pPr>
              <w:ind w:left="60"/>
              <w:spacing w:after="0"/>
              <w:rPr>
                <w:sz w:val="20"/>
                <w:szCs w:val="20"/>
                <w:color w:val="auto"/>
              </w:rPr>
            </w:pPr>
            <w:r>
              <w:rPr>
                <w:rFonts w:ascii="Arial" w:cs="Arial" w:eastAsia="Arial" w:hAnsi="Arial"/>
                <w:sz w:val="18"/>
                <w:szCs w:val="18"/>
                <w:color w:val="auto"/>
              </w:rPr>
              <w:t>Operating expenses (2)</w:t>
            </w:r>
          </w:p>
        </w:tc>
        <w:tc>
          <w:tcPr>
            <w:tcW w:w="240" w:type="dxa"/>
            <w:vAlign w:val="bottom"/>
            <w:tcBorders>
              <w:bottom w:val="single" w:sz="8" w:color="auto"/>
            </w:tcBorders>
            <w:shd w:val="clear" w:color="auto" w:fill="EAF9E8"/>
          </w:tcPr>
          <w:p>
            <w:pPr>
              <w:spacing w:after="0"/>
              <w:rPr>
                <w:sz w:val="19"/>
                <w:szCs w:val="19"/>
                <w:color w:val="auto"/>
              </w:rPr>
            </w:pPr>
          </w:p>
        </w:tc>
        <w:tc>
          <w:tcPr>
            <w:tcW w:w="9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236,474</w:t>
            </w:r>
          </w:p>
        </w:tc>
        <w:tc>
          <w:tcPr>
            <w:tcW w:w="340" w:type="dxa"/>
            <w:vAlign w:val="bottom"/>
            <w:tcBorders>
              <w:bottom w:val="single" w:sz="8" w:color="EAF9E8"/>
            </w:tcBorders>
            <w:shd w:val="clear" w:color="auto" w:fill="EAF9E8"/>
          </w:tcPr>
          <w:p>
            <w:pPr>
              <w:spacing w:after="0"/>
              <w:rPr>
                <w:sz w:val="19"/>
                <w:szCs w:val="19"/>
                <w:color w:val="auto"/>
              </w:rPr>
            </w:pPr>
          </w:p>
        </w:tc>
        <w:tc>
          <w:tcPr>
            <w:tcW w:w="260" w:type="dxa"/>
            <w:vAlign w:val="bottom"/>
            <w:tcBorders>
              <w:bottom w:val="single" w:sz="8" w:color="auto"/>
            </w:tcBorders>
            <w:shd w:val="clear" w:color="auto" w:fill="EAF9E8"/>
          </w:tcPr>
          <w:p>
            <w:pPr>
              <w:spacing w:after="0"/>
              <w:rPr>
                <w:sz w:val="19"/>
                <w:szCs w:val="19"/>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235,654</w:t>
            </w:r>
          </w:p>
        </w:tc>
        <w:tc>
          <w:tcPr>
            <w:tcW w:w="360" w:type="dxa"/>
            <w:vAlign w:val="bottom"/>
            <w:tcBorders>
              <w:bottom w:val="single" w:sz="8" w:color="EAF9E8"/>
            </w:tcBorders>
            <w:shd w:val="clear" w:color="auto" w:fill="EAF9E8"/>
          </w:tcPr>
          <w:p>
            <w:pPr>
              <w:spacing w:after="0"/>
              <w:rPr>
                <w:sz w:val="19"/>
                <w:szCs w:val="19"/>
                <w:color w:val="auto"/>
              </w:rPr>
            </w:pPr>
          </w:p>
        </w:tc>
        <w:tc>
          <w:tcPr>
            <w:tcW w:w="380" w:type="dxa"/>
            <w:vAlign w:val="bottom"/>
            <w:tcBorders>
              <w:bottom w:val="single" w:sz="8" w:color="auto"/>
            </w:tcBorders>
            <w:shd w:val="clear" w:color="auto" w:fill="EAF9E8"/>
          </w:tcPr>
          <w:p>
            <w:pPr>
              <w:spacing w:after="0"/>
              <w:rPr>
                <w:sz w:val="19"/>
                <w:szCs w:val="19"/>
                <w:color w:val="auto"/>
              </w:rPr>
            </w:pPr>
          </w:p>
        </w:tc>
        <w:tc>
          <w:tcPr>
            <w:tcW w:w="7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323,355</w:t>
            </w:r>
          </w:p>
        </w:tc>
        <w:tc>
          <w:tcPr>
            <w:tcW w:w="320" w:type="dxa"/>
            <w:vAlign w:val="bottom"/>
            <w:tcBorders>
              <w:bottom w:val="single" w:sz="8" w:color="EAF9E8"/>
            </w:tcBorders>
            <w:shd w:val="clear" w:color="auto" w:fill="EAF9E8"/>
          </w:tcPr>
          <w:p>
            <w:pPr>
              <w:spacing w:after="0"/>
              <w:rPr>
                <w:sz w:val="19"/>
                <w:szCs w:val="19"/>
                <w:color w:val="auto"/>
              </w:rPr>
            </w:pPr>
          </w:p>
        </w:tc>
        <w:tc>
          <w:tcPr>
            <w:tcW w:w="1240" w:type="dxa"/>
            <w:vAlign w:val="bottom"/>
            <w:tcBorders>
              <w:bottom w:val="single" w:sz="8" w:color="EAF9E8"/>
            </w:tcBorders>
            <w:shd w:val="clear" w:color="auto" w:fill="EAF9E8"/>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EAF9E8"/>
            </w:tcBorders>
            <w:gridSpan w:val="2"/>
            <w:shd w:val="clear" w:color="auto" w:fill="EAF9E8"/>
          </w:tcPr>
          <w:p>
            <w:pPr>
              <w:jc w:val="right"/>
              <w:ind w:right="19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123,907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145,074</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168,773</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(15)</w:t>
            </w:r>
          </w:p>
        </w:tc>
        <w:tc>
          <w:tcPr>
            <w:tcW w:w="1460" w:type="dxa"/>
            <w:vAlign w:val="bottom"/>
            <w:gridSpan w:val="2"/>
          </w:tcPr>
          <w:p>
            <w:pPr>
              <w:jc w:val="right"/>
              <w:ind w:right="19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AF9E8"/>
          </w:tcPr>
          <w:p>
            <w:pPr>
              <w:ind w:left="60"/>
              <w:spacing w:after="0"/>
              <w:rPr>
                <w:sz w:val="20"/>
                <w:szCs w:val="20"/>
                <w:color w:val="auto"/>
              </w:rPr>
            </w:pPr>
            <w:r>
              <w:rPr>
                <w:rFonts w:ascii="Arial" w:cs="Arial" w:eastAsia="Arial" w:hAnsi="Arial"/>
                <w:sz w:val="18"/>
                <w:szCs w:val="18"/>
                <w:color w:val="auto"/>
              </w:rPr>
              <w:t>Other expense, net</w:t>
            </w:r>
          </w:p>
        </w:tc>
        <w:tc>
          <w:tcPr>
            <w:tcW w:w="24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(84,753)</w:t>
            </w: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(51,813)</w:t>
            </w:r>
          </w:p>
        </w:tc>
        <w:tc>
          <w:tcPr>
            <w:tcW w:w="3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(137,791)</w:t>
            </w:r>
          </w:p>
        </w:tc>
        <w:tc>
          <w:tcPr>
            <w:tcW w:w="124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64</w:t>
            </w:r>
          </w:p>
        </w:tc>
        <w:tc>
          <w:tcPr>
            <w:tcW w:w="1460" w:type="dxa"/>
            <w:vAlign w:val="bottom"/>
            <w:gridSpan w:val="2"/>
            <w:shd w:val="clear" w:color="auto" w:fill="EAF9E8"/>
          </w:tcPr>
          <w:p>
            <w:pPr>
              <w:jc w:val="right"/>
              <w:ind w:right="19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Income from continuing operations before taxes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39,154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93,261</w:t>
            </w:r>
          </w:p>
        </w:tc>
        <w:tc>
          <w:tcPr>
            <w:tcW w:w="3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30,982</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(58)</w:t>
            </w:r>
          </w:p>
        </w:tc>
        <w:tc>
          <w:tcPr>
            <w:tcW w:w="1460" w:type="dxa"/>
            <w:vAlign w:val="bottom"/>
            <w:gridSpan w:val="2"/>
          </w:tcPr>
          <w:p>
            <w:pPr>
              <w:jc w:val="right"/>
              <w:ind w:right="25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bottom w:val="single" w:sz="8" w:color="EAF9E8"/>
            </w:tcBorders>
            <w:shd w:val="clear" w:color="auto" w:fill="EAF9E8"/>
          </w:tcPr>
          <w:p>
            <w:pPr>
              <w:ind w:left="6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EAF9E8"/>
          </w:tcPr>
          <w:p>
            <w:pPr>
              <w:spacing w:after="0"/>
              <w:rPr>
                <w:sz w:val="19"/>
                <w:szCs w:val="19"/>
                <w:color w:val="auto"/>
              </w:rPr>
            </w:pPr>
          </w:p>
        </w:tc>
        <w:tc>
          <w:tcPr>
            <w:tcW w:w="9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5,545</w:t>
            </w:r>
          </w:p>
        </w:tc>
        <w:tc>
          <w:tcPr>
            <w:tcW w:w="340" w:type="dxa"/>
            <w:vAlign w:val="bottom"/>
            <w:tcBorders>
              <w:bottom w:val="single" w:sz="8" w:color="EAF9E8"/>
            </w:tcBorders>
            <w:shd w:val="clear" w:color="auto" w:fill="EAF9E8"/>
          </w:tcPr>
          <w:p>
            <w:pPr>
              <w:spacing w:after="0"/>
              <w:rPr>
                <w:sz w:val="19"/>
                <w:szCs w:val="19"/>
                <w:color w:val="auto"/>
              </w:rPr>
            </w:pPr>
          </w:p>
        </w:tc>
        <w:tc>
          <w:tcPr>
            <w:tcW w:w="260" w:type="dxa"/>
            <w:vAlign w:val="bottom"/>
            <w:tcBorders>
              <w:bottom w:val="single" w:sz="8" w:color="auto"/>
            </w:tcBorders>
            <w:shd w:val="clear" w:color="auto" w:fill="EAF9E8"/>
          </w:tcPr>
          <w:p>
            <w:pPr>
              <w:spacing w:after="0"/>
              <w:rPr>
                <w:sz w:val="19"/>
                <w:szCs w:val="19"/>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96,110</w:t>
            </w:r>
          </w:p>
        </w:tc>
        <w:tc>
          <w:tcPr>
            <w:tcW w:w="360" w:type="dxa"/>
            <w:vAlign w:val="bottom"/>
            <w:tcBorders>
              <w:bottom w:val="single" w:sz="8" w:color="EAF9E8"/>
            </w:tcBorders>
            <w:shd w:val="clear" w:color="auto" w:fill="EAF9E8"/>
          </w:tcPr>
          <w:p>
            <w:pPr>
              <w:spacing w:after="0"/>
              <w:rPr>
                <w:sz w:val="19"/>
                <w:szCs w:val="19"/>
                <w:color w:val="auto"/>
              </w:rPr>
            </w:pPr>
          </w:p>
        </w:tc>
        <w:tc>
          <w:tcPr>
            <w:tcW w:w="380" w:type="dxa"/>
            <w:vAlign w:val="bottom"/>
            <w:tcBorders>
              <w:bottom w:val="single" w:sz="8" w:color="auto"/>
            </w:tcBorders>
            <w:shd w:val="clear" w:color="auto" w:fill="EAF9E8"/>
          </w:tcPr>
          <w:p>
            <w:pPr>
              <w:spacing w:after="0"/>
              <w:rPr>
                <w:sz w:val="19"/>
                <w:szCs w:val="19"/>
                <w:color w:val="auto"/>
              </w:rPr>
            </w:pPr>
          </w:p>
        </w:tc>
        <w:tc>
          <w:tcPr>
            <w:tcW w:w="7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12,006</w:t>
            </w:r>
          </w:p>
        </w:tc>
        <w:tc>
          <w:tcPr>
            <w:tcW w:w="320" w:type="dxa"/>
            <w:vAlign w:val="bottom"/>
            <w:tcBorders>
              <w:bottom w:val="single" w:sz="8" w:color="EAF9E8"/>
            </w:tcBorders>
            <w:shd w:val="clear" w:color="auto" w:fill="EAF9E8"/>
          </w:tcPr>
          <w:p>
            <w:pPr>
              <w:spacing w:after="0"/>
              <w:rPr>
                <w:sz w:val="19"/>
                <w:szCs w:val="19"/>
                <w:color w:val="auto"/>
              </w:rPr>
            </w:pPr>
          </w:p>
        </w:tc>
        <w:tc>
          <w:tcPr>
            <w:tcW w:w="1240" w:type="dxa"/>
            <w:vAlign w:val="bottom"/>
            <w:tcBorders>
              <w:bottom w:val="single" w:sz="8" w:color="EAF9E8"/>
            </w:tcBorders>
            <w:shd w:val="clear" w:color="auto" w:fill="EAF9E8"/>
          </w:tcPr>
          <w:p>
            <w:pPr>
              <w:jc w:val="right"/>
              <w:ind w:right="190"/>
              <w:spacing w:after="0"/>
              <w:rPr>
                <w:sz w:val="20"/>
                <w:szCs w:val="20"/>
                <w:color w:val="auto"/>
              </w:rPr>
            </w:pPr>
            <w:r>
              <w:rPr>
                <w:rFonts w:ascii="Arial" w:cs="Arial" w:eastAsia="Arial" w:hAnsi="Arial"/>
                <w:sz w:val="18"/>
                <w:szCs w:val="18"/>
                <w:color w:val="auto"/>
              </w:rPr>
              <w:t>(94)</w:t>
            </w:r>
          </w:p>
        </w:tc>
        <w:tc>
          <w:tcPr>
            <w:tcW w:w="1460" w:type="dxa"/>
            <w:vAlign w:val="bottom"/>
            <w:tcBorders>
              <w:bottom w:val="single" w:sz="8" w:color="EAF9E8"/>
            </w:tcBorders>
            <w:gridSpan w:val="2"/>
            <w:shd w:val="clear" w:color="auto" w:fill="EAF9E8"/>
          </w:tcPr>
          <w:p>
            <w:pPr>
              <w:jc w:val="right"/>
              <w:ind w:right="25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Income (loss) from continuing operations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33,609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(2,849)</w:t>
            </w:r>
          </w:p>
        </w:tc>
        <w:tc>
          <w:tcPr>
            <w:tcW w:w="3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18,976</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(1,280)</w:t>
            </w:r>
          </w:p>
        </w:tc>
        <w:tc>
          <w:tcPr>
            <w:tcW w:w="1460" w:type="dxa"/>
            <w:vAlign w:val="bottom"/>
            <w:gridSpan w:val="2"/>
          </w:tcPr>
          <w:p>
            <w:pPr>
              <w:jc w:val="right"/>
              <w:ind w:right="19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shd w:val="clear" w:color="auto" w:fill="EAF9E8"/>
          </w:tcPr>
          <w:p>
            <w:pPr>
              <w:ind w:left="60"/>
              <w:spacing w:after="0" w:line="201" w:lineRule="exact"/>
              <w:rPr>
                <w:sz w:val="20"/>
                <w:szCs w:val="20"/>
                <w:color w:val="auto"/>
              </w:rPr>
            </w:pPr>
            <w:r>
              <w:rPr>
                <w:rFonts w:ascii="Arial" w:cs="Arial" w:eastAsia="Arial" w:hAnsi="Arial"/>
                <w:sz w:val="18"/>
                <w:szCs w:val="18"/>
                <w:color w:val="auto"/>
              </w:rPr>
              <w:t>Income (loss) from discontinued operations, net of</w:t>
            </w:r>
          </w:p>
        </w:tc>
        <w:tc>
          <w:tcPr>
            <w:tcW w:w="24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76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taxes</w:t>
            </w:r>
          </w:p>
        </w:tc>
        <w:tc>
          <w:tcPr>
            <w:tcW w:w="240" w:type="dxa"/>
            <w:vAlign w:val="bottom"/>
            <w:shd w:val="clear" w:color="auto" w:fill="EAF9E8"/>
          </w:tcPr>
          <w:p>
            <w:pPr>
              <w:spacing w:after="0"/>
              <w:rPr>
                <w:sz w:val="20"/>
                <w:szCs w:val="20"/>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4,383</w:t>
            </w:r>
          </w:p>
        </w:tc>
        <w:tc>
          <w:tcPr>
            <w:tcW w:w="340" w:type="dxa"/>
            <w:vAlign w:val="bottom"/>
            <w:shd w:val="clear" w:color="auto" w:fill="EAF9E8"/>
          </w:tcPr>
          <w:p>
            <w:pPr>
              <w:spacing w:after="0"/>
              <w:rPr>
                <w:sz w:val="20"/>
                <w:szCs w:val="20"/>
                <w:color w:val="auto"/>
              </w:rPr>
            </w:pPr>
          </w:p>
        </w:tc>
        <w:tc>
          <w:tcPr>
            <w:tcW w:w="260" w:type="dxa"/>
            <w:vAlign w:val="bottom"/>
            <w:shd w:val="clear" w:color="auto" w:fill="EAF9E8"/>
          </w:tcPr>
          <w:p>
            <w:pPr>
              <w:spacing w:after="0"/>
              <w:rPr>
                <w:sz w:val="20"/>
                <w:szCs w:val="20"/>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3,121</w:t>
            </w:r>
          </w:p>
        </w:tc>
        <w:tc>
          <w:tcPr>
            <w:tcW w:w="360" w:type="dxa"/>
            <w:vAlign w:val="bottom"/>
            <w:shd w:val="clear" w:color="auto" w:fill="EAF9E8"/>
          </w:tcPr>
          <w:p>
            <w:pPr>
              <w:spacing w:after="0"/>
              <w:rPr>
                <w:sz w:val="20"/>
                <w:szCs w:val="20"/>
                <w:color w:val="auto"/>
              </w:rPr>
            </w:pPr>
          </w:p>
        </w:tc>
        <w:tc>
          <w:tcPr>
            <w:tcW w:w="380" w:type="dxa"/>
            <w:vAlign w:val="bottom"/>
            <w:shd w:val="clear" w:color="auto" w:fill="EAF9E8"/>
          </w:tcPr>
          <w:p>
            <w:pPr>
              <w:spacing w:after="0"/>
              <w:rPr>
                <w:sz w:val="20"/>
                <w:szCs w:val="20"/>
                <w:color w:val="auto"/>
              </w:rPr>
            </w:pPr>
          </w:p>
        </w:tc>
        <w:tc>
          <w:tcPr>
            <w:tcW w:w="10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(5,767)</w:t>
            </w:r>
          </w:p>
        </w:tc>
        <w:tc>
          <w:tcPr>
            <w:tcW w:w="124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40</w:t>
            </w:r>
          </w:p>
        </w:tc>
        <w:tc>
          <w:tcPr>
            <w:tcW w:w="1460" w:type="dxa"/>
            <w:vAlign w:val="bottom"/>
            <w:gridSpan w:val="2"/>
            <w:shd w:val="clear" w:color="auto" w:fill="EAF9E8"/>
          </w:tcPr>
          <w:p>
            <w:pPr>
              <w:jc w:val="right"/>
              <w:ind w:right="19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37,992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272</w:t>
            </w:r>
          </w:p>
        </w:tc>
        <w:tc>
          <w:tcPr>
            <w:tcW w:w="3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13,209</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13,868</w:t>
            </w:r>
          </w:p>
        </w:tc>
        <w:tc>
          <w:tcPr>
            <w:tcW w:w="1460" w:type="dxa"/>
            <w:vAlign w:val="bottom"/>
            <w:gridSpan w:val="2"/>
          </w:tcPr>
          <w:p>
            <w:pPr>
              <w:jc w:val="right"/>
              <w:ind w:right="19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shd w:val="clear" w:color="auto" w:fill="EAF9E8"/>
          </w:tcPr>
          <w:p>
            <w:pPr>
              <w:ind w:left="60"/>
              <w:spacing w:after="0" w:line="201" w:lineRule="exact"/>
              <w:rPr>
                <w:sz w:val="20"/>
                <w:szCs w:val="20"/>
                <w:color w:val="auto"/>
              </w:rPr>
            </w:pPr>
            <w:r>
              <w:rPr>
                <w:rFonts w:ascii="Arial" w:cs="Arial" w:eastAsia="Arial" w:hAnsi="Arial"/>
                <w:sz w:val="18"/>
                <w:szCs w:val="18"/>
                <w:color w:val="auto"/>
              </w:rPr>
              <w:t>Net income (loss) attributable to non-controlling</w:t>
            </w:r>
          </w:p>
        </w:tc>
        <w:tc>
          <w:tcPr>
            <w:tcW w:w="24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76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interests</w:t>
            </w:r>
          </w:p>
        </w:tc>
        <w:tc>
          <w:tcPr>
            <w:tcW w:w="240" w:type="dxa"/>
            <w:vAlign w:val="bottom"/>
            <w:shd w:val="clear" w:color="auto" w:fill="EAF9E8"/>
          </w:tcPr>
          <w:p>
            <w:pPr>
              <w:spacing w:after="0"/>
              <w:rPr>
                <w:sz w:val="20"/>
                <w:szCs w:val="20"/>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(8)</w:t>
            </w:r>
          </w:p>
        </w:tc>
        <w:tc>
          <w:tcPr>
            <w:tcW w:w="260" w:type="dxa"/>
            <w:vAlign w:val="bottom"/>
            <w:shd w:val="clear" w:color="auto" w:fill="EAF9E8"/>
          </w:tcPr>
          <w:p>
            <w:pPr>
              <w:spacing w:after="0"/>
              <w:rPr>
                <w:sz w:val="20"/>
                <w:szCs w:val="20"/>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w:t>
            </w:r>
          </w:p>
        </w:tc>
        <w:tc>
          <w:tcPr>
            <w:tcW w:w="360" w:type="dxa"/>
            <w:vAlign w:val="bottom"/>
            <w:shd w:val="clear" w:color="auto" w:fill="EAF9E8"/>
          </w:tcPr>
          <w:p>
            <w:pPr>
              <w:spacing w:after="0"/>
              <w:rPr>
                <w:sz w:val="20"/>
                <w:szCs w:val="20"/>
                <w:color w:val="auto"/>
              </w:rPr>
            </w:pPr>
          </w:p>
        </w:tc>
        <w:tc>
          <w:tcPr>
            <w:tcW w:w="380" w:type="dxa"/>
            <w:vAlign w:val="bottom"/>
            <w:shd w:val="clear" w:color="auto" w:fill="EAF9E8"/>
          </w:tcPr>
          <w:p>
            <w:pPr>
              <w:spacing w:after="0"/>
              <w:rPr>
                <w:sz w:val="20"/>
                <w:szCs w:val="20"/>
                <w:color w:val="auto"/>
              </w:rPr>
            </w:pPr>
          </w:p>
        </w:tc>
        <w:tc>
          <w:tcPr>
            <w:tcW w:w="10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41</w:t>
            </w:r>
          </w:p>
        </w:tc>
        <w:tc>
          <w:tcPr>
            <w:tcW w:w="1240" w:type="dxa"/>
            <w:vAlign w:val="bottom"/>
            <w:shd w:val="clear" w:color="auto" w:fill="EAF9E8"/>
          </w:tcPr>
          <w:p>
            <w:pPr>
              <w:jc w:val="right"/>
              <w:ind w:right="190"/>
              <w:spacing w:after="0"/>
              <w:rPr>
                <w:sz w:val="20"/>
                <w:szCs w:val="20"/>
                <w:color w:val="auto"/>
              </w:rPr>
            </w:pPr>
            <w:r>
              <w:rPr>
                <w:rFonts w:ascii="Arial" w:cs="Arial" w:eastAsia="Arial" w:hAnsi="Arial"/>
                <w:sz w:val="18"/>
                <w:szCs w:val="18"/>
                <w:color w:val="auto"/>
              </w:rPr>
              <w:t>(132)</w:t>
            </w:r>
          </w:p>
        </w:tc>
        <w:tc>
          <w:tcPr>
            <w:tcW w:w="1460" w:type="dxa"/>
            <w:vAlign w:val="bottom"/>
            <w:gridSpan w:val="2"/>
            <w:shd w:val="clear" w:color="auto" w:fill="EAF9E8"/>
          </w:tcPr>
          <w:p>
            <w:pPr>
              <w:jc w:val="right"/>
              <w:ind w:right="19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Net income attributable to OCN</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37,984</w:t>
            </w:r>
          </w:p>
        </w:tc>
        <w:tc>
          <w:tcPr>
            <w:tcW w:w="3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297</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13,250</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12,689</w:t>
            </w:r>
          </w:p>
        </w:tc>
        <w:tc>
          <w:tcPr>
            <w:tcW w:w="1460" w:type="dxa"/>
            <w:vAlign w:val="bottom"/>
            <w:gridSpan w:val="2"/>
          </w:tcPr>
          <w:p>
            <w:pPr>
              <w:jc w:val="right"/>
              <w:ind w:right="19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rPr>
              <w:t>Segment income (loss) from continuing operations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before taxes: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AF9E8"/>
          </w:tcPr>
          <w:p>
            <w:pPr>
              <w:ind w:left="60"/>
              <w:spacing w:after="0"/>
              <w:rPr>
                <w:sz w:val="20"/>
                <w:szCs w:val="20"/>
                <w:color w:val="auto"/>
              </w:rPr>
            </w:pPr>
            <w:r>
              <w:rPr>
                <w:rFonts w:ascii="Arial" w:cs="Arial" w:eastAsia="Arial" w:hAnsi="Arial"/>
                <w:sz w:val="18"/>
                <w:szCs w:val="18"/>
                <w:color w:val="auto"/>
              </w:rPr>
              <w:t>Servicing</w:t>
            </w:r>
          </w:p>
        </w:tc>
        <w:tc>
          <w:tcPr>
            <w:tcW w:w="240" w:type="dxa"/>
            <w:vAlign w:val="bottom"/>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78,195</w:t>
            </w: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87,681</w:t>
            </w:r>
          </w:p>
        </w:tc>
        <w:tc>
          <w:tcPr>
            <w:tcW w:w="380" w:type="dxa"/>
            <w:vAlign w:val="bottom"/>
            <w:shd w:val="clear" w:color="auto" w:fill="EAF9E8"/>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100,770</w:t>
            </w:r>
          </w:p>
        </w:tc>
        <w:tc>
          <w:tcPr>
            <w:tcW w:w="12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(11)%</w:t>
            </w:r>
          </w:p>
        </w:tc>
        <w:tc>
          <w:tcPr>
            <w:tcW w:w="1460" w:type="dxa"/>
            <w:vAlign w:val="bottom"/>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Loans and Residuals</w:t>
            </w:r>
          </w:p>
        </w:tc>
        <w:tc>
          <w:tcPr>
            <w:tcW w:w="2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(2,846)</w:t>
            </w:r>
          </w:p>
        </w:tc>
        <w:tc>
          <w:tcPr>
            <w:tcW w:w="2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(9,121)</w:t>
            </w:r>
          </w:p>
        </w:tc>
        <w:tc>
          <w:tcPr>
            <w:tcW w:w="3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(14,682)</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(69)</w:t>
            </w:r>
          </w:p>
        </w:tc>
        <w:tc>
          <w:tcPr>
            <w:tcW w:w="1460" w:type="dxa"/>
            <w:vAlign w:val="bottom"/>
            <w:gridSpan w:val="2"/>
          </w:tcPr>
          <w:p>
            <w:pPr>
              <w:jc w:val="right"/>
              <w:ind w:right="19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AF9E8"/>
          </w:tcPr>
          <w:p>
            <w:pPr>
              <w:ind w:left="60"/>
              <w:spacing w:after="0"/>
              <w:rPr>
                <w:sz w:val="20"/>
                <w:szCs w:val="20"/>
                <w:color w:val="auto"/>
              </w:rPr>
            </w:pPr>
            <w:r>
              <w:rPr>
                <w:rFonts w:ascii="Arial" w:cs="Arial" w:eastAsia="Arial" w:hAnsi="Arial"/>
                <w:sz w:val="18"/>
                <w:szCs w:val="18"/>
                <w:color w:val="auto"/>
              </w:rPr>
              <w:t>Asset Management Vehicles</w:t>
            </w:r>
          </w:p>
        </w:tc>
        <w:tc>
          <w:tcPr>
            <w:tcW w:w="24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(797)</w:t>
            </w: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(5,317)</w:t>
            </w:r>
          </w:p>
        </w:tc>
        <w:tc>
          <w:tcPr>
            <w:tcW w:w="3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(9,813)</w:t>
            </w:r>
          </w:p>
        </w:tc>
        <w:tc>
          <w:tcPr>
            <w:tcW w:w="1240" w:type="dxa"/>
            <w:vAlign w:val="bottom"/>
            <w:shd w:val="clear" w:color="auto" w:fill="EAF9E8"/>
          </w:tcPr>
          <w:p>
            <w:pPr>
              <w:jc w:val="right"/>
              <w:ind w:right="190"/>
              <w:spacing w:after="0"/>
              <w:rPr>
                <w:sz w:val="20"/>
                <w:szCs w:val="20"/>
                <w:color w:val="auto"/>
              </w:rPr>
            </w:pPr>
            <w:r>
              <w:rPr>
                <w:rFonts w:ascii="Arial" w:cs="Arial" w:eastAsia="Arial" w:hAnsi="Arial"/>
                <w:sz w:val="18"/>
                <w:szCs w:val="18"/>
                <w:color w:val="auto"/>
              </w:rPr>
              <w:t>(85)</w:t>
            </w:r>
          </w:p>
        </w:tc>
        <w:tc>
          <w:tcPr>
            <w:tcW w:w="1460" w:type="dxa"/>
            <w:vAlign w:val="bottom"/>
            <w:gridSpan w:val="2"/>
            <w:shd w:val="clear" w:color="auto" w:fill="EAF9E8"/>
          </w:tcPr>
          <w:p>
            <w:pPr>
              <w:jc w:val="right"/>
              <w:ind w:right="19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Mortgage Services</w:t>
            </w:r>
          </w:p>
        </w:tc>
        <w:tc>
          <w:tcPr>
            <w:tcW w:w="24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17,815</w:t>
            </w:r>
          </w:p>
        </w:tc>
        <w:tc>
          <w:tcPr>
            <w:tcW w:w="3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13,262</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(100)</w:t>
            </w:r>
          </w:p>
        </w:tc>
        <w:tc>
          <w:tcPr>
            <w:tcW w:w="1460" w:type="dxa"/>
            <w:vAlign w:val="bottom"/>
            <w:gridSpan w:val="2"/>
          </w:tcPr>
          <w:p>
            <w:pPr>
              <w:jc w:val="right"/>
              <w:ind w:right="25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AF9E8"/>
          </w:tcPr>
          <w:p>
            <w:pPr>
              <w:ind w:left="60"/>
              <w:spacing w:after="0"/>
              <w:rPr>
                <w:sz w:val="20"/>
                <w:szCs w:val="20"/>
                <w:color w:val="auto"/>
              </w:rPr>
            </w:pPr>
            <w:r>
              <w:rPr>
                <w:rFonts w:ascii="Arial" w:cs="Arial" w:eastAsia="Arial" w:hAnsi="Arial"/>
                <w:sz w:val="18"/>
                <w:szCs w:val="18"/>
                <w:color w:val="auto"/>
              </w:rPr>
              <w:t>Financial Services</w:t>
            </w:r>
          </w:p>
        </w:tc>
        <w:tc>
          <w:tcPr>
            <w:tcW w:w="24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(5,969)</w:t>
            </w:r>
          </w:p>
        </w:tc>
        <w:tc>
          <w:tcPr>
            <w:tcW w:w="3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(7,875)</w:t>
            </w:r>
          </w:p>
        </w:tc>
        <w:tc>
          <w:tcPr>
            <w:tcW w:w="1240" w:type="dxa"/>
            <w:vAlign w:val="bottom"/>
            <w:shd w:val="clear" w:color="auto" w:fill="EAF9E8"/>
          </w:tcPr>
          <w:p>
            <w:pPr>
              <w:jc w:val="right"/>
              <w:ind w:right="190"/>
              <w:spacing w:after="0"/>
              <w:rPr>
                <w:sz w:val="20"/>
                <w:szCs w:val="20"/>
                <w:color w:val="auto"/>
              </w:rPr>
            </w:pPr>
            <w:r>
              <w:rPr>
                <w:rFonts w:ascii="Arial" w:cs="Arial" w:eastAsia="Arial" w:hAnsi="Arial"/>
                <w:sz w:val="18"/>
                <w:szCs w:val="18"/>
                <w:color w:val="auto"/>
              </w:rPr>
              <w:t>(100)</w:t>
            </w:r>
          </w:p>
        </w:tc>
        <w:tc>
          <w:tcPr>
            <w:tcW w:w="1460" w:type="dxa"/>
            <w:vAlign w:val="bottom"/>
            <w:gridSpan w:val="2"/>
            <w:shd w:val="clear" w:color="auto" w:fill="EAF9E8"/>
          </w:tcPr>
          <w:p>
            <w:pPr>
              <w:jc w:val="right"/>
              <w:ind w:right="19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Technology Products</w:t>
            </w:r>
          </w:p>
        </w:tc>
        <w:tc>
          <w:tcPr>
            <w:tcW w:w="24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9,590</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3,580</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(100)</w:t>
            </w:r>
          </w:p>
        </w:tc>
        <w:tc>
          <w:tcPr>
            <w:tcW w:w="1460" w:type="dxa"/>
            <w:vAlign w:val="bottom"/>
            <w:gridSpan w:val="2"/>
          </w:tcPr>
          <w:p>
            <w:pPr>
              <w:jc w:val="right"/>
              <w:ind w:right="25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AF9E8"/>
          </w:tcPr>
          <w:p>
            <w:pPr>
              <w:ind w:left="60"/>
              <w:spacing w:after="0"/>
              <w:rPr>
                <w:sz w:val="20"/>
                <w:szCs w:val="20"/>
                <w:color w:val="auto"/>
              </w:rPr>
            </w:pPr>
            <w:r>
              <w:rPr>
                <w:rFonts w:ascii="Arial" w:cs="Arial" w:eastAsia="Arial" w:hAnsi="Arial"/>
                <w:sz w:val="18"/>
                <w:szCs w:val="18"/>
                <w:color w:val="auto"/>
              </w:rPr>
              <w:t>Corporate Items and Other</w:t>
            </w:r>
          </w:p>
        </w:tc>
        <w:tc>
          <w:tcPr>
            <w:tcW w:w="24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(35,398)</w:t>
            </w: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(1,418)</w:t>
            </w:r>
          </w:p>
        </w:tc>
        <w:tc>
          <w:tcPr>
            <w:tcW w:w="3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(54,260)</w:t>
            </w:r>
          </w:p>
        </w:tc>
        <w:tc>
          <w:tcPr>
            <w:tcW w:w="124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2,396</w:t>
            </w:r>
          </w:p>
        </w:tc>
        <w:tc>
          <w:tcPr>
            <w:tcW w:w="1460" w:type="dxa"/>
            <w:vAlign w:val="bottom"/>
            <w:gridSpan w:val="2"/>
            <w:shd w:val="clear" w:color="auto" w:fill="EAF9E8"/>
          </w:tcPr>
          <w:p>
            <w:pPr>
              <w:jc w:val="right"/>
              <w:ind w:right="19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39,154</w:t>
            </w:r>
          </w:p>
        </w:tc>
        <w:tc>
          <w:tcPr>
            <w:tcW w:w="3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93,261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30,982</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(58)</w:t>
            </w:r>
          </w:p>
        </w:tc>
        <w:tc>
          <w:tcPr>
            <w:tcW w:w="1460" w:type="dxa"/>
            <w:vAlign w:val="bottom"/>
            <w:gridSpan w:val="2"/>
          </w:tcPr>
          <w:p>
            <w:pPr>
              <w:jc w:val="right"/>
              <w:ind w:right="25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right="440" w:hanging="572"/>
        <w:spacing w:after="0" w:line="277"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Excluding the revenues earned by GSS and intersegment revenues of OS that were eliminated in consolidation, OS revenues were $106,257 and $146,166 for the years ended December 31, 2009 and 2008, respectively.</w:t>
      </w:r>
    </w:p>
    <w:p>
      <w:pPr>
        <w:spacing w:after="0" w:line="170" w:lineRule="exact"/>
        <w:rPr>
          <w:rFonts w:ascii="Arial" w:cs="Arial" w:eastAsia="Arial" w:hAnsi="Arial"/>
          <w:sz w:val="18"/>
          <w:szCs w:val="18"/>
          <w:color w:val="auto"/>
        </w:rPr>
      </w:pPr>
    </w:p>
    <w:p>
      <w:pPr>
        <w:ind w:left="580" w:right="540" w:hanging="572"/>
        <w:spacing w:after="0" w:line="277"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Excluding the expenses of GSS and BMS and intersegment expenses of OS that were eliminated in consolidation, OS operating expenses were $91,847 and $143,135 for the years ended December 31, 2009 and 2008, respectively.</w:t>
      </w:r>
    </w:p>
    <w:p>
      <w:pPr>
        <w:spacing w:after="0" w:line="166" w:lineRule="exact"/>
        <w:rPr>
          <w:sz w:val="20"/>
          <w:szCs w:val="20"/>
          <w:color w:val="auto"/>
        </w:rPr>
      </w:pPr>
    </w:p>
    <w:p>
      <w:pPr>
        <w:ind w:right="40" w:firstLine="747"/>
        <w:spacing w:after="0" w:line="274" w:lineRule="auto"/>
        <w:rPr>
          <w:sz w:val="20"/>
          <w:szCs w:val="20"/>
          <w:color w:val="auto"/>
        </w:rPr>
      </w:pPr>
      <w:r>
        <w:rPr>
          <w:rFonts w:ascii="Arial" w:cs="Arial" w:eastAsia="Arial" w:hAnsi="Arial"/>
          <w:sz w:val="17"/>
          <w:szCs w:val="17"/>
          <w:b w:val="1"/>
          <w:bCs w:val="1"/>
          <w:color w:val="auto"/>
        </w:rPr>
        <w:t xml:space="preserve">2010 versus 2009. </w:t>
      </w:r>
      <w:r>
        <w:rPr>
          <w:rFonts w:ascii="Arial" w:cs="Arial" w:eastAsia="Arial" w:hAnsi="Arial"/>
          <w:sz w:val="17"/>
          <w:szCs w:val="17"/>
          <w:color w:val="auto"/>
        </w:rPr>
        <w:t>Residential servicing fees were higher than 2009 as a result of fees from HAMP modifications and the effects of $32.2 billion of</w:t>
      </w:r>
      <w:r>
        <w:rPr>
          <w:rFonts w:ascii="Arial" w:cs="Arial" w:eastAsia="Arial" w:hAnsi="Arial"/>
          <w:sz w:val="17"/>
          <w:szCs w:val="17"/>
          <w:b w:val="1"/>
          <w:bCs w:val="1"/>
          <w:color w:val="auto"/>
        </w:rPr>
        <w:t xml:space="preserve"> </w:t>
      </w:r>
      <w:r>
        <w:rPr>
          <w:rFonts w:ascii="Arial" w:cs="Arial" w:eastAsia="Arial" w:hAnsi="Arial"/>
          <w:sz w:val="17"/>
          <w:szCs w:val="17"/>
          <w:color w:val="auto"/>
        </w:rPr>
        <w:t>UPB additions to the Servicing portfolio including approximately $22.4 billion on September 1, 2010 related to the HomEq Acquisition and $6.9 billion added by the Saxon Acquisition in the second quarter. However, process management fees and other revenues declined as a result of the Separation. Operating expenses increased slightly in 2010 despite the Separation because of non-recurring expenses of $52,603 associated with the HomEq Acquisition and because of litigation expense of $26,882 incur red in connection with the Cartel verdict and the proposed settlement of the MDL Proceeding. Income from operations declined by $21,167, or 15%, in 2010 as compared to 2009.</w:t>
      </w:r>
    </w:p>
    <w:p>
      <w:pPr>
        <w:spacing w:after="0" w:line="178" w:lineRule="exact"/>
        <w:rPr>
          <w:sz w:val="20"/>
          <w:szCs w:val="20"/>
          <w:color w:val="auto"/>
        </w:rPr>
      </w:pPr>
    </w:p>
    <w:p>
      <w:pPr>
        <w:ind w:right="60" w:firstLine="747"/>
        <w:spacing w:after="0" w:line="259" w:lineRule="auto"/>
        <w:rPr>
          <w:sz w:val="20"/>
          <w:szCs w:val="20"/>
          <w:color w:val="auto"/>
        </w:rPr>
      </w:pPr>
      <w:r>
        <w:rPr>
          <w:rFonts w:ascii="Arial" w:cs="Arial" w:eastAsia="Arial" w:hAnsi="Arial"/>
          <w:sz w:val="18"/>
          <w:szCs w:val="18"/>
          <w:color w:val="auto"/>
        </w:rPr>
        <w:t>Other expense, net increased due to higher interest expense on borrowings related to the HomEq Acquisition of $31,915 and realized losses on sales of our remaining auction rate securities of $5,903. Other expense, net also includes a $3,000 write-off of a commercial real estate investment. These increases in expenses were partially offset by gains of $6,036 from the sale of our 1% general partnership interests in three affordable housing projects during the fourth quarter.</w:t>
      </w:r>
    </w:p>
    <w:p>
      <w:pPr>
        <w:spacing w:after="0" w:line="187" w:lineRule="exact"/>
        <w:rPr>
          <w:sz w:val="20"/>
          <w:szCs w:val="20"/>
          <w:color w:val="auto"/>
        </w:rPr>
      </w:pPr>
    </w:p>
    <w:p>
      <w:pPr>
        <w:ind w:right="300" w:firstLine="747"/>
        <w:spacing w:after="0" w:line="264" w:lineRule="auto"/>
        <w:rPr>
          <w:sz w:val="20"/>
          <w:szCs w:val="20"/>
          <w:color w:val="auto"/>
        </w:rPr>
      </w:pPr>
      <w:r>
        <w:rPr>
          <w:rFonts w:ascii="Arial" w:cs="Arial" w:eastAsia="Arial" w:hAnsi="Arial"/>
          <w:sz w:val="18"/>
          <w:szCs w:val="18"/>
          <w:color w:val="auto"/>
        </w:rPr>
        <w:t>Income from continuing operations before income taxes was $39,154 for 2010 as compared to $93,261 for 2009. The former OS segments were included in our results through August 9, 2009 and generated Income from continuing operations before income taxes of $12,836 for the year ended December 31, 2009.</w:t>
      </w:r>
    </w:p>
    <w:p>
      <w:pPr>
        <w:spacing w:after="0" w:line="181" w:lineRule="exact"/>
        <w:rPr>
          <w:sz w:val="20"/>
          <w:szCs w:val="20"/>
          <w:color w:val="auto"/>
        </w:rPr>
      </w:pPr>
    </w:p>
    <w:p>
      <w:pPr>
        <w:ind w:right="60" w:firstLine="744"/>
        <w:spacing w:after="0" w:line="259" w:lineRule="auto"/>
        <w:rPr>
          <w:sz w:val="20"/>
          <w:szCs w:val="20"/>
          <w:color w:val="auto"/>
        </w:rPr>
      </w:pPr>
      <w:r>
        <w:rPr>
          <w:rFonts w:ascii="Arial" w:cs="Arial" w:eastAsia="Arial" w:hAnsi="Arial"/>
          <w:sz w:val="18"/>
          <w:szCs w:val="18"/>
          <w:color w:val="auto"/>
        </w:rPr>
        <w:t>The provision for income taxes was reduced by the effect of the reversal of $9,126 of reserves related to income taxes. The net loss for 2009 includes the $52,047 income tax effect associated with the Separation. Discontinued operations for 2010 includes an income tax benefit of $4,383 recorded in the third quarter related to our recognition of additional tax losses on our former investment in BOK. Net income attributable to Ocwen increased by $37,687 as compared to 2009.</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2" w:name="page33"/>
    <w:bookmarkEnd w:id="32"/>
    <w:p>
      <w:pPr>
        <w:ind w:right="40" w:firstLine="747"/>
        <w:spacing w:after="0" w:line="258" w:lineRule="auto"/>
        <w:rPr>
          <w:sz w:val="20"/>
          <w:szCs w:val="20"/>
          <w:color w:val="auto"/>
        </w:rPr>
      </w:pPr>
      <w:r>
        <w:rPr>
          <w:rFonts w:ascii="Arial" w:cs="Arial" w:eastAsia="Arial" w:hAnsi="Arial"/>
          <w:sz w:val="18"/>
          <w:szCs w:val="18"/>
          <w:b w:val="1"/>
          <w:bCs w:val="1"/>
          <w:color w:val="auto"/>
        </w:rPr>
        <w:t xml:space="preserve">2009 versus 2008. </w:t>
      </w:r>
      <w:r>
        <w:rPr>
          <w:rFonts w:ascii="Arial" w:cs="Arial" w:eastAsia="Arial" w:hAnsi="Arial"/>
          <w:sz w:val="18"/>
          <w:szCs w:val="18"/>
          <w:color w:val="auto"/>
        </w:rPr>
        <w:t>Our residential servicing revenues declined from 2008 due to lower annual average UPB and fewer total completed loan</w:t>
      </w:r>
      <w:r>
        <w:rPr>
          <w:rFonts w:ascii="Arial" w:cs="Arial" w:eastAsia="Arial" w:hAnsi="Arial"/>
          <w:sz w:val="18"/>
          <w:szCs w:val="18"/>
          <w:b w:val="1"/>
          <w:bCs w:val="1"/>
          <w:color w:val="auto"/>
        </w:rPr>
        <w:t xml:space="preserve"> </w:t>
      </w:r>
      <w:r>
        <w:rPr>
          <w:rFonts w:ascii="Arial" w:cs="Arial" w:eastAsia="Arial" w:hAnsi="Arial"/>
          <w:sz w:val="18"/>
          <w:szCs w:val="18"/>
          <w:color w:val="auto"/>
        </w:rPr>
        <w:t>modifications due in large part to the delays associated with the implementation of the HAMP. Process management fees and other revenues declined because of the Separation. Operating expenses declined in 2009 in part because of the Separation. In addition, Servicing operating expenses for 2009 benefited from lower amortization expense on a smaller MSR portfolio, reduced staffing levels and fewer loan payoffs. Income from operations declined by $23,699, or 14%, in 2009 as compared to 2008.</w:t>
      </w:r>
    </w:p>
    <w:p>
      <w:pPr>
        <w:spacing w:after="0" w:line="188" w:lineRule="exact"/>
        <w:rPr>
          <w:sz w:val="20"/>
          <w:szCs w:val="20"/>
          <w:color w:val="auto"/>
        </w:rPr>
      </w:pPr>
    </w:p>
    <w:p>
      <w:pPr>
        <w:ind w:right="400" w:firstLine="747"/>
        <w:spacing w:after="0" w:line="286" w:lineRule="auto"/>
        <w:rPr>
          <w:sz w:val="20"/>
          <w:szCs w:val="20"/>
          <w:color w:val="auto"/>
        </w:rPr>
      </w:pPr>
      <w:r>
        <w:rPr>
          <w:rFonts w:ascii="Arial" w:cs="Arial" w:eastAsia="Arial" w:hAnsi="Arial"/>
          <w:sz w:val="17"/>
          <w:szCs w:val="17"/>
          <w:color w:val="auto"/>
        </w:rPr>
        <w:t>Other expense, net declined dramatically due to gains on auction rate securities in 2009 compared to losses in 2008, representing a $41,476 improvement and a reduction in interest expense as advances and advance financing balances declined despite higher average spreads and facility fees in 2009 compared to 2008. Income from continuing operations before taxes climbed to $93,261 in 2009 from $30,982 in 2008.</w:t>
      </w:r>
    </w:p>
    <w:p>
      <w:pPr>
        <w:spacing w:after="0" w:line="166" w:lineRule="exact"/>
        <w:rPr>
          <w:sz w:val="20"/>
          <w:szCs w:val="20"/>
          <w:color w:val="auto"/>
        </w:rPr>
      </w:pPr>
    </w:p>
    <w:p>
      <w:pPr>
        <w:ind w:right="60" w:firstLine="737"/>
        <w:spacing w:after="0" w:line="257" w:lineRule="auto"/>
        <w:rPr>
          <w:sz w:val="20"/>
          <w:szCs w:val="20"/>
          <w:color w:val="auto"/>
        </w:rPr>
      </w:pPr>
      <w:r>
        <w:rPr>
          <w:rFonts w:ascii="Arial" w:cs="Arial" w:eastAsia="Arial" w:hAnsi="Arial"/>
          <w:sz w:val="18"/>
          <w:szCs w:val="18"/>
          <w:color w:val="auto"/>
        </w:rPr>
        <w:t>As noted above, we incurred a significant non-recurring income tax expense associated with the Separation and increased our liability for selected tax items by $8,489, representing the full amount of recognized deferred tax assets arising from deductibility of losses in a servicing advance finance structure. These two items contributed to a higher effective tax rate in 2009, the deferred portion of which was non-cash. As a result, income from continuing operations declined $21,825 or 115% in 2009 as compared to 2008. Discontinued operations for 2009 includes a pre-tax gain of $4,034 realized on the sale of BOK.</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Primarily due to the tax impact of the Separation and the increase in our liability for selected tax items, net income declined 98% from 2008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Financial Condition Summary</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overall increase in our assets of $1,152,059 or 65% during 2010 was principally the result of the following changes:</w:t>
      </w:r>
    </w:p>
    <w:p>
      <w:pPr>
        <w:spacing w:after="0" w:line="225" w:lineRule="exact"/>
        <w:rPr>
          <w:sz w:val="20"/>
          <w:szCs w:val="20"/>
          <w:color w:val="auto"/>
        </w:rPr>
      </w:pPr>
    </w:p>
    <w:p>
      <w:pPr>
        <w:ind w:left="1380" w:hanging="562"/>
        <w:spacing w:after="0"/>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Cash increased by $36,877.</w:t>
      </w:r>
    </w:p>
    <w:p>
      <w:pPr>
        <w:spacing w:after="0" w:line="225" w:lineRule="exact"/>
        <w:rPr>
          <w:rFonts w:ascii="Arial" w:cs="Arial" w:eastAsia="Arial" w:hAnsi="Arial"/>
          <w:sz w:val="18"/>
          <w:szCs w:val="18"/>
          <w:color w:val="auto"/>
        </w:rPr>
      </w:pPr>
    </w:p>
    <w:p>
      <w:pPr>
        <w:ind w:left="1380" w:right="140" w:hanging="562"/>
        <w:spacing w:after="0" w:line="277" w:lineRule="auto"/>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liquidated our remaining investment in auction rate securities which had a fair value of $247,464 at December 31, 2009 through sales and the settlement of two litigation actions.</w:t>
      </w:r>
    </w:p>
    <w:p>
      <w:pPr>
        <w:spacing w:after="0" w:line="170" w:lineRule="exact"/>
        <w:rPr>
          <w:rFonts w:ascii="Arial" w:cs="Arial" w:eastAsia="Arial" w:hAnsi="Arial"/>
          <w:sz w:val="18"/>
          <w:szCs w:val="18"/>
          <w:color w:val="auto"/>
        </w:rPr>
      </w:pPr>
    </w:p>
    <w:p>
      <w:pPr>
        <w:ind w:left="1380" w:right="200" w:hanging="562"/>
        <w:spacing w:after="0" w:line="259" w:lineRule="auto"/>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advances increased by $1,140,356 largely as a result of the $22.4 billion of servicing UPB we acquired as part of the HomEq Acquisition in the third quarter and the $6.9 billion of servicing UPB we acquired in the Saxon Acquisition in the second quarter. Following acquisition, advances related to both the HomEq and the Saxon portfolios declined. The increase in advances related to newly acquired portfolios was partly offset by declines in advances related to the existing portfolios.</w:t>
      </w:r>
    </w:p>
    <w:p>
      <w:pPr>
        <w:spacing w:after="0" w:line="186" w:lineRule="exact"/>
        <w:rPr>
          <w:rFonts w:ascii="Arial" w:cs="Arial" w:eastAsia="Arial" w:hAnsi="Arial"/>
          <w:sz w:val="18"/>
          <w:szCs w:val="18"/>
          <w:color w:val="auto"/>
        </w:rPr>
      </w:pPr>
    </w:p>
    <w:p>
      <w:pPr>
        <w:ind w:left="1380" w:right="180" w:hanging="562"/>
        <w:spacing w:after="0" w:line="264" w:lineRule="auto"/>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Loans – restricted for securitization investors of $67,340 represent loans held by four securitization trusts that, effective January 1, 2010, we began to include in our consolidated financial statements under the provisions of ASC 810, Consolidation. See Note 1 to our Consolidated Financial Statements for additional information.</w:t>
      </w:r>
    </w:p>
    <w:p>
      <w:pPr>
        <w:spacing w:after="0" w:line="181" w:lineRule="exact"/>
        <w:rPr>
          <w:rFonts w:ascii="Arial" w:cs="Arial" w:eastAsia="Arial" w:hAnsi="Arial"/>
          <w:sz w:val="18"/>
          <w:szCs w:val="18"/>
          <w:color w:val="auto"/>
        </w:rPr>
      </w:pPr>
    </w:p>
    <w:p>
      <w:pPr>
        <w:ind w:left="1380" w:right="540" w:hanging="562"/>
        <w:spacing w:after="0" w:line="277" w:lineRule="auto"/>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MSRs increased by $76,183 due primarily to purchases of $107,749, including $84,324 as part of the HomEq Acquisition, offset by amortization expense of $31,627.</w:t>
      </w:r>
    </w:p>
    <w:p>
      <w:pPr>
        <w:spacing w:after="0" w:line="170" w:lineRule="exact"/>
        <w:rPr>
          <w:rFonts w:ascii="Arial" w:cs="Arial" w:eastAsia="Arial" w:hAnsi="Arial"/>
          <w:sz w:val="18"/>
          <w:szCs w:val="18"/>
          <w:color w:val="auto"/>
        </w:rPr>
      </w:pPr>
    </w:p>
    <w:p>
      <w:pPr>
        <w:ind w:left="1380" w:hanging="562"/>
        <w:spacing w:after="0"/>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recorded goodwill of $12,810 related to the HomEq acquisition.</w:t>
      </w:r>
    </w:p>
    <w:p>
      <w:pPr>
        <w:spacing w:after="0" w:line="225" w:lineRule="exact"/>
        <w:rPr>
          <w:rFonts w:ascii="Arial" w:cs="Arial" w:eastAsia="Arial" w:hAnsi="Arial"/>
          <w:sz w:val="18"/>
          <w:szCs w:val="18"/>
          <w:color w:val="auto"/>
        </w:rPr>
      </w:pPr>
    </w:p>
    <w:p>
      <w:pPr>
        <w:ind w:left="1380" w:right="360" w:hanging="562"/>
        <w:spacing w:after="0" w:line="286" w:lineRule="auto"/>
        <w:tabs>
          <w:tab w:leader="none" w:pos="13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Other assets increased by $68,646 as a result of an increase in debt service accounts and debt issuance costs related to new borrowings incurred in connection with the HomEq Acquisition. In addition, we were required to deposit $18,684 of cash collateral with the counterparties to interest rate swap agreements we entered into during the second quarter of 2010.</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Liabilities increased by $1,113,105, or 123%, during 2010 primarily because of the following items:</w:t>
      </w:r>
    </w:p>
    <w:p>
      <w:pPr>
        <w:spacing w:after="0" w:line="225" w:lineRule="exact"/>
        <w:rPr>
          <w:sz w:val="20"/>
          <w:szCs w:val="20"/>
          <w:color w:val="auto"/>
        </w:rPr>
      </w:pPr>
    </w:p>
    <w:p>
      <w:pPr>
        <w:ind w:left="1380" w:hanging="562"/>
        <w:spacing w:after="0" w:line="264" w:lineRule="auto"/>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Match funded liabilities increased by $1,016,838 reflecting the issuance of $200,000 of notes under the Term Asset-Backed Securities Loan Facility (TALF) program and the issuance of $1,011,000 of notes in connection with the financing of the advances acquired as part of the HomEq Acquisition, $811,000 of which was outstanding at December 31, 2010.</w:t>
      </w:r>
    </w:p>
    <w:p>
      <w:pPr>
        <w:spacing w:after="0" w:line="181" w:lineRule="exact"/>
        <w:rPr>
          <w:rFonts w:ascii="Arial" w:cs="Arial" w:eastAsia="Arial" w:hAnsi="Arial"/>
          <w:sz w:val="18"/>
          <w:szCs w:val="18"/>
          <w:color w:val="auto"/>
        </w:rPr>
      </w:pPr>
    </w:p>
    <w:p>
      <w:pPr>
        <w:ind w:left="1380" w:right="180" w:hanging="562"/>
        <w:spacing w:after="0" w:line="264" w:lineRule="auto"/>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Secured borrowings – owed to securitization investors of $62,705 consists of certificates issued by the four securitization trusts that we began to include in our consolidated financial statements effective January 1, 2010. See Note 1 to our Consolidated Financial Statements for additional information.</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3" w:name="page34"/>
    <w:bookmarkEnd w:id="33"/>
    <w:p>
      <w:pPr>
        <w:ind w:left="1380" w:hanging="562"/>
        <w:spacing w:after="0" w:line="259" w:lineRule="auto"/>
        <w:tabs>
          <w:tab w:leader="none" w:pos="1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Lines of credit and other secured borrowings increased $190,263 due to a $350,000 senior secured term loan facility that we entered into in connection with HomEq Acquisition and secured borrowings of $7,774_under repurchase agreements. These borrowings were partly offset by $17,500 of mandatory repayments and $135,000 of optional payments on the senior secured term loan and the first annual $12,000 repayment in March on our $60,000 fee reimbursement advance.</w:t>
      </w:r>
    </w:p>
    <w:p>
      <w:pPr>
        <w:spacing w:after="0" w:line="186" w:lineRule="exact"/>
        <w:rPr>
          <w:rFonts w:ascii="Arial" w:cs="Arial" w:eastAsia="Arial" w:hAnsi="Arial"/>
          <w:sz w:val="18"/>
          <w:szCs w:val="18"/>
          <w:color w:val="auto"/>
        </w:rPr>
      </w:pPr>
    </w:p>
    <w:p>
      <w:pPr>
        <w:ind w:left="1380" w:hanging="562"/>
        <w:spacing w:after="0"/>
        <w:tabs>
          <w:tab w:leader="none" w:pos="1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fully repaid the investment line term note which had an outstanding balance of $156,968 at December 31, 2009.</w:t>
      </w:r>
    </w:p>
    <w:p>
      <w:pPr>
        <w:spacing w:after="0" w:line="225" w:lineRule="exact"/>
        <w:rPr>
          <w:rFonts w:ascii="Arial" w:cs="Arial" w:eastAsia="Arial" w:hAnsi="Arial"/>
          <w:sz w:val="18"/>
          <w:szCs w:val="18"/>
          <w:color w:val="auto"/>
        </w:rPr>
      </w:pPr>
    </w:p>
    <w:p>
      <w:pPr>
        <w:ind w:left="1380" w:right="140" w:hanging="562"/>
        <w:spacing w:after="0" w:line="277" w:lineRule="auto"/>
        <w:tabs>
          <w:tab w:leader="none" w:pos="1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Debt securities declined $13,010 as a result of repurchases. In January 2010, we repurchased in the open market $12,930 par value of our 10.875% Capital Trust Securities at a discount to par value.</w:t>
      </w:r>
    </w:p>
    <w:p>
      <w:pPr>
        <w:spacing w:after="0" w:line="170" w:lineRule="exact"/>
        <w:rPr>
          <w:rFonts w:ascii="Arial" w:cs="Arial" w:eastAsia="Arial" w:hAnsi="Arial"/>
          <w:sz w:val="18"/>
          <w:szCs w:val="18"/>
          <w:color w:val="auto"/>
        </w:rPr>
      </w:pPr>
    </w:p>
    <w:p>
      <w:pPr>
        <w:ind w:left="1380" w:right="80" w:hanging="562"/>
        <w:spacing w:after="0" w:line="297" w:lineRule="auto"/>
        <w:tabs>
          <w:tab w:leader="none" w:pos="13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Other liabilities increased by $49,457 due to accruals of $24,166 established primarily in connection with the MDL and Cartel litigation, a $15,670 derivative liability that represents the fair value of interest rate swaps we entered into during the second quarter of 2010, accrued rent expense of $7,794 associated with our early termination of the HomEq office leases and a our assumption of a $4,616 liability for checks held for escheat in connection with the HomEq Acquisition. These increases were offset in part by a $12,413 reduction in the liability for selected tax items primarily due to the reversal of a reserve related to an advance financing structure.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Summary</w:t>
      </w:r>
    </w:p>
    <w:p>
      <w:pPr>
        <w:spacing w:after="0" w:line="229" w:lineRule="exact"/>
        <w:rPr>
          <w:sz w:val="20"/>
          <w:szCs w:val="20"/>
          <w:color w:val="auto"/>
        </w:rPr>
      </w:pPr>
    </w:p>
    <w:p>
      <w:pPr>
        <w:ind w:right="80" w:firstLine="744"/>
        <w:spacing w:after="0" w:line="259" w:lineRule="auto"/>
        <w:rPr>
          <w:sz w:val="20"/>
          <w:szCs w:val="20"/>
          <w:color w:val="auto"/>
        </w:rPr>
      </w:pPr>
      <w:r>
        <w:rPr>
          <w:rFonts w:ascii="Arial" w:cs="Arial" w:eastAsia="Arial" w:hAnsi="Arial"/>
          <w:sz w:val="18"/>
          <w:szCs w:val="18"/>
          <w:color w:val="auto"/>
        </w:rPr>
        <w:t>We define liquidity as unencumbered cash balances plus unused, collateralized advance financing capacity. Our liquidity as of December 31, 2010, as measured by cash and available credit, was $256,890, a decrease of $35,224, or 12%, from December 31, 2009. At December 31, 2010, our cash position was $127,796 compared to $90,919 at December 31, 2009. Our available credit on collateralized but unused advance financing capacity was $129,095 at December 31, 2010 compared to $201,195 at December 31, 2009.</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investment policies emphasize principal preservation by limiting investments to include:</w:t>
      </w:r>
    </w:p>
    <w:p>
      <w:pPr>
        <w:spacing w:after="0" w:line="225" w:lineRule="exact"/>
        <w:rPr>
          <w:sz w:val="20"/>
          <w:szCs w:val="20"/>
          <w:color w:val="auto"/>
        </w:rPr>
      </w:pPr>
    </w:p>
    <w:p>
      <w:pPr>
        <w:ind w:left="1380" w:hanging="562"/>
        <w:spacing w:after="0"/>
        <w:tabs>
          <w:tab w:leader="none" w:pos="1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Securities issued by the U.S. government, a U.S. agency or a U.S. government-sponsored enterprise</w:t>
      </w:r>
    </w:p>
    <w:p>
      <w:pPr>
        <w:spacing w:after="0" w:line="23" w:lineRule="exact"/>
        <w:rPr>
          <w:rFonts w:ascii="Arial" w:cs="Arial" w:eastAsia="Arial" w:hAnsi="Arial"/>
          <w:sz w:val="18"/>
          <w:szCs w:val="18"/>
          <w:color w:val="auto"/>
        </w:rPr>
      </w:pPr>
    </w:p>
    <w:p>
      <w:pPr>
        <w:ind w:left="1380" w:hanging="562"/>
        <w:spacing w:after="0"/>
        <w:tabs>
          <w:tab w:leader="none" w:pos="1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Money market mutual funds</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Money market demand deposits</w:t>
      </w:r>
    </w:p>
    <w:p>
      <w:pPr>
        <w:spacing w:after="0" w:line="211" w:lineRule="exact"/>
        <w:rPr>
          <w:sz w:val="20"/>
          <w:szCs w:val="20"/>
          <w:color w:val="auto"/>
        </w:rPr>
      </w:pPr>
    </w:p>
    <w:p>
      <w:pPr>
        <w:ind w:right="180" w:firstLine="747"/>
        <w:spacing w:after="0" w:line="264" w:lineRule="auto"/>
        <w:rPr>
          <w:sz w:val="20"/>
          <w:szCs w:val="20"/>
          <w:color w:val="auto"/>
        </w:rPr>
      </w:pPr>
      <w:r>
        <w:rPr>
          <w:rFonts w:ascii="Arial" w:cs="Arial" w:eastAsia="Arial" w:hAnsi="Arial"/>
          <w:sz w:val="18"/>
          <w:szCs w:val="18"/>
          <w:color w:val="auto"/>
        </w:rPr>
        <w:t>Currently, we have primarily invested cash that is in excess of our immediate operating needs in money market demand deposit accounts. Furthermore, our investment policies are intended to minimize credit and counterparty risk by establishing risk limits designed to limit our exposure to each counterparty in relation to our equity with reference to each counterparty’s long-term credit ratings.</w:t>
      </w:r>
    </w:p>
    <w:p>
      <w:pPr>
        <w:spacing w:after="0" w:line="181" w:lineRule="exact"/>
        <w:rPr>
          <w:sz w:val="20"/>
          <w:szCs w:val="20"/>
          <w:color w:val="auto"/>
        </w:rPr>
      </w:pPr>
    </w:p>
    <w:p>
      <w:pPr>
        <w:ind w:right="140" w:firstLine="744"/>
        <w:spacing w:after="0" w:line="277" w:lineRule="auto"/>
        <w:rPr>
          <w:sz w:val="20"/>
          <w:szCs w:val="20"/>
          <w:color w:val="auto"/>
        </w:rPr>
      </w:pPr>
      <w:r>
        <w:rPr>
          <w:rFonts w:ascii="Arial" w:cs="Arial" w:eastAsia="Arial" w:hAnsi="Arial"/>
          <w:sz w:val="18"/>
          <w:szCs w:val="18"/>
          <w:color w:val="auto"/>
        </w:rPr>
        <w:t>We regularly monitor and project cash flow timing in connection with our efforts to minimize liquidity risk. In assessing our liquidity outlook, our primary focus is on maintaining cash and unused borrowing capacity that is sufficient to meet the needs of the business</w:t>
      </w:r>
    </w:p>
    <w:p>
      <w:pPr>
        <w:spacing w:after="0" w:line="170" w:lineRule="exact"/>
        <w:rPr>
          <w:sz w:val="20"/>
          <w:szCs w:val="20"/>
          <w:color w:val="auto"/>
        </w:rPr>
      </w:pPr>
    </w:p>
    <w:p>
      <w:pPr>
        <w:ind w:right="80" w:firstLine="737"/>
        <w:spacing w:after="0" w:line="257" w:lineRule="auto"/>
        <w:rPr>
          <w:sz w:val="20"/>
          <w:szCs w:val="20"/>
          <w:color w:val="auto"/>
        </w:rPr>
      </w:pPr>
      <w:r>
        <w:rPr>
          <w:rFonts w:ascii="Arial" w:cs="Arial" w:eastAsia="Arial" w:hAnsi="Arial"/>
          <w:sz w:val="18"/>
          <w:szCs w:val="18"/>
          <w:color w:val="auto"/>
        </w:rPr>
        <w:t>At December 31, 2010, $926,471 of our total maximum borrowing capacity remained unused. However, as noted above, the amount of collateral pledged to these facilities limits additional borrowing, and only $129,095 of this amount is readily available. The unused borrowing capacity in the Servicing business may be utilized in the future by pledging additional qualifying collateral to these facilities. We have begun to implement our plan to reduce unused borrowing capacity relative to the current levels of advances and match funded advances to a level that we consider prudent to meet our funding needs for reasonably foreseeable changes in advances in order to reduce interest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Summary</w:t>
      </w:r>
    </w:p>
    <w:p>
      <w:pPr>
        <w:spacing w:after="0" w:line="229" w:lineRule="exact"/>
        <w:rPr>
          <w:sz w:val="20"/>
          <w:szCs w:val="20"/>
          <w:color w:val="auto"/>
        </w:rPr>
      </w:pPr>
    </w:p>
    <w:p>
      <w:pPr>
        <w:jc w:val="both"/>
        <w:ind w:right="120" w:firstLine="747"/>
        <w:spacing w:after="0" w:line="342" w:lineRule="auto"/>
        <w:rPr>
          <w:sz w:val="20"/>
          <w:szCs w:val="20"/>
          <w:color w:val="auto"/>
        </w:rPr>
      </w:pPr>
      <w:r>
        <w:rPr>
          <w:rFonts w:ascii="Arial" w:cs="Arial" w:eastAsia="Arial" w:hAnsi="Arial"/>
          <w:sz w:val="16"/>
          <w:szCs w:val="16"/>
          <w:color w:val="auto"/>
        </w:rPr>
        <w:t>Interest rate risk is a function of (i) the timing and (ii) the dollar amount of assets and liabilities that re-price at each point in time. We are exposed to interest rate risk to the extent that our interest rate sensitive liabilities mature or re-price at different speeds, or different bases, than interest-earning assets.</w:t>
      </w:r>
    </w:p>
    <w:p>
      <w:pPr>
        <w:spacing w:after="0" w:line="124" w:lineRule="exact"/>
        <w:rPr>
          <w:sz w:val="20"/>
          <w:szCs w:val="20"/>
          <w:color w:val="auto"/>
        </w:rPr>
      </w:pPr>
    </w:p>
    <w:p>
      <w:pPr>
        <w:ind w:right="40" w:firstLine="744"/>
        <w:spacing w:after="0" w:line="257" w:lineRule="auto"/>
        <w:rPr>
          <w:sz w:val="20"/>
          <w:szCs w:val="20"/>
          <w:color w:val="auto"/>
        </w:rPr>
      </w:pPr>
      <w:r>
        <w:rPr>
          <w:rFonts w:ascii="Arial" w:cs="Arial" w:eastAsia="Arial" w:hAnsi="Arial"/>
          <w:sz w:val="18"/>
          <w:szCs w:val="18"/>
          <w:color w:val="auto"/>
        </w:rPr>
        <w:t>We have executed a hedging strategy aimed to largely neutralize the impact of changes in interest rates within a certain time period based on the projected excess of interest rate sensitive liabilities over assets. As of December 31, 2010, the value of our outstanding hedges was similar to the net exposure of projected interest rate sensitive liabilities and interest rate sensitive assets for the next several years. Future variances between the projected excess of interest rate sensitive liabilities over assets and actual results could cause us to become over-hedged or under-hedged. See Note 21 to our Consolidated Financial Statements for additional information regarding our use of derivatives.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40" w:firstLine="747"/>
        <w:spacing w:after="0" w:line="257" w:lineRule="auto"/>
        <w:rPr>
          <w:sz w:val="20"/>
          <w:szCs w:val="20"/>
          <w:color w:val="auto"/>
        </w:rPr>
      </w:pPr>
      <w:r>
        <w:rPr>
          <w:rFonts w:ascii="Arial" w:cs="Arial" w:eastAsia="Arial" w:hAnsi="Arial"/>
          <w:sz w:val="18"/>
          <w:szCs w:val="18"/>
          <w:color w:val="auto"/>
        </w:rPr>
        <w:t>Our ability to measure and report our operating results and financial position is heavily influenced by the need to estimate the impact or outcome of risks in the marketplace or other future events. Our critical accounting policies are those that relate to the estimation and measurement of these risks. Because they inherently involve significant judgments and uncertainties, an understanding of these policies is fundamental to understanding Management’s Discussion and Analysis of Results of Operations and Financial Condition. The following is a summary of our more subjective and complex accounting policies as they relate to our overall business strategy.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Amortization of Residential Mortgage Servicing Rights</w:t>
      </w:r>
    </w:p>
    <w:p>
      <w:pPr>
        <w:spacing w:after="0" w:line="229" w:lineRule="exact"/>
        <w:rPr>
          <w:sz w:val="20"/>
          <w:szCs w:val="20"/>
          <w:color w:val="auto"/>
        </w:rPr>
      </w:pPr>
    </w:p>
    <w:p>
      <w:pPr>
        <w:ind w:right="320" w:firstLine="747"/>
        <w:spacing w:after="0" w:line="264" w:lineRule="auto"/>
        <w:rPr>
          <w:sz w:val="20"/>
          <w:szCs w:val="20"/>
          <w:color w:val="auto"/>
        </w:rPr>
      </w:pPr>
      <w:r>
        <w:rPr>
          <w:rFonts w:ascii="Arial" w:cs="Arial" w:eastAsia="Arial" w:hAnsi="Arial"/>
          <w:sz w:val="18"/>
          <w:szCs w:val="18"/>
          <w:color w:val="auto"/>
        </w:rPr>
        <w:t>Our most significant business is our Servicing business. MSRs are an intangible asset representing the right to service a portfolio of mortgage loans. We generally obtain MSRs by purchasing them from the owners of the mortgage loans. As of December 31, 2010, we held residential MSRs with a carrying value of $193,985 and an estimated fair value of $237,407.</w:t>
      </w:r>
    </w:p>
    <w:p>
      <w:pPr>
        <w:spacing w:after="0" w:line="181" w:lineRule="exact"/>
        <w:rPr>
          <w:sz w:val="20"/>
          <w:szCs w:val="20"/>
          <w:color w:val="auto"/>
        </w:rPr>
      </w:pPr>
    </w:p>
    <w:p>
      <w:pPr>
        <w:ind w:right="20" w:firstLine="744"/>
        <w:spacing w:after="0" w:line="297" w:lineRule="auto"/>
        <w:rPr>
          <w:sz w:val="20"/>
          <w:szCs w:val="20"/>
          <w:color w:val="auto"/>
        </w:rPr>
      </w:pPr>
      <w:r>
        <w:rPr>
          <w:rFonts w:ascii="Arial" w:cs="Arial" w:eastAsia="Arial" w:hAnsi="Arial"/>
          <w:sz w:val="16"/>
          <w:szCs w:val="16"/>
          <w:color w:val="auto"/>
        </w:rPr>
        <w:t>We account for our residential MSRs using the amortization method. All newly acquired MSRs are initially measured at fair value. We amortize the balance of servicing assets or liabilities in proportion to and over the period of estimated net servicing income or net servicing loss and assess servicing assets or liabilities for impairment or increased obligation based on fair value at each reporting date. We determine estimated net servicing income using the estimated future balance of the underlying mortgage loan portfolio, which, absent new purchases, declines over time from prepayments and scheduled loan amortization. We adjust amortization prospectively in response to changes in estimated p rojections of future cash flows.</w:t>
      </w:r>
    </w:p>
    <w:p>
      <w:pPr>
        <w:spacing w:after="0" w:line="158" w:lineRule="exact"/>
        <w:rPr>
          <w:sz w:val="20"/>
          <w:szCs w:val="20"/>
          <w:color w:val="auto"/>
        </w:rPr>
      </w:pPr>
    </w:p>
    <w:p>
      <w:pPr>
        <w:ind w:right="60" w:firstLine="744"/>
        <w:spacing w:after="0" w:line="342" w:lineRule="auto"/>
        <w:rPr>
          <w:sz w:val="20"/>
          <w:szCs w:val="20"/>
          <w:color w:val="auto"/>
        </w:rPr>
      </w:pPr>
      <w:r>
        <w:rPr>
          <w:rFonts w:ascii="Arial" w:cs="Arial" w:eastAsia="Arial" w:hAnsi="Arial"/>
          <w:sz w:val="16"/>
          <w:szCs w:val="16"/>
          <w:color w:val="auto"/>
        </w:rPr>
        <w:t>We group the loans that we service into strata based on one or more of the predominant risk characteristics of the underlying loans. The risk factors used to assign loans to strata include the credit score (FICO) of the borrower, the loan to value ratio and the default risk. Our primary strata include:</w:t>
      </w:r>
    </w:p>
    <w:p>
      <w:pPr>
        <w:spacing w:after="0" w:line="124" w:lineRule="exact"/>
        <w:rPr>
          <w:sz w:val="20"/>
          <w:szCs w:val="20"/>
          <w:color w:val="auto"/>
        </w:rPr>
      </w:pPr>
    </w:p>
    <w:p>
      <w:pPr>
        <w:ind w:left="1380" w:hanging="562"/>
        <w:spacing w:after="0"/>
        <w:tabs>
          <w:tab w:leader="none" w:pos="1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Subprime</w:t>
      </w:r>
    </w:p>
    <w:p>
      <w:pPr>
        <w:spacing w:after="0" w:line="23" w:lineRule="exact"/>
        <w:rPr>
          <w:rFonts w:ascii="Arial" w:cs="Arial" w:eastAsia="Arial" w:hAnsi="Arial"/>
          <w:sz w:val="18"/>
          <w:szCs w:val="18"/>
          <w:color w:val="auto"/>
        </w:rPr>
      </w:pPr>
    </w:p>
    <w:p>
      <w:pPr>
        <w:ind w:left="1380" w:hanging="562"/>
        <w:spacing w:after="0"/>
        <w:tabs>
          <w:tab w:leader="none" w:pos="1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ALT A</w:t>
      </w:r>
    </w:p>
    <w:p>
      <w:pPr>
        <w:spacing w:after="0" w:line="9" w:lineRule="exact"/>
        <w:rPr>
          <w:rFonts w:ascii="Arial" w:cs="Arial" w:eastAsia="Arial" w:hAnsi="Arial"/>
          <w:sz w:val="18"/>
          <w:szCs w:val="18"/>
          <w:color w:val="auto"/>
        </w:rPr>
      </w:pPr>
    </w:p>
    <w:p>
      <w:pPr>
        <w:ind w:left="1380" w:hanging="562"/>
        <w:spacing w:after="0"/>
        <w:tabs>
          <w:tab w:leader="none" w:pos="1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High-loan-to-value</w:t>
      </w:r>
    </w:p>
    <w:p>
      <w:pPr>
        <w:spacing w:after="0" w:line="211" w:lineRule="exact"/>
        <w:rPr>
          <w:sz w:val="20"/>
          <w:szCs w:val="20"/>
          <w:color w:val="auto"/>
        </w:rPr>
      </w:pPr>
    </w:p>
    <w:p>
      <w:pPr>
        <w:ind w:right="360" w:firstLine="744"/>
        <w:spacing w:after="0" w:line="277" w:lineRule="auto"/>
        <w:rPr>
          <w:sz w:val="20"/>
          <w:szCs w:val="20"/>
          <w:color w:val="auto"/>
        </w:rPr>
      </w:pPr>
      <w:r>
        <w:rPr>
          <w:rFonts w:ascii="Arial" w:cs="Arial" w:eastAsia="Arial" w:hAnsi="Arial"/>
          <w:sz w:val="18"/>
          <w:szCs w:val="18"/>
          <w:color w:val="auto"/>
        </w:rPr>
        <w:t>We estimate the fair value of our MSRs by calculating the present value of expected future cash flows utilizing assumptions that we believe are used by market participants. The significant components of the estimated future cash inflows for MSRs include:</w:t>
      </w:r>
    </w:p>
    <w:p>
      <w:pPr>
        <w:spacing w:after="0" w:line="170"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240"/>
              <w:spacing w:after="0"/>
              <w:rPr>
                <w:sz w:val="20"/>
                <w:szCs w:val="20"/>
                <w:color w:val="auto"/>
              </w:rPr>
            </w:pPr>
            <w:r>
              <w:rPr>
                <w:rFonts w:ascii="Arial" w:cs="Arial" w:eastAsia="Arial" w:hAnsi="Arial"/>
                <w:sz w:val="18"/>
                <w:szCs w:val="18"/>
                <w:color w:val="auto"/>
              </w:rPr>
              <w:t>Rate at which UPB declines</w:t>
            </w:r>
          </w:p>
        </w:tc>
        <w:tc>
          <w:tcPr>
            <w:tcW w:w="1440" w:type="dxa"/>
            <w:vAlign w:val="bottom"/>
          </w:tcPr>
          <w:p>
            <w:pPr>
              <w:ind w:left="1100"/>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Delinquencies</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240"/>
              <w:spacing w:after="0"/>
              <w:rPr>
                <w:sz w:val="20"/>
                <w:szCs w:val="20"/>
                <w:color w:val="auto"/>
              </w:rPr>
            </w:pPr>
            <w:r>
              <w:rPr>
                <w:rFonts w:ascii="Arial" w:cs="Arial" w:eastAsia="Arial" w:hAnsi="Arial"/>
                <w:sz w:val="18"/>
                <w:szCs w:val="18"/>
                <w:color w:val="auto"/>
              </w:rPr>
              <w:t>Servicing fees and ancillary income</w:t>
            </w:r>
          </w:p>
        </w:tc>
        <w:tc>
          <w:tcPr>
            <w:tcW w:w="1440" w:type="dxa"/>
            <w:vAlign w:val="bottom"/>
          </w:tcPr>
          <w:p>
            <w:pPr>
              <w:ind w:left="1100"/>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w w:val="90"/>
              </w:rPr>
              <w:t>Interest rate used for computing float earnings</w:t>
            </w: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240"/>
              <w:spacing w:after="0"/>
              <w:rPr>
                <w:sz w:val="20"/>
                <w:szCs w:val="20"/>
                <w:color w:val="auto"/>
              </w:rPr>
            </w:pPr>
            <w:r>
              <w:rPr>
                <w:rFonts w:ascii="Arial" w:cs="Arial" w:eastAsia="Arial" w:hAnsi="Arial"/>
                <w:sz w:val="18"/>
                <w:szCs w:val="18"/>
                <w:color w:val="auto"/>
              </w:rPr>
              <w:t>Cost of servicing</w:t>
            </w:r>
          </w:p>
        </w:tc>
        <w:tc>
          <w:tcPr>
            <w:tcW w:w="1440" w:type="dxa"/>
            <w:vAlign w:val="bottom"/>
          </w:tcPr>
          <w:p>
            <w:pPr>
              <w:ind w:left="1100"/>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Compensating interest expense</w:t>
            </w:r>
          </w:p>
        </w:tc>
      </w:tr>
    </w:tbl>
    <w:p>
      <w:pPr>
        <w:ind w:left="1400" w:hanging="582"/>
        <w:spacing w:after="0"/>
        <w:tabs>
          <w:tab w:leader="none" w:pos="1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Discount rate</w:t>
      </w:r>
    </w:p>
    <w:p>
      <w:pPr>
        <w:spacing w:after="0" w:line="9" w:lineRule="exact"/>
        <w:rPr>
          <w:rFonts w:ascii="Arial" w:cs="Arial" w:eastAsia="Arial" w:hAnsi="Arial"/>
          <w:sz w:val="18"/>
          <w:szCs w:val="18"/>
          <w:color w:val="auto"/>
        </w:rPr>
      </w:pPr>
    </w:p>
    <w:p>
      <w:pPr>
        <w:ind w:left="1400" w:hanging="582"/>
        <w:spacing w:after="0"/>
        <w:tabs>
          <w:tab w:leader="none" w:pos="1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Interest rate used for computing the cost of servicing advances</w:t>
      </w:r>
    </w:p>
    <w:p>
      <w:pPr>
        <w:spacing w:after="0" w:line="211" w:lineRule="exact"/>
        <w:rPr>
          <w:sz w:val="20"/>
          <w:szCs w:val="20"/>
          <w:color w:val="auto"/>
        </w:rPr>
      </w:pPr>
    </w:p>
    <w:p>
      <w:pPr>
        <w:ind w:right="920" w:firstLine="747"/>
        <w:spacing w:after="0" w:line="277" w:lineRule="auto"/>
        <w:rPr>
          <w:sz w:val="20"/>
          <w:szCs w:val="20"/>
          <w:color w:val="auto"/>
        </w:rPr>
      </w:pPr>
      <w:r>
        <w:rPr>
          <w:rFonts w:ascii="Arial" w:cs="Arial" w:eastAsia="Arial" w:hAnsi="Arial"/>
          <w:sz w:val="18"/>
          <w:szCs w:val="18"/>
          <w:color w:val="auto"/>
        </w:rPr>
        <w:t>Our internal valuation uses the same inputs but with reference to our historical experience rather than the assumptions of other industry participants.</w:t>
      </w:r>
    </w:p>
    <w:p>
      <w:pPr>
        <w:spacing w:after="0" w:line="170" w:lineRule="exact"/>
        <w:rPr>
          <w:sz w:val="20"/>
          <w:szCs w:val="20"/>
          <w:color w:val="auto"/>
        </w:rPr>
      </w:pPr>
    </w:p>
    <w:p>
      <w:pPr>
        <w:ind w:right="180" w:firstLine="744"/>
        <w:spacing w:after="0" w:line="277" w:lineRule="auto"/>
        <w:rPr>
          <w:sz w:val="20"/>
          <w:szCs w:val="20"/>
          <w:color w:val="auto"/>
        </w:rPr>
      </w:pPr>
      <w:r>
        <w:rPr>
          <w:rFonts w:ascii="Arial" w:cs="Arial" w:eastAsia="Arial" w:hAnsi="Arial"/>
          <w:sz w:val="18"/>
          <w:szCs w:val="18"/>
          <w:color w:val="auto"/>
        </w:rPr>
        <w:t>The following table provides the range of prepayment speed and delinquency assumptions (expressed as a percentage of UPB) by strata projected over the five-year period beginning December 31, 2010: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Prepayment Speed</w:t>
            </w:r>
          </w:p>
        </w:tc>
        <w:tc>
          <w:tcPr>
            <w:tcW w:w="340" w:type="dxa"/>
            <w:vAlign w:val="bottom"/>
          </w:tcPr>
          <w:p>
            <w:pPr>
              <w:spacing w:after="0"/>
              <w:rPr>
                <w:sz w:val="20"/>
                <w:szCs w:val="20"/>
                <w:color w:val="auto"/>
              </w:rPr>
            </w:pPr>
          </w:p>
        </w:tc>
        <w:tc>
          <w:tcPr>
            <w:tcW w:w="18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Delinquency</w:t>
            </w:r>
          </w:p>
        </w:tc>
      </w:tr>
      <w:tr>
        <w:trPr>
          <w:trHeight w:val="216"/>
        </w:trPr>
        <w:tc>
          <w:tcPr>
            <w:tcW w:w="20" w:type="dxa"/>
            <w:vAlign w:val="bottom"/>
          </w:tcPr>
          <w:p>
            <w:pPr>
              <w:spacing w:after="0"/>
              <w:rPr>
                <w:sz w:val="18"/>
                <w:szCs w:val="18"/>
                <w:color w:val="auto"/>
              </w:rPr>
            </w:pPr>
          </w:p>
        </w:tc>
        <w:tc>
          <w:tcPr>
            <w:tcW w:w="7300" w:type="dxa"/>
            <w:vAlign w:val="bottom"/>
            <w:shd w:val="clear" w:color="auto" w:fill="EAF9E8"/>
          </w:tcPr>
          <w:p>
            <w:pPr>
              <w:spacing w:after="0"/>
              <w:rPr>
                <w:sz w:val="20"/>
                <w:szCs w:val="20"/>
                <w:color w:val="auto"/>
              </w:rPr>
            </w:pPr>
            <w:r>
              <w:rPr>
                <w:rFonts w:ascii="Arial" w:cs="Arial" w:eastAsia="Arial" w:hAnsi="Arial"/>
                <w:sz w:val="18"/>
                <w:szCs w:val="18"/>
                <w:color w:val="auto"/>
              </w:rPr>
              <w:t>Subprime</w:t>
            </w:r>
          </w:p>
        </w:tc>
        <w:tc>
          <w:tcPr>
            <w:tcW w:w="19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15% – 18%</w:t>
            </w:r>
          </w:p>
        </w:tc>
        <w:tc>
          <w:tcPr>
            <w:tcW w:w="340" w:type="dxa"/>
            <w:vAlign w:val="bottom"/>
            <w:shd w:val="clear" w:color="auto" w:fill="EAF9E8"/>
          </w:tcPr>
          <w:p>
            <w:pPr>
              <w:spacing w:after="0"/>
              <w:rPr>
                <w:sz w:val="18"/>
                <w:szCs w:val="18"/>
                <w:color w:val="auto"/>
              </w:rPr>
            </w:pPr>
          </w:p>
        </w:tc>
        <w:tc>
          <w:tcPr>
            <w:tcW w:w="18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18% – 35%</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ALT A</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15% – 18%</w:t>
            </w:r>
          </w:p>
        </w:tc>
        <w:tc>
          <w:tcPr>
            <w:tcW w:w="3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17% – 32%</w:t>
            </w:r>
          </w:p>
        </w:tc>
      </w:tr>
      <w:tr>
        <w:trPr>
          <w:trHeight w:val="216"/>
        </w:trPr>
        <w:tc>
          <w:tcPr>
            <w:tcW w:w="20" w:type="dxa"/>
            <w:vAlign w:val="bottom"/>
          </w:tcPr>
          <w:p>
            <w:pPr>
              <w:spacing w:after="0"/>
              <w:rPr>
                <w:sz w:val="18"/>
                <w:szCs w:val="18"/>
                <w:color w:val="auto"/>
              </w:rPr>
            </w:pPr>
          </w:p>
        </w:tc>
        <w:tc>
          <w:tcPr>
            <w:tcW w:w="7300" w:type="dxa"/>
            <w:vAlign w:val="bottom"/>
            <w:shd w:val="clear" w:color="auto" w:fill="EAF9E8"/>
          </w:tcPr>
          <w:p>
            <w:pPr>
              <w:spacing w:after="0"/>
              <w:rPr>
                <w:sz w:val="20"/>
                <w:szCs w:val="20"/>
                <w:color w:val="auto"/>
              </w:rPr>
            </w:pPr>
            <w:r>
              <w:rPr>
                <w:rFonts w:ascii="Arial" w:cs="Arial" w:eastAsia="Arial" w:hAnsi="Arial"/>
                <w:sz w:val="18"/>
                <w:szCs w:val="18"/>
                <w:color w:val="auto"/>
              </w:rPr>
              <w:t>High-loan-to-value</w:t>
            </w:r>
          </w:p>
        </w:tc>
        <w:tc>
          <w:tcPr>
            <w:tcW w:w="19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38% – 41%</w:t>
            </w:r>
          </w:p>
        </w:tc>
        <w:tc>
          <w:tcPr>
            <w:tcW w:w="2160" w:type="dxa"/>
            <w:vAlign w:val="bottom"/>
            <w:gridSpan w:val="2"/>
            <w:shd w:val="clear" w:color="auto" w:fill="EAF9E8"/>
          </w:tcPr>
          <w:p>
            <w:pPr>
              <w:jc w:val="center"/>
              <w:ind w:left="250"/>
              <w:spacing w:after="0"/>
              <w:rPr>
                <w:sz w:val="20"/>
                <w:szCs w:val="20"/>
                <w:color w:val="auto"/>
              </w:rPr>
            </w:pPr>
            <w:r>
              <w:rPr>
                <w:rFonts w:ascii="Arial" w:cs="Arial" w:eastAsia="Arial" w:hAnsi="Arial"/>
                <w:sz w:val="18"/>
                <w:szCs w:val="18"/>
                <w:color w:val="auto"/>
                <w:w w:val="94"/>
              </w:rPr>
              <w:t>12%</w:t>
            </w:r>
          </w:p>
        </w:tc>
      </w:tr>
    </w:tbl>
    <w:p>
      <w:pPr>
        <w:spacing w:after="0" w:line="202" w:lineRule="exact"/>
        <w:rPr>
          <w:sz w:val="20"/>
          <w:szCs w:val="20"/>
          <w:color w:val="auto"/>
        </w:rPr>
      </w:pPr>
    </w:p>
    <w:p>
      <w:pPr>
        <w:ind w:right="60" w:firstLine="744"/>
        <w:spacing w:after="0" w:line="264" w:lineRule="auto"/>
        <w:rPr>
          <w:sz w:val="20"/>
          <w:szCs w:val="20"/>
          <w:color w:val="auto"/>
        </w:rPr>
      </w:pPr>
      <w:r>
        <w:rPr>
          <w:rFonts w:ascii="Arial" w:cs="Arial" w:eastAsia="Arial" w:hAnsi="Arial"/>
          <w:sz w:val="18"/>
          <w:szCs w:val="18"/>
          <w:color w:val="auto"/>
        </w:rPr>
        <w:t>The primary assumptions we use to estimate the fair value of MSRs by strata as of December 31, 2010 include the cost of financing advances (1-month LIBOR plus 4%), float earnings (1-month LIBOR), a 20% discount rate and the cost of servicing (representing industry averages, which vary by strata and ranged from $110 per year for a performing ALT A loan to $1,250 per year for a loan in foreclosure).</w:t>
      </w:r>
    </w:p>
    <w:p>
      <w:pPr>
        <w:spacing w:after="0" w:line="181" w:lineRule="exact"/>
        <w:rPr>
          <w:sz w:val="20"/>
          <w:szCs w:val="20"/>
          <w:color w:val="auto"/>
        </w:rPr>
      </w:pPr>
    </w:p>
    <w:p>
      <w:pPr>
        <w:ind w:right="300" w:firstLine="744"/>
        <w:spacing w:after="0" w:line="308" w:lineRule="auto"/>
        <w:rPr>
          <w:sz w:val="20"/>
          <w:szCs w:val="20"/>
          <w:color w:val="auto"/>
        </w:rPr>
      </w:pPr>
      <w:r>
        <w:rPr>
          <w:rFonts w:ascii="Arial" w:cs="Arial" w:eastAsia="Arial" w:hAnsi="Arial"/>
          <w:sz w:val="17"/>
          <w:szCs w:val="17"/>
          <w:color w:val="auto"/>
        </w:rPr>
        <w:t>We perform an impairment analysis of our MSRs by strata based on the difference between the carrying amount and estimated fair value. To the extent the estimated fair value is less than the carrying amount for any strata we recognize an impairment valuation allowance.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5" w:name="page36"/>
    <w:bookmarkEnd w:id="35"/>
    <w:p>
      <w:pPr>
        <w:ind w:left="360"/>
        <w:spacing w:after="0"/>
        <w:rPr>
          <w:sz w:val="20"/>
          <w:szCs w:val="20"/>
          <w:color w:val="auto"/>
        </w:rPr>
      </w:pPr>
      <w:r>
        <w:rPr>
          <w:rFonts w:ascii="Arial" w:cs="Arial" w:eastAsia="Arial" w:hAnsi="Arial"/>
          <w:sz w:val="18"/>
          <w:szCs w:val="18"/>
          <w:color w:val="auto"/>
        </w:rPr>
        <w:t>Changes in these assumptions are generally expected to affect our results of operations as follows:</w:t>
      </w:r>
    </w:p>
    <w:p>
      <w:pPr>
        <w:spacing w:after="0" w:line="225" w:lineRule="exact"/>
        <w:rPr>
          <w:sz w:val="20"/>
          <w:szCs w:val="20"/>
          <w:color w:val="auto"/>
        </w:rPr>
      </w:pPr>
    </w:p>
    <w:p>
      <w:pPr>
        <w:ind w:left="1380" w:right="300" w:hanging="562"/>
        <w:spacing w:after="0" w:line="312" w:lineRule="auto"/>
        <w:tabs>
          <w:tab w:leader="none" w:pos="13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Increases in prepayment speeds generally reduce the value of our MSRs as the underlying loans prepay faster which causes accelerated MSR amortization, higher compensating interest payments and lower overall servicing fees, partially offset by a lower overall cost of servicing, increased float earnings on higher float balances and lower interest expense on decreased servicing advance balances.</w:t>
      </w:r>
    </w:p>
    <w:p>
      <w:pPr>
        <w:spacing w:after="0" w:line="146" w:lineRule="exact"/>
        <w:rPr>
          <w:rFonts w:ascii="Arial" w:cs="Arial" w:eastAsia="Arial" w:hAnsi="Arial"/>
          <w:sz w:val="16"/>
          <w:szCs w:val="16"/>
          <w:color w:val="auto"/>
        </w:rPr>
      </w:pPr>
    </w:p>
    <w:p>
      <w:pPr>
        <w:ind w:left="1380" w:hanging="562"/>
        <w:spacing w:after="0" w:line="277" w:lineRule="auto"/>
        <w:tabs>
          <w:tab w:leader="none" w:pos="1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Increases in delinquencies generally reduce the value of our MSRs as the cost of servicing increases during the delinquency period, and the amount of servicing advances and related interest expense also increase.</w:t>
      </w:r>
    </w:p>
    <w:p>
      <w:pPr>
        <w:spacing w:after="0" w:line="170" w:lineRule="exact"/>
        <w:rPr>
          <w:rFonts w:ascii="Arial" w:cs="Arial" w:eastAsia="Arial" w:hAnsi="Arial"/>
          <w:sz w:val="18"/>
          <w:szCs w:val="18"/>
          <w:color w:val="auto"/>
        </w:rPr>
      </w:pPr>
    </w:p>
    <w:p>
      <w:pPr>
        <w:ind w:left="1380" w:hanging="562"/>
        <w:spacing w:after="0"/>
        <w:tabs>
          <w:tab w:leader="none" w:pos="1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Increases in the discount rate reduce the value of our MSRs due to the lower overall net present value of the net cash flows.</w:t>
      </w:r>
    </w:p>
    <w:p>
      <w:pPr>
        <w:spacing w:after="0" w:line="225" w:lineRule="exact"/>
        <w:rPr>
          <w:rFonts w:ascii="Arial" w:cs="Arial" w:eastAsia="Arial" w:hAnsi="Arial"/>
          <w:sz w:val="18"/>
          <w:szCs w:val="18"/>
          <w:color w:val="auto"/>
        </w:rPr>
      </w:pPr>
    </w:p>
    <w:p>
      <w:pPr>
        <w:ind w:left="1380" w:right="120" w:hanging="562"/>
        <w:spacing w:after="0" w:line="277" w:lineRule="auto"/>
        <w:tabs>
          <w:tab w:leader="none" w:pos="1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Increases in interest rate assumptions will increase interest expense for financing servicing advances although this effect is partially offset because rate increases will also increase the amount of float earnings we recognize.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Loans Held for Resale</w:t>
      </w:r>
    </w:p>
    <w:p>
      <w:pPr>
        <w:spacing w:after="0" w:line="229" w:lineRule="exact"/>
        <w:rPr>
          <w:sz w:val="20"/>
          <w:szCs w:val="20"/>
          <w:color w:val="auto"/>
        </w:rPr>
      </w:pPr>
    </w:p>
    <w:p>
      <w:pPr>
        <w:jc w:val="both"/>
        <w:ind w:right="120" w:firstLine="747"/>
        <w:spacing w:after="0" w:line="312" w:lineRule="auto"/>
        <w:rPr>
          <w:sz w:val="20"/>
          <w:szCs w:val="20"/>
          <w:color w:val="auto"/>
        </w:rPr>
      </w:pPr>
      <w:r>
        <w:rPr>
          <w:rFonts w:ascii="Arial" w:cs="Arial" w:eastAsia="Arial" w:hAnsi="Arial"/>
          <w:sz w:val="16"/>
          <w:szCs w:val="16"/>
          <w:color w:val="auto"/>
        </w:rPr>
        <w:t>Loans held for resale are reported at the lower of cost or fair value. We account for the excess of cost over fair value as a valuation allowance with changes in the valuation allowance included in gain (loss) on loans held for resale, net, in the period in which the change occurs. At December 31, 2010, all loans held for resale were measured at fair value because their cost of $40,413 exceeded their estimated fair value of $25,803.</w:t>
      </w:r>
    </w:p>
    <w:p>
      <w:pPr>
        <w:spacing w:after="0" w:line="147" w:lineRule="exact"/>
        <w:rPr>
          <w:sz w:val="20"/>
          <w:szCs w:val="20"/>
          <w:color w:val="auto"/>
        </w:rPr>
      </w:pPr>
    </w:p>
    <w:p>
      <w:pPr>
        <w:ind w:firstLine="744"/>
        <w:spacing w:after="0" w:line="273" w:lineRule="auto"/>
        <w:rPr>
          <w:sz w:val="20"/>
          <w:szCs w:val="20"/>
          <w:color w:val="auto"/>
        </w:rPr>
      </w:pPr>
      <w:r>
        <w:rPr>
          <w:rFonts w:ascii="Arial" w:cs="Arial" w:eastAsia="Arial" w:hAnsi="Arial"/>
          <w:sz w:val="17"/>
          <w:szCs w:val="17"/>
          <w:color w:val="auto"/>
        </w:rPr>
        <w:t>When we enter into an agreement to sell a loan to an investor at a set price, the loan is valued at the commitment price. The fair value of loans for which we do not have a firm commitment to sell is based upon a discounted cash flow analysis. We stratify our fair value estimate of uncommitted loans held for resale based upon the delinquency status of the loans. We base the fair value of our performing loans on the expected future cash flows discounted at a rate commensurate with the risk of the estimated cash flows. Significant assumptions include collateral and loan characteristics, prevailing market conditions and the creditworthiness of the borrower. The fair value of our non-performing l oans is determined based upon the underlying value of the collateral supporting the loan and the estimated period and cost of disposition of the collateral.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 Assets</w:t>
      </w:r>
    </w:p>
    <w:p>
      <w:pPr>
        <w:spacing w:after="0" w:line="229" w:lineRule="exact"/>
        <w:rPr>
          <w:sz w:val="20"/>
          <w:szCs w:val="20"/>
          <w:color w:val="auto"/>
        </w:rPr>
      </w:pPr>
    </w:p>
    <w:p>
      <w:pPr>
        <w:ind w:right="60" w:firstLine="744"/>
        <w:spacing w:after="0" w:line="271" w:lineRule="auto"/>
        <w:rPr>
          <w:sz w:val="20"/>
          <w:szCs w:val="20"/>
          <w:color w:val="auto"/>
        </w:rPr>
      </w:pPr>
      <w:r>
        <w:rPr>
          <w:rFonts w:ascii="Arial" w:cs="Arial" w:eastAsia="Arial" w:hAnsi="Arial"/>
          <w:sz w:val="17"/>
          <w:szCs w:val="17"/>
          <w:color w:val="auto"/>
        </w:rPr>
        <w:t>The use of estimates and the application of judgment are involved in the determination of our overall tax provision and the evaluation of the realizability of our gross deferred tax assets. As of December 31, 2010, we had gross deferred tax assets of $138,878 and gross deferred tax liabilities of $162 resulting in a net deferred tax asset of $138,716. We reduced our liability for selected tax items by $9,126, primarily as a result of deductions related to a servicing advance finance structure and to statute expirations. We conduct periodic evaluations of positive and negative evidence to determine whether it is more likely than not that the deferred tax asset can be realized in future periods . Among the factors considered in this evaluation are estimates of future taxable income, future reversals of temporary differences, tax character (ordinary versus capital) and the impact of tax planning strategies that may be implemented if warranted. We assess the amount of the valuation allowance each quarter. As a result of this evaluation, we concluded that no valuation allowance was necessary at December 31, 2010.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60" w:firstLine="744"/>
        <w:spacing w:after="0" w:line="271" w:lineRule="auto"/>
        <w:rPr>
          <w:sz w:val="20"/>
          <w:szCs w:val="20"/>
          <w:color w:val="auto"/>
        </w:rPr>
      </w:pPr>
      <w:r>
        <w:rPr>
          <w:rFonts w:ascii="Arial" w:cs="Arial" w:eastAsia="Arial" w:hAnsi="Arial"/>
          <w:sz w:val="17"/>
          <w:szCs w:val="17"/>
          <w:color w:val="auto"/>
        </w:rPr>
        <w:t>We test the goodwill in each of our operating segments, which are components one level below our business segments, for impairment at least annually or whenever events or circumstances indicate that the carrying value of goodwill may not be recoverable from future cash flows based on a two-step impairment test. We evaluate the recoverability by comparing the estimated fair value of each operating segment with its estimated net carrying value (including goodwill). We derive the fair value of each of our operating segments based on valuation techniques that we believe market participants would use for each segment (discounted cash flow valuation methodology). Our goodwill impairment test involv es the making of estimates and the exercise of management judgment. From time to time, we may obtain assistance from third parties in our evaluation. The discounted cash flow valuation methodology uses projections of future cash flows and includes assumptions concerning future operating performance and economic conditions that may differ from actual future cash flows achieved.</w:t>
      </w:r>
    </w:p>
    <w:p>
      <w:pPr>
        <w:spacing w:after="0" w:line="179" w:lineRule="exact"/>
        <w:rPr>
          <w:sz w:val="20"/>
          <w:szCs w:val="20"/>
          <w:color w:val="auto"/>
        </w:rPr>
      </w:pPr>
    </w:p>
    <w:p>
      <w:pPr>
        <w:jc w:val="both"/>
        <w:ind w:right="80" w:firstLine="747"/>
        <w:spacing w:after="0" w:line="312" w:lineRule="auto"/>
        <w:rPr>
          <w:sz w:val="20"/>
          <w:szCs w:val="20"/>
          <w:color w:val="auto"/>
        </w:rPr>
      </w:pPr>
      <w:r>
        <w:rPr>
          <w:rFonts w:ascii="Arial" w:cs="Arial" w:eastAsia="Arial" w:hAnsi="Arial"/>
          <w:sz w:val="16"/>
          <w:szCs w:val="16"/>
          <w:color w:val="auto"/>
        </w:rPr>
        <w:t>In projecting our cash flows, we use projected growth rates or where applicable the projected prepayment rate. For the discount rate, we use a rate which reflects our weighted average cost of capital determined based on our industry and size risk premiums based on our market capitalization. Fair value is calculated as the sum of the projected discounted cash flows of the reporting units over the next five years and terminal value at the end of those five years.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6" w:name="page37"/>
    <w:bookmarkEnd w:id="36"/>
    <w:p>
      <w:pPr>
        <w:ind w:right="60" w:firstLine="737"/>
        <w:spacing w:after="0" w:line="273" w:lineRule="auto"/>
        <w:rPr>
          <w:sz w:val="20"/>
          <w:szCs w:val="20"/>
          <w:color w:val="auto"/>
        </w:rPr>
      </w:pPr>
      <w:r>
        <w:rPr>
          <w:rFonts w:ascii="Arial" w:cs="Arial" w:eastAsia="Arial" w:hAnsi="Arial"/>
          <w:sz w:val="16"/>
          <w:szCs w:val="16"/>
          <w:color w:val="auto"/>
        </w:rPr>
        <w:t>At December 31, 2010, the entire $12,810 balance of goodwill relates to the HomEq Acquisition and is included in the Servicing segment. We will perform our annual impairment test of the goodwill related to the HomEq Acquisition on August 31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of each year beginning in 2011. We will test for impairment sooner if events or changes in circumstances indicate that the carrying amount may not be recoverable. We did not perform an annual impairment test during 2009 because the entire balance of goodwill was distributed to Altisource on August 10, 2009 as part of the Separation. Our annual test of goodwill for impairment t hat we completed in 2008 did not indicate any impairment. However, in the second quarter of 2008, we did record an impairment of the remaining $1,682 of goodwill related to BOK, which was held for sale, based on offers that we had received that were less than carrying value.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120" w:firstLine="744"/>
        <w:spacing w:after="0" w:line="264" w:lineRule="auto"/>
        <w:rPr>
          <w:sz w:val="20"/>
          <w:szCs w:val="20"/>
          <w:color w:val="auto"/>
        </w:rPr>
      </w:pPr>
      <w:r>
        <w:rPr>
          <w:rFonts w:ascii="Arial" w:cs="Arial" w:eastAsia="Arial" w:hAnsi="Arial"/>
          <w:sz w:val="18"/>
          <w:szCs w:val="18"/>
          <w:color w:val="auto"/>
        </w:rPr>
        <w:t>We monitor our litigation matters, including advice from external legal counsel, and regularly perform assessments of these matters for potential loss accrual and disclosure. We establish reserves for settlements, judgments on appeal and filed and/or threatened claims for which we believe it is probable that a loss has been or will be incurred and the amount can be reasonably estimated.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AND FINANCIAL CONDITION</w:t>
      </w:r>
    </w:p>
    <w:p>
      <w:pPr>
        <w:spacing w:after="0" w:line="229" w:lineRule="exact"/>
        <w:rPr>
          <w:sz w:val="20"/>
          <w:szCs w:val="20"/>
          <w:color w:val="auto"/>
        </w:rPr>
      </w:pPr>
    </w:p>
    <w:p>
      <w:pPr>
        <w:ind w:right="40" w:firstLine="747"/>
        <w:spacing w:after="0" w:line="257" w:lineRule="auto"/>
        <w:rPr>
          <w:sz w:val="20"/>
          <w:szCs w:val="20"/>
          <w:color w:val="auto"/>
        </w:rPr>
      </w:pPr>
      <w:r>
        <w:rPr>
          <w:rFonts w:ascii="Arial" w:cs="Arial" w:eastAsia="Arial" w:hAnsi="Arial"/>
          <w:sz w:val="18"/>
          <w:szCs w:val="18"/>
          <w:color w:val="auto"/>
        </w:rPr>
        <w:t>For each of our business segments, the following section provides a discussion of the changes in financial condition during the year ended December 31, 2010 and a discussion of pre-tax results of operations for the annual periods ended December 31, 2010, 2009 and 2008. Due to the Separation as of August 10, 2009, neither the assets and liabilities, nor the subsequent operations of the Mortgage Services, Financial Services and Technology Products segments are included in our financial results. As a separate, publicly-traded company, Altisource Portfolio Solutions S.A. (NASDAQ:ASPS) will file a Form 10-K with the Securities and Exchange Commission.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selected results of operations of our Servicing segment for the years ended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16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60"/>
              <w:spacing w:after="0"/>
              <w:rPr>
                <w:sz w:val="20"/>
                <w:szCs w:val="20"/>
                <w:color w:val="auto"/>
              </w:rPr>
            </w:pPr>
            <w:r>
              <w:rPr>
                <w:rFonts w:ascii="Arial" w:cs="Arial" w:eastAsia="Arial" w:hAnsi="Arial"/>
                <w:sz w:val="18"/>
                <w:szCs w:val="18"/>
                <w:color w:val="auto"/>
              </w:rPr>
              <w:t>Servicing and subservicing fees</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323,026</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233,759</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304,572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AF9E8"/>
          </w:tcPr>
          <w:p>
            <w:pPr>
              <w:ind w:left="60"/>
              <w:spacing w:after="0"/>
              <w:rPr>
                <w:sz w:val="20"/>
                <w:szCs w:val="20"/>
                <w:color w:val="auto"/>
              </w:rPr>
            </w:pPr>
            <w:r>
              <w:rPr>
                <w:rFonts w:ascii="Arial" w:cs="Arial" w:eastAsia="Arial" w:hAnsi="Arial"/>
                <w:sz w:val="18"/>
                <w:szCs w:val="18"/>
                <w:color w:val="auto"/>
              </w:rPr>
              <w:t>Process management fees</w:t>
            </w:r>
          </w:p>
        </w:tc>
        <w:tc>
          <w:tcPr>
            <w:tcW w:w="16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33,685</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38,965</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36,153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60"/>
              <w:spacing w:after="0"/>
              <w:rPr>
                <w:sz w:val="20"/>
                <w:szCs w:val="20"/>
                <w:color w:val="auto"/>
              </w:rPr>
            </w:pPr>
            <w:r>
              <w:rPr>
                <w:rFonts w:ascii="Arial" w:cs="Arial" w:eastAsia="Arial" w:hAnsi="Arial"/>
                <w:sz w:val="18"/>
                <w:szCs w:val="18"/>
                <w:color w:val="auto"/>
              </w:rPr>
              <w:t>Other</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3,087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Total revenue</w:t>
            </w:r>
          </w:p>
        </w:tc>
        <w:tc>
          <w:tcPr>
            <w:tcW w:w="168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359,798</w:t>
            </w:r>
          </w:p>
        </w:tc>
        <w:tc>
          <w:tcPr>
            <w:tcW w:w="2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272,725</w:t>
            </w:r>
          </w:p>
        </w:tc>
        <w:tc>
          <w:tcPr>
            <w:tcW w:w="18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340,725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Borders>
              <w:top w:val="single" w:sz="8" w:color="EAF9E8"/>
            </w:tcBorders>
          </w:tcPr>
          <w:p>
            <w:pPr>
              <w:spacing w:after="0"/>
              <w:rPr>
                <w:sz w:val="18"/>
                <w:szCs w:val="18"/>
                <w:color w:val="auto"/>
              </w:rPr>
            </w:pPr>
          </w:p>
        </w:tc>
        <w:tc>
          <w:tcPr>
            <w:tcW w:w="168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Operating expenses</w:t>
            </w:r>
          </w:p>
        </w:tc>
        <w:tc>
          <w:tcPr>
            <w:tcW w:w="16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60"/>
              <w:spacing w:after="0"/>
              <w:rPr>
                <w:sz w:val="20"/>
                <w:szCs w:val="20"/>
                <w:color w:val="auto"/>
              </w:rPr>
            </w:pPr>
            <w:r>
              <w:rPr>
                <w:rFonts w:ascii="Arial" w:cs="Arial" w:eastAsia="Arial" w:hAnsi="Arial"/>
                <w:sz w:val="18"/>
                <w:szCs w:val="18"/>
                <w:color w:val="auto"/>
              </w:rPr>
              <w:t>Compensation and benefits</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67,447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32,256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AF9E8"/>
          </w:tcPr>
          <w:p>
            <w:pPr>
              <w:ind w:left="60"/>
              <w:spacing w:after="0"/>
              <w:rPr>
                <w:sz w:val="20"/>
                <w:szCs w:val="20"/>
                <w:color w:val="auto"/>
              </w:rPr>
            </w:pPr>
            <w:r>
              <w:rPr>
                <w:rFonts w:ascii="Arial" w:cs="Arial" w:eastAsia="Arial" w:hAnsi="Arial"/>
                <w:sz w:val="18"/>
                <w:szCs w:val="18"/>
                <w:color w:val="auto"/>
              </w:rPr>
              <w:t>Amortization of servicing rights</w:t>
            </w:r>
          </w:p>
        </w:tc>
        <w:tc>
          <w:tcPr>
            <w:tcW w:w="16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31,455</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32,228</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52,187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60"/>
              <w:spacing w:after="0"/>
              <w:rPr>
                <w:sz w:val="20"/>
                <w:szCs w:val="20"/>
                <w:color w:val="auto"/>
              </w:rPr>
            </w:pPr>
            <w:r>
              <w:rPr>
                <w:rFonts w:ascii="Arial" w:cs="Arial" w:eastAsia="Arial" w:hAnsi="Arial"/>
                <w:sz w:val="18"/>
                <w:szCs w:val="18"/>
                <w:color w:val="auto"/>
              </w:rPr>
              <w:t>Servicing and origination</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6,396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8,071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AF9E8"/>
          </w:tcPr>
          <w:p>
            <w:pPr>
              <w:ind w:left="60"/>
              <w:spacing w:after="0"/>
              <w:rPr>
                <w:sz w:val="20"/>
                <w:szCs w:val="20"/>
                <w:color w:val="auto"/>
              </w:rPr>
            </w:pPr>
            <w:r>
              <w:rPr>
                <w:rFonts w:ascii="Arial" w:cs="Arial" w:eastAsia="Arial" w:hAnsi="Arial"/>
                <w:sz w:val="18"/>
                <w:szCs w:val="18"/>
                <w:color w:val="auto"/>
              </w:rPr>
              <w:t>Technology and communications</w:t>
            </w:r>
          </w:p>
        </w:tc>
        <w:tc>
          <w:tcPr>
            <w:tcW w:w="16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19,896</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14,215</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60"/>
              <w:spacing w:after="0"/>
              <w:rPr>
                <w:sz w:val="20"/>
                <w:szCs w:val="20"/>
                <w:color w:val="auto"/>
              </w:rPr>
            </w:pPr>
            <w:r>
              <w:rPr>
                <w:rFonts w:ascii="Arial" w:cs="Arial" w:eastAsia="Arial" w:hAnsi="Arial"/>
                <w:sz w:val="18"/>
                <w:szCs w:val="18"/>
                <w:color w:val="auto"/>
              </w:rPr>
              <w:t>Professional services</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13,874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8,095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AF9E8"/>
          </w:tcPr>
          <w:p>
            <w:pPr>
              <w:ind w:left="60"/>
              <w:spacing w:after="0"/>
              <w:rPr>
                <w:sz w:val="20"/>
                <w:szCs w:val="20"/>
                <w:color w:val="auto"/>
              </w:rPr>
            </w:pPr>
            <w:r>
              <w:rPr>
                <w:rFonts w:ascii="Arial" w:cs="Arial" w:eastAsia="Arial" w:hAnsi="Arial"/>
                <w:sz w:val="18"/>
                <w:szCs w:val="18"/>
                <w:color w:val="auto"/>
              </w:rPr>
              <w:t>Occupancy and equipment</w:t>
            </w:r>
          </w:p>
        </w:tc>
        <w:tc>
          <w:tcPr>
            <w:tcW w:w="16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29,234</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10,848</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60"/>
              <w:spacing w:after="0"/>
              <w:rPr>
                <w:sz w:val="20"/>
                <w:szCs w:val="20"/>
                <w:color w:val="auto"/>
              </w:rPr>
            </w:pPr>
            <w:r>
              <w:rPr>
                <w:rFonts w:ascii="Arial" w:cs="Arial" w:eastAsia="Arial" w:hAnsi="Arial"/>
                <w:sz w:val="18"/>
                <w:szCs w:val="18"/>
                <w:color w:val="auto"/>
              </w:rPr>
              <w:t>Other operating expenses</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31,806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23,539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20,273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Total operating expenses</w:t>
            </w:r>
          </w:p>
        </w:tc>
        <w:tc>
          <w:tcPr>
            <w:tcW w:w="168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200,108</w:t>
            </w:r>
          </w:p>
        </w:tc>
        <w:tc>
          <w:tcPr>
            <w:tcW w:w="2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129,252</w:t>
            </w:r>
          </w:p>
        </w:tc>
        <w:tc>
          <w:tcPr>
            <w:tcW w:w="18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164,292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Borders>
              <w:top w:val="single" w:sz="8" w:color="EAF9E8"/>
            </w:tcBorders>
          </w:tcPr>
          <w:p>
            <w:pPr>
              <w:spacing w:after="0"/>
              <w:rPr>
                <w:sz w:val="18"/>
                <w:szCs w:val="18"/>
                <w:color w:val="auto"/>
              </w:rPr>
            </w:pPr>
          </w:p>
        </w:tc>
        <w:tc>
          <w:tcPr>
            <w:tcW w:w="168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Income from operations</w:t>
            </w:r>
          </w:p>
        </w:tc>
        <w:tc>
          <w:tcPr>
            <w:tcW w:w="168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159,690</w:t>
            </w:r>
          </w:p>
        </w:tc>
        <w:tc>
          <w:tcPr>
            <w:tcW w:w="2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143,473</w:t>
            </w:r>
          </w:p>
        </w:tc>
        <w:tc>
          <w:tcPr>
            <w:tcW w:w="18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176,433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Borders>
              <w:top w:val="single" w:sz="8" w:color="EAF9E8"/>
            </w:tcBorders>
          </w:tcPr>
          <w:p>
            <w:pPr>
              <w:spacing w:after="0"/>
              <w:rPr>
                <w:sz w:val="18"/>
                <w:szCs w:val="18"/>
                <w:color w:val="auto"/>
              </w:rPr>
            </w:pPr>
          </w:p>
        </w:tc>
        <w:tc>
          <w:tcPr>
            <w:tcW w:w="168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Other income (expense)</w:t>
            </w:r>
          </w:p>
        </w:tc>
        <w:tc>
          <w:tcPr>
            <w:tcW w:w="16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60"/>
              <w:spacing w:after="0"/>
              <w:rPr>
                <w:sz w:val="20"/>
                <w:szCs w:val="20"/>
                <w:color w:val="auto"/>
              </w:rPr>
            </w:pPr>
            <w:r>
              <w:rPr>
                <w:rFonts w:ascii="Arial" w:cs="Arial" w:eastAsia="Arial" w:hAnsi="Arial"/>
                <w:sz w:val="18"/>
                <w:szCs w:val="18"/>
                <w:color w:val="auto"/>
              </w:rPr>
              <w:t>Interest income</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207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266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AF9E8"/>
          </w:tcPr>
          <w:p>
            <w:pPr>
              <w:ind w:left="60"/>
              <w:spacing w:after="0"/>
              <w:rPr>
                <w:sz w:val="20"/>
                <w:szCs w:val="20"/>
                <w:color w:val="auto"/>
              </w:rPr>
            </w:pPr>
            <w:r>
              <w:rPr>
                <w:rFonts w:ascii="Arial" w:cs="Arial" w:eastAsia="Arial" w:hAnsi="Arial"/>
                <w:sz w:val="18"/>
                <w:szCs w:val="18"/>
                <w:color w:val="auto"/>
              </w:rPr>
              <w:t>Interest expense</w:t>
            </w:r>
          </w:p>
        </w:tc>
        <w:tc>
          <w:tcPr>
            <w:tcW w:w="16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(80,514)</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(59,458)</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(75,835)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60"/>
              <w:spacing w:after="0"/>
              <w:rPr>
                <w:sz w:val="20"/>
                <w:szCs w:val="20"/>
                <w:color w:val="auto"/>
              </w:rPr>
            </w:pPr>
            <w:r>
              <w:rPr>
                <w:rFonts w:ascii="Arial" w:cs="Arial" w:eastAsia="Arial" w:hAnsi="Arial"/>
                <w:sz w:val="18"/>
                <w:szCs w:val="18"/>
                <w:color w:val="auto"/>
              </w:rPr>
              <w:t>Gain (loss) on debt redemption</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(571)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1,600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AF9E8"/>
          </w:tcPr>
          <w:p>
            <w:pPr>
              <w:ind w:left="60"/>
              <w:spacing w:after="0"/>
              <w:rPr>
                <w:sz w:val="20"/>
                <w:szCs w:val="20"/>
                <w:color w:val="auto"/>
              </w:rPr>
            </w:pPr>
            <w:r>
              <w:rPr>
                <w:rFonts w:ascii="Arial" w:cs="Arial" w:eastAsia="Arial" w:hAnsi="Arial"/>
                <w:sz w:val="18"/>
                <w:szCs w:val="18"/>
                <w:color w:val="auto"/>
              </w:rPr>
              <w:t>Other, net</w:t>
            </w:r>
          </w:p>
        </w:tc>
        <w:tc>
          <w:tcPr>
            <w:tcW w:w="16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(617)</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1,800</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shd w:val="clear" w:color="auto" w:fill="EAF9E8"/>
          </w:tcPr>
          <w:p>
            <w:pPr>
              <w:spacing w:after="0"/>
              <w:rPr>
                <w:sz w:val="2"/>
                <w:szCs w:val="2"/>
                <w:color w:val="auto"/>
              </w:rPr>
            </w:pPr>
          </w:p>
        </w:tc>
        <w:tc>
          <w:tcPr>
            <w:tcW w:w="168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Total other expense, net</w:t>
            </w: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(81,495)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(55,792)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(75,663)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shd w:val="clear" w:color="auto" w:fill="EAF9E8"/>
          </w:tcPr>
          <w:p>
            <w:pPr>
              <w:spacing w:after="0"/>
              <w:rPr>
                <w:sz w:val="18"/>
                <w:szCs w:val="18"/>
                <w:color w:val="auto"/>
              </w:rPr>
            </w:pPr>
          </w:p>
        </w:tc>
        <w:tc>
          <w:tcPr>
            <w:tcW w:w="168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78,195</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87,681</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100,770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EAF9E8"/>
          </w:tcPr>
          <w:p>
            <w:pPr>
              <w:spacing w:after="0"/>
              <w:rPr>
                <w:sz w:val="18"/>
                <w:szCs w:val="18"/>
                <w:color w:val="auto"/>
              </w:rPr>
            </w:pPr>
          </w:p>
        </w:tc>
        <w:tc>
          <w:tcPr>
            <w:tcW w:w="16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680" w:type="dxa"/>
            <w:vAlign w:val="bottom"/>
          </w:tcPr>
          <w:p>
            <w:pPr>
              <w:jc w:val="right"/>
              <w:ind w:right="75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7" w:name="page38"/>
    <w:bookmarkEnd w:id="37"/>
    <w:p>
      <w:pPr>
        <w:ind w:left="760"/>
        <w:spacing w:after="0"/>
        <w:rPr>
          <w:sz w:val="20"/>
          <w:szCs w:val="20"/>
          <w:color w:val="auto"/>
        </w:rPr>
      </w:pPr>
      <w:r>
        <w:rPr>
          <w:rFonts w:ascii="Arial" w:cs="Arial" w:eastAsia="Arial" w:hAnsi="Arial"/>
          <w:sz w:val="18"/>
          <w:szCs w:val="18"/>
          <w:color w:val="auto"/>
        </w:rPr>
        <w:t>The following table provides selected operating statistics at or for the years ended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70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Change from</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270"/>
              <w:spacing w:after="0" w:line="198" w:lineRule="exact"/>
              <w:rPr>
                <w:sz w:val="20"/>
                <w:szCs w:val="20"/>
                <w:color w:val="auto"/>
              </w:rPr>
            </w:pPr>
            <w:r>
              <w:rPr>
                <w:rFonts w:ascii="Arial" w:cs="Arial" w:eastAsia="Arial" w:hAnsi="Arial"/>
                <w:sz w:val="18"/>
                <w:szCs w:val="18"/>
                <w:b w:val="1"/>
                <w:bCs w:val="1"/>
                <w:color w:val="auto"/>
              </w:rPr>
              <w:t>2009 to</w:t>
            </w:r>
          </w:p>
        </w:tc>
        <w:tc>
          <w:tcPr>
            <w:tcW w:w="220" w:type="dxa"/>
            <w:vAlign w:val="bottom"/>
          </w:tcPr>
          <w:p>
            <w:pPr>
              <w:spacing w:after="0"/>
              <w:rPr>
                <w:sz w:val="17"/>
                <w:szCs w:val="17"/>
                <w:color w:val="auto"/>
              </w:rPr>
            </w:pPr>
          </w:p>
        </w:tc>
        <w:tc>
          <w:tcPr>
            <w:tcW w:w="1240" w:type="dxa"/>
            <w:vAlign w:val="bottom"/>
          </w:tcPr>
          <w:p>
            <w:pPr>
              <w:jc w:val="right"/>
              <w:ind w:right="270"/>
              <w:spacing w:after="0" w:line="198" w:lineRule="exact"/>
              <w:rPr>
                <w:sz w:val="20"/>
                <w:szCs w:val="20"/>
                <w:color w:val="auto"/>
              </w:rPr>
            </w:pPr>
            <w:r>
              <w:rPr>
                <w:rFonts w:ascii="Arial" w:cs="Arial" w:eastAsia="Arial" w:hAnsi="Arial"/>
                <w:sz w:val="18"/>
                <w:szCs w:val="18"/>
                <w:b w:val="1"/>
                <w:bCs w:val="1"/>
                <w:color w:val="auto"/>
              </w:rPr>
              <w:t>2008 to</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38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4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Residential Assets Serviced</w:t>
            </w:r>
          </w:p>
        </w:tc>
        <w:tc>
          <w:tcPr>
            <w:tcW w:w="200" w:type="dxa"/>
            <w:vAlign w:val="bottom"/>
            <w:tcBorders>
              <w:top w:val="single" w:sz="8" w:color="auto"/>
            </w:tcBorders>
            <w:shd w:val="clear" w:color="auto" w:fill="EAF9E8"/>
          </w:tcPr>
          <w:p>
            <w:pPr>
              <w:spacing w:after="0"/>
              <w:rPr>
                <w:sz w:val="18"/>
                <w:szCs w:val="18"/>
                <w:color w:val="auto"/>
              </w:rPr>
            </w:pPr>
          </w:p>
        </w:tc>
        <w:tc>
          <w:tcPr>
            <w:tcW w:w="940" w:type="dxa"/>
            <w:vAlign w:val="bottom"/>
            <w:tcBorders>
              <w:top w:val="single" w:sz="8" w:color="auto"/>
            </w:tcBorders>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40" w:type="dxa"/>
            <w:vAlign w:val="bottom"/>
            <w:tcBorders>
              <w:top w:val="single" w:sz="8" w:color="auto"/>
            </w:tcBorders>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40" w:type="dxa"/>
            <w:vAlign w:val="bottom"/>
            <w:tcBorders>
              <w:top w:val="single" w:sz="8" w:color="auto"/>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Unpaid principal balance: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AF9E8"/>
          </w:tcPr>
          <w:p>
            <w:pPr>
              <w:ind w:left="60"/>
              <w:spacing w:after="0"/>
              <w:rPr>
                <w:sz w:val="20"/>
                <w:szCs w:val="20"/>
                <w:color w:val="auto"/>
              </w:rPr>
            </w:pPr>
            <w:r>
              <w:rPr>
                <w:rFonts w:ascii="Arial" w:cs="Arial" w:eastAsia="Arial" w:hAnsi="Arial"/>
                <w:sz w:val="18"/>
                <w:szCs w:val="18"/>
                <w:color w:val="auto"/>
              </w:rPr>
              <w:t>Performing loans (1)</w:t>
            </w:r>
          </w:p>
        </w:tc>
        <w:tc>
          <w:tcPr>
            <w:tcW w:w="2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52,071,145</w:t>
            </w:r>
          </w:p>
        </w:tc>
        <w:tc>
          <w:tcPr>
            <w:tcW w:w="200" w:type="dxa"/>
            <w:vAlign w:val="bottom"/>
            <w:shd w:val="clear" w:color="auto" w:fill="EAF9E8"/>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w w:val="99"/>
              </w:rPr>
              <w:t>35,090,126</w:t>
            </w:r>
          </w:p>
        </w:tc>
        <w:tc>
          <w:tcPr>
            <w:tcW w:w="2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w w:val="99"/>
              </w:rPr>
              <w:t>30,416,049</w:t>
            </w:r>
          </w:p>
        </w:tc>
        <w:tc>
          <w:tcPr>
            <w:tcW w:w="124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48%</w:t>
            </w:r>
          </w:p>
        </w:tc>
        <w:tc>
          <w:tcPr>
            <w:tcW w:w="1460" w:type="dxa"/>
            <w:vAlign w:val="bottom"/>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60"/>
              <w:spacing w:after="0"/>
              <w:rPr>
                <w:sz w:val="20"/>
                <w:szCs w:val="20"/>
                <w:color w:val="auto"/>
              </w:rPr>
            </w:pPr>
            <w:r>
              <w:rPr>
                <w:rFonts w:ascii="Arial" w:cs="Arial" w:eastAsia="Arial" w:hAnsi="Arial"/>
                <w:sz w:val="18"/>
                <w:szCs w:val="18"/>
                <w:color w:val="auto"/>
              </w:rPr>
              <w:t>Non-performing loans</w:t>
            </w:r>
          </w:p>
        </w:tc>
        <w:tc>
          <w:tcPr>
            <w:tcW w:w="2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15,903,038</w:t>
            </w:r>
          </w:p>
        </w:tc>
        <w:tc>
          <w:tcPr>
            <w:tcW w:w="2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11,638,689</w:t>
            </w:r>
          </w:p>
        </w:tc>
        <w:tc>
          <w:tcPr>
            <w:tcW w:w="22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6,937,002</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37</w:t>
            </w:r>
          </w:p>
        </w:tc>
        <w:tc>
          <w:tcPr>
            <w:tcW w:w="1460" w:type="dxa"/>
            <w:vAlign w:val="bottom"/>
            <w:gridSpan w:val="2"/>
          </w:tcPr>
          <w:p>
            <w:pPr>
              <w:jc w:val="right"/>
              <w:ind w:right="25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AF9E8"/>
          </w:tcPr>
          <w:p>
            <w:pPr>
              <w:ind w:left="60"/>
              <w:spacing w:after="0"/>
              <w:rPr>
                <w:sz w:val="20"/>
                <w:szCs w:val="20"/>
                <w:color w:val="auto"/>
              </w:rPr>
            </w:pPr>
            <w:r>
              <w:rPr>
                <w:rFonts w:ascii="Arial" w:cs="Arial" w:eastAsia="Arial" w:hAnsi="Arial"/>
                <w:sz w:val="18"/>
                <w:szCs w:val="18"/>
                <w:color w:val="auto"/>
              </w:rPr>
              <w:t>Non-performing real estate</w:t>
            </w: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5,912,208</w:t>
            </w:r>
          </w:p>
        </w:tc>
        <w:tc>
          <w:tcPr>
            <w:tcW w:w="3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3,251,262</w:t>
            </w:r>
          </w:p>
        </w:tc>
        <w:tc>
          <w:tcPr>
            <w:tcW w:w="22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2,818,481</w:t>
            </w:r>
          </w:p>
        </w:tc>
        <w:tc>
          <w:tcPr>
            <w:tcW w:w="124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82</w:t>
            </w:r>
          </w:p>
        </w:tc>
        <w:tc>
          <w:tcPr>
            <w:tcW w:w="1460" w:type="dxa"/>
            <w:vAlign w:val="bottom"/>
            <w:gridSpan w:val="2"/>
            <w:shd w:val="clear" w:color="auto" w:fill="EAF9E8"/>
          </w:tcPr>
          <w:p>
            <w:pPr>
              <w:jc w:val="right"/>
              <w:ind w:right="25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40"/>
              <w:spacing w:after="0"/>
              <w:rPr>
                <w:sz w:val="20"/>
                <w:szCs w:val="20"/>
                <w:color w:val="auto"/>
              </w:rPr>
            </w:pPr>
            <w:r>
              <w:rPr>
                <w:rFonts w:ascii="Arial" w:cs="Arial" w:eastAsia="Arial" w:hAnsi="Arial"/>
                <w:sz w:val="18"/>
                <w:szCs w:val="18"/>
                <w:color w:val="auto"/>
              </w:rPr>
              <w:t>Total residential assets serviced (2)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73,886,391</w:t>
            </w:r>
          </w:p>
        </w:tc>
        <w:tc>
          <w:tcPr>
            <w:tcW w:w="3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49,980,077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40,171,532</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48</w:t>
            </w:r>
          </w:p>
        </w:tc>
        <w:tc>
          <w:tcPr>
            <w:tcW w:w="1460" w:type="dxa"/>
            <w:vAlign w:val="bottom"/>
            <w:gridSpan w:val="2"/>
          </w:tcPr>
          <w:p>
            <w:pPr>
              <w:jc w:val="right"/>
              <w:ind w:right="25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60"/>
              <w:spacing w:after="0"/>
              <w:rPr>
                <w:sz w:val="20"/>
                <w:szCs w:val="20"/>
                <w:color w:val="auto"/>
              </w:rPr>
            </w:pPr>
            <w:r>
              <w:rPr>
                <w:rFonts w:ascii="Arial" w:cs="Arial" w:eastAsia="Arial" w:hAnsi="Arial"/>
                <w:sz w:val="18"/>
                <w:szCs w:val="18"/>
                <w:color w:val="auto"/>
              </w:rPr>
              <w:t>Average residential assets serviced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59,637,040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41,093,085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46,193,422</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45</w:t>
            </w:r>
          </w:p>
        </w:tc>
        <w:tc>
          <w:tcPr>
            <w:tcW w:w="1460" w:type="dxa"/>
            <w:vAlign w:val="bottom"/>
            <w:gridSpan w:val="2"/>
          </w:tcPr>
          <w:p>
            <w:pPr>
              <w:jc w:val="right"/>
              <w:ind w:right="1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Prepayment speed (average CPR)</w:t>
            </w: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(35)</w:t>
            </w:r>
          </w:p>
        </w:tc>
        <w:tc>
          <w:tcPr>
            <w:tcW w:w="1460" w:type="dxa"/>
            <w:vAlign w:val="bottom"/>
            <w:gridSpan w:val="2"/>
          </w:tcPr>
          <w:p>
            <w:pPr>
              <w:jc w:val="right"/>
              <w:ind w:right="19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Percent of total UPB:</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AF9E8"/>
          </w:tcPr>
          <w:p>
            <w:pPr>
              <w:ind w:left="60"/>
              <w:spacing w:after="0"/>
              <w:rPr>
                <w:sz w:val="20"/>
                <w:szCs w:val="20"/>
                <w:color w:val="auto"/>
              </w:rPr>
            </w:pPr>
            <w:r>
              <w:rPr>
                <w:rFonts w:ascii="Arial" w:cs="Arial" w:eastAsia="Arial" w:hAnsi="Arial"/>
                <w:sz w:val="18"/>
                <w:szCs w:val="18"/>
                <w:color w:val="auto"/>
              </w:rPr>
              <w:t>Servicing portfolio</w:t>
            </w:r>
          </w:p>
        </w:tc>
        <w:tc>
          <w:tcPr>
            <w:tcW w:w="20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69.4%</w:t>
            </w:r>
          </w:p>
        </w:tc>
        <w:tc>
          <w:tcPr>
            <w:tcW w:w="2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54.8%</w:t>
            </w:r>
          </w:p>
        </w:tc>
        <w:tc>
          <w:tcPr>
            <w:tcW w:w="22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74.3%</w:t>
            </w:r>
          </w:p>
        </w:tc>
        <w:tc>
          <w:tcPr>
            <w:tcW w:w="124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27%</w:t>
            </w:r>
          </w:p>
        </w:tc>
        <w:tc>
          <w:tcPr>
            <w:tcW w:w="1460" w:type="dxa"/>
            <w:vAlign w:val="bottom"/>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60"/>
              <w:spacing w:after="0"/>
              <w:rPr>
                <w:sz w:val="20"/>
                <w:szCs w:val="20"/>
                <w:color w:val="auto"/>
              </w:rPr>
            </w:pPr>
            <w:r>
              <w:rPr>
                <w:rFonts w:ascii="Arial" w:cs="Arial" w:eastAsia="Arial" w:hAnsi="Arial"/>
                <w:sz w:val="18"/>
                <w:szCs w:val="18"/>
                <w:color w:val="auto"/>
              </w:rPr>
              <w:t>Subservicing portfolio</w:t>
            </w:r>
          </w:p>
        </w:tc>
        <w:tc>
          <w:tcPr>
            <w:tcW w:w="2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30.6</w:t>
            </w:r>
          </w:p>
        </w:tc>
        <w:tc>
          <w:tcPr>
            <w:tcW w:w="2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45.2</w:t>
            </w:r>
          </w:p>
        </w:tc>
        <w:tc>
          <w:tcPr>
            <w:tcW w:w="22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25.7</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(32)</w:t>
            </w:r>
          </w:p>
        </w:tc>
        <w:tc>
          <w:tcPr>
            <w:tcW w:w="1460" w:type="dxa"/>
            <w:vAlign w:val="bottom"/>
            <w:gridSpan w:val="2"/>
          </w:tcPr>
          <w:p>
            <w:pPr>
              <w:jc w:val="right"/>
              <w:ind w:right="25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shd w:val="clear" w:color="auto" w:fill="EAF9E8"/>
          </w:tcPr>
          <w:p>
            <w:pPr>
              <w:ind w:left="60"/>
              <w:spacing w:after="0" w:line="201" w:lineRule="exact"/>
              <w:rPr>
                <w:sz w:val="20"/>
                <w:szCs w:val="20"/>
                <w:color w:val="auto"/>
              </w:rPr>
            </w:pPr>
            <w:r>
              <w:rPr>
                <w:rFonts w:ascii="Arial" w:cs="Arial" w:eastAsia="Arial" w:hAnsi="Arial"/>
                <w:sz w:val="18"/>
                <w:szCs w:val="18"/>
                <w:color w:val="auto"/>
                <w:w w:val="95"/>
              </w:rPr>
              <w:t>Non-performing residential assets serviced, excluding</w:t>
            </w:r>
          </w:p>
        </w:tc>
        <w:tc>
          <w:tcPr>
            <w:tcW w:w="20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Freddie Mac (3)</w:t>
            </w:r>
          </w:p>
        </w:tc>
        <w:tc>
          <w:tcPr>
            <w:tcW w:w="200" w:type="dxa"/>
            <w:vAlign w:val="bottom"/>
            <w:shd w:val="clear" w:color="auto" w:fill="EAF9E8"/>
          </w:tcPr>
          <w:p>
            <w:pPr>
              <w:spacing w:after="0"/>
              <w:rPr>
                <w:sz w:val="20"/>
                <w:szCs w:val="20"/>
                <w:color w:val="auto"/>
              </w:rPr>
            </w:pPr>
          </w:p>
        </w:tc>
        <w:tc>
          <w:tcPr>
            <w:tcW w:w="13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27.3%</w:t>
            </w:r>
          </w:p>
        </w:tc>
        <w:tc>
          <w:tcPr>
            <w:tcW w:w="200" w:type="dxa"/>
            <w:vAlign w:val="bottom"/>
            <w:shd w:val="clear" w:color="auto" w:fill="EAF9E8"/>
          </w:tcPr>
          <w:p>
            <w:pPr>
              <w:spacing w:after="0"/>
              <w:rPr>
                <w:sz w:val="20"/>
                <w:szCs w:val="20"/>
                <w:color w:val="auto"/>
              </w:rPr>
            </w:pP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25.6%</w:t>
            </w:r>
          </w:p>
        </w:tc>
        <w:tc>
          <w:tcPr>
            <w:tcW w:w="220" w:type="dxa"/>
            <w:vAlign w:val="bottom"/>
            <w:shd w:val="clear" w:color="auto" w:fill="EAF9E8"/>
          </w:tcPr>
          <w:p>
            <w:pPr>
              <w:spacing w:after="0"/>
              <w:rPr>
                <w:sz w:val="20"/>
                <w:szCs w:val="20"/>
                <w:color w:val="auto"/>
              </w:rPr>
            </w:pP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24.3%</w:t>
            </w:r>
          </w:p>
        </w:tc>
        <w:tc>
          <w:tcPr>
            <w:tcW w:w="124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7</w:t>
            </w:r>
          </w:p>
        </w:tc>
        <w:tc>
          <w:tcPr>
            <w:tcW w:w="1460" w:type="dxa"/>
            <w:vAlign w:val="bottom"/>
            <w:gridSpan w:val="2"/>
            <w:shd w:val="clear" w:color="auto" w:fill="EAF9E8"/>
          </w:tcPr>
          <w:p>
            <w:pPr>
              <w:jc w:val="right"/>
              <w:ind w:right="2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EAF9E8"/>
          </w:tcPr>
          <w:p>
            <w:pPr>
              <w:spacing w:after="0"/>
              <w:rPr>
                <w:sz w:val="20"/>
                <w:szCs w:val="20"/>
                <w:color w:val="auto"/>
              </w:rPr>
            </w:pPr>
            <w:r>
              <w:rPr>
                <w:rFonts w:ascii="Arial" w:cs="Arial" w:eastAsia="Arial" w:hAnsi="Arial"/>
                <w:sz w:val="18"/>
                <w:szCs w:val="18"/>
                <w:color w:val="auto"/>
              </w:rPr>
              <w:t>Number of:</w:t>
            </w: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60"/>
              <w:spacing w:after="0"/>
              <w:rPr>
                <w:sz w:val="20"/>
                <w:szCs w:val="20"/>
                <w:color w:val="auto"/>
              </w:rPr>
            </w:pPr>
            <w:r>
              <w:rPr>
                <w:rFonts w:ascii="Arial" w:cs="Arial" w:eastAsia="Arial" w:hAnsi="Arial"/>
                <w:sz w:val="18"/>
                <w:szCs w:val="18"/>
                <w:color w:val="auto"/>
              </w:rPr>
              <w:t>Performing loans (1)</w:t>
            </w:r>
          </w:p>
        </w:tc>
        <w:tc>
          <w:tcPr>
            <w:tcW w:w="2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367,213</w:t>
            </w:r>
          </w:p>
        </w:tc>
        <w:tc>
          <w:tcPr>
            <w:tcW w:w="2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272,656</w:t>
            </w:r>
          </w:p>
        </w:tc>
        <w:tc>
          <w:tcPr>
            <w:tcW w:w="22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261,387</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35%</w:t>
            </w:r>
          </w:p>
        </w:tc>
        <w:tc>
          <w:tcPr>
            <w:tcW w:w="1460" w:type="dxa"/>
            <w:vAlign w:val="bottom"/>
            <w:gridSpan w:val="2"/>
          </w:tcPr>
          <w:p>
            <w:pPr>
              <w:jc w:val="right"/>
              <w:ind w:right="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AF9E8"/>
          </w:tcPr>
          <w:p>
            <w:pPr>
              <w:ind w:left="60"/>
              <w:spacing w:after="0"/>
              <w:rPr>
                <w:sz w:val="20"/>
                <w:szCs w:val="20"/>
                <w:color w:val="auto"/>
              </w:rPr>
            </w:pPr>
            <w:r>
              <w:rPr>
                <w:rFonts w:ascii="Arial" w:cs="Arial" w:eastAsia="Arial" w:hAnsi="Arial"/>
                <w:sz w:val="18"/>
                <w:szCs w:val="18"/>
                <w:color w:val="auto"/>
              </w:rPr>
              <w:t>Non-performing loans</w:t>
            </w:r>
          </w:p>
        </w:tc>
        <w:tc>
          <w:tcPr>
            <w:tcW w:w="20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82,204</w:t>
            </w:r>
          </w:p>
        </w:tc>
        <w:tc>
          <w:tcPr>
            <w:tcW w:w="2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62,717</w:t>
            </w:r>
          </w:p>
        </w:tc>
        <w:tc>
          <w:tcPr>
            <w:tcW w:w="22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47,611</w:t>
            </w:r>
          </w:p>
        </w:tc>
        <w:tc>
          <w:tcPr>
            <w:tcW w:w="124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31</w:t>
            </w:r>
          </w:p>
        </w:tc>
        <w:tc>
          <w:tcPr>
            <w:tcW w:w="1460" w:type="dxa"/>
            <w:vAlign w:val="bottom"/>
            <w:gridSpan w:val="2"/>
            <w:shd w:val="clear" w:color="auto" w:fill="EAF9E8"/>
          </w:tcPr>
          <w:p>
            <w:pPr>
              <w:jc w:val="right"/>
              <w:ind w:right="25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60"/>
              <w:spacing w:after="0"/>
              <w:rPr>
                <w:sz w:val="20"/>
                <w:szCs w:val="20"/>
                <w:color w:val="auto"/>
              </w:rPr>
            </w:pPr>
            <w:r>
              <w:rPr>
                <w:rFonts w:ascii="Arial" w:cs="Arial" w:eastAsia="Arial" w:hAnsi="Arial"/>
                <w:sz w:val="18"/>
                <w:szCs w:val="18"/>
                <w:color w:val="auto"/>
              </w:rPr>
              <w:t>Non-performing real estate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29,748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16,222</w:t>
            </w:r>
          </w:p>
        </w:tc>
        <w:tc>
          <w:tcPr>
            <w:tcW w:w="22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13,517</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83</w:t>
            </w:r>
          </w:p>
        </w:tc>
        <w:tc>
          <w:tcPr>
            <w:tcW w:w="1460" w:type="dxa"/>
            <w:vAlign w:val="bottom"/>
            <w:gridSpan w:val="2"/>
          </w:tcPr>
          <w:p>
            <w:pPr>
              <w:jc w:val="right"/>
              <w:ind w:right="25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1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Total number of residential assets serviced (2)</w:t>
            </w:r>
          </w:p>
        </w:tc>
        <w:tc>
          <w:tcPr>
            <w:tcW w:w="200" w:type="dxa"/>
            <w:vAlign w:val="bottom"/>
            <w:shd w:val="clear" w:color="auto" w:fill="EAF9E8"/>
          </w:tcPr>
          <w:p>
            <w:pPr>
              <w:spacing w:after="0"/>
              <w:rPr>
                <w:sz w:val="22"/>
                <w:szCs w:val="22"/>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479,165</w:t>
            </w:r>
          </w:p>
        </w:tc>
        <w:tc>
          <w:tcPr>
            <w:tcW w:w="38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351,595</w:t>
            </w:r>
          </w:p>
        </w:tc>
        <w:tc>
          <w:tcPr>
            <w:tcW w:w="220" w:type="dxa"/>
            <w:vAlign w:val="bottom"/>
            <w:shd w:val="clear" w:color="auto" w:fill="EAF9E8"/>
          </w:tcPr>
          <w:p>
            <w:pPr>
              <w:spacing w:after="0"/>
              <w:rPr>
                <w:sz w:val="22"/>
                <w:szCs w:val="22"/>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322,515</w:t>
            </w:r>
          </w:p>
        </w:tc>
        <w:tc>
          <w:tcPr>
            <w:tcW w:w="124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36</w:t>
            </w:r>
          </w:p>
        </w:tc>
        <w:tc>
          <w:tcPr>
            <w:tcW w:w="1460" w:type="dxa"/>
            <w:vAlign w:val="bottom"/>
            <w:gridSpan w:val="2"/>
            <w:shd w:val="clear" w:color="auto" w:fill="EAF9E8"/>
          </w:tcPr>
          <w:p>
            <w:pPr>
              <w:jc w:val="right"/>
              <w:ind w:right="2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EAF9E8"/>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80" w:type="dxa"/>
            <w:vAlign w:val="bottom"/>
            <w:tcBorders>
              <w:top w:val="single" w:sz="8" w:color="EAF9E8"/>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8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80" w:type="dxa"/>
            <w:vAlign w:val="bottom"/>
            <w:tcBorders>
              <w:top w:val="single" w:sz="8" w:color="EAF9E8"/>
            </w:tcBorders>
          </w:tcPr>
          <w:p>
            <w:pPr>
              <w:spacing w:after="0"/>
              <w:rPr>
                <w:sz w:val="18"/>
                <w:szCs w:val="18"/>
                <w:color w:val="auto"/>
              </w:rPr>
            </w:pPr>
          </w:p>
        </w:tc>
        <w:tc>
          <w:tcPr>
            <w:tcW w:w="124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124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AF9E8"/>
          </w:tcPr>
          <w:p>
            <w:pPr>
              <w:ind w:left="60"/>
              <w:spacing w:after="0"/>
              <w:rPr>
                <w:sz w:val="20"/>
                <w:szCs w:val="20"/>
                <w:color w:val="auto"/>
              </w:rPr>
            </w:pPr>
            <w:r>
              <w:rPr>
                <w:rFonts w:ascii="Arial" w:cs="Arial" w:eastAsia="Arial" w:hAnsi="Arial"/>
                <w:sz w:val="18"/>
                <w:szCs w:val="18"/>
                <w:color w:val="auto"/>
              </w:rPr>
              <w:t>Average number of residential assets serviced</w:t>
            </w:r>
          </w:p>
        </w:tc>
        <w:tc>
          <w:tcPr>
            <w:tcW w:w="20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401,111</w:t>
            </w:r>
          </w:p>
        </w:tc>
        <w:tc>
          <w:tcPr>
            <w:tcW w:w="2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305,871</w:t>
            </w:r>
          </w:p>
        </w:tc>
        <w:tc>
          <w:tcPr>
            <w:tcW w:w="22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373,416</w:t>
            </w:r>
          </w:p>
        </w:tc>
        <w:tc>
          <w:tcPr>
            <w:tcW w:w="124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31</w:t>
            </w:r>
          </w:p>
        </w:tc>
        <w:tc>
          <w:tcPr>
            <w:tcW w:w="1460" w:type="dxa"/>
            <w:vAlign w:val="bottom"/>
            <w:gridSpan w:val="2"/>
            <w:shd w:val="clear" w:color="auto" w:fill="EAF9E8"/>
          </w:tcPr>
          <w:p>
            <w:pPr>
              <w:jc w:val="right"/>
              <w:ind w:right="19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Percent of total number:</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AF9E8"/>
          </w:tcPr>
          <w:p>
            <w:pPr>
              <w:ind w:left="60"/>
              <w:spacing w:after="0"/>
              <w:rPr>
                <w:sz w:val="20"/>
                <w:szCs w:val="20"/>
                <w:color w:val="auto"/>
              </w:rPr>
            </w:pPr>
            <w:r>
              <w:rPr>
                <w:rFonts w:ascii="Arial" w:cs="Arial" w:eastAsia="Arial" w:hAnsi="Arial"/>
                <w:sz w:val="18"/>
                <w:szCs w:val="18"/>
                <w:color w:val="auto"/>
              </w:rPr>
              <w:t>Servicing portfolio</w:t>
            </w:r>
          </w:p>
        </w:tc>
        <w:tc>
          <w:tcPr>
            <w:tcW w:w="20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68.9%</w:t>
            </w:r>
          </w:p>
        </w:tc>
        <w:tc>
          <w:tcPr>
            <w:tcW w:w="2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55.4%</w:t>
            </w:r>
          </w:p>
        </w:tc>
        <w:tc>
          <w:tcPr>
            <w:tcW w:w="22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67.0%</w:t>
            </w:r>
          </w:p>
        </w:tc>
        <w:tc>
          <w:tcPr>
            <w:tcW w:w="124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24%</w:t>
            </w:r>
          </w:p>
        </w:tc>
        <w:tc>
          <w:tcPr>
            <w:tcW w:w="1460" w:type="dxa"/>
            <w:vAlign w:val="bottom"/>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60"/>
              <w:spacing w:after="0"/>
              <w:rPr>
                <w:sz w:val="20"/>
                <w:szCs w:val="20"/>
                <w:color w:val="auto"/>
              </w:rPr>
            </w:pPr>
            <w:r>
              <w:rPr>
                <w:rFonts w:ascii="Arial" w:cs="Arial" w:eastAsia="Arial" w:hAnsi="Arial"/>
                <w:sz w:val="18"/>
                <w:szCs w:val="18"/>
                <w:color w:val="auto"/>
              </w:rPr>
              <w:t>Subservicing portfolio</w:t>
            </w:r>
          </w:p>
        </w:tc>
        <w:tc>
          <w:tcPr>
            <w:tcW w:w="2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44.6</w:t>
            </w:r>
          </w:p>
        </w:tc>
        <w:tc>
          <w:tcPr>
            <w:tcW w:w="22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33.0</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(30)</w:t>
            </w:r>
          </w:p>
        </w:tc>
        <w:tc>
          <w:tcPr>
            <w:tcW w:w="1460" w:type="dxa"/>
            <w:vAlign w:val="bottom"/>
            <w:gridSpan w:val="2"/>
          </w:tcPr>
          <w:p>
            <w:pPr>
              <w:jc w:val="right"/>
              <w:ind w:right="25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shd w:val="clear" w:color="auto" w:fill="EAF9E8"/>
          </w:tcPr>
          <w:p>
            <w:pPr>
              <w:ind w:left="60"/>
              <w:spacing w:after="0" w:line="201" w:lineRule="exact"/>
              <w:rPr>
                <w:sz w:val="20"/>
                <w:szCs w:val="20"/>
                <w:color w:val="auto"/>
              </w:rPr>
            </w:pPr>
            <w:r>
              <w:rPr>
                <w:rFonts w:ascii="Arial" w:cs="Arial" w:eastAsia="Arial" w:hAnsi="Arial"/>
                <w:sz w:val="18"/>
                <w:szCs w:val="18"/>
                <w:color w:val="auto"/>
                <w:w w:val="95"/>
              </w:rPr>
              <w:t>Non-performing residential assets serviced, excluding</w:t>
            </w:r>
          </w:p>
        </w:tc>
        <w:tc>
          <w:tcPr>
            <w:tcW w:w="20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Freddie Mac (3)</w:t>
            </w:r>
          </w:p>
        </w:tc>
        <w:tc>
          <w:tcPr>
            <w:tcW w:w="200" w:type="dxa"/>
            <w:vAlign w:val="bottom"/>
            <w:shd w:val="clear" w:color="auto" w:fill="EAF9E8"/>
          </w:tcPr>
          <w:p>
            <w:pPr>
              <w:spacing w:after="0"/>
              <w:rPr>
                <w:sz w:val="20"/>
                <w:szCs w:val="20"/>
                <w:color w:val="auto"/>
              </w:rPr>
            </w:pPr>
          </w:p>
        </w:tc>
        <w:tc>
          <w:tcPr>
            <w:tcW w:w="13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20.9%</w:t>
            </w:r>
          </w:p>
        </w:tc>
        <w:tc>
          <w:tcPr>
            <w:tcW w:w="200" w:type="dxa"/>
            <w:vAlign w:val="bottom"/>
            <w:shd w:val="clear" w:color="auto" w:fill="EAF9E8"/>
          </w:tcPr>
          <w:p>
            <w:pPr>
              <w:spacing w:after="0"/>
              <w:rPr>
                <w:sz w:val="20"/>
                <w:szCs w:val="20"/>
                <w:color w:val="auto"/>
              </w:rPr>
            </w:pP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EAF9E8"/>
          </w:tcPr>
          <w:p>
            <w:pPr>
              <w:spacing w:after="0"/>
              <w:rPr>
                <w:sz w:val="20"/>
                <w:szCs w:val="20"/>
                <w:color w:val="auto"/>
              </w:rPr>
            </w:pP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19.0%</w:t>
            </w:r>
          </w:p>
        </w:tc>
        <w:tc>
          <w:tcPr>
            <w:tcW w:w="124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11</w:t>
            </w:r>
          </w:p>
        </w:tc>
        <w:tc>
          <w:tcPr>
            <w:tcW w:w="1460" w:type="dxa"/>
            <w:vAlign w:val="bottom"/>
            <w:gridSpan w:val="2"/>
            <w:shd w:val="clear" w:color="auto" w:fill="EAF9E8"/>
          </w:tcPr>
          <w:p>
            <w:pPr>
              <w:jc w:val="right"/>
              <w:ind w:right="1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Residential Servicing and Subservicing Fees</w:t>
            </w: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60"/>
              <w:spacing w:after="0"/>
              <w:rPr>
                <w:sz w:val="20"/>
                <w:szCs w:val="20"/>
                <w:color w:val="auto"/>
              </w:rPr>
            </w:pPr>
            <w:r>
              <w:rPr>
                <w:rFonts w:ascii="Arial" w:cs="Arial" w:eastAsia="Arial" w:hAnsi="Arial"/>
                <w:sz w:val="18"/>
                <w:szCs w:val="18"/>
                <w:color w:val="auto"/>
              </w:rPr>
              <w:t>Loan servicing and subservicing</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225,446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175,257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213,333</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29%</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AF9E8"/>
          </w:tcPr>
          <w:p>
            <w:pPr>
              <w:ind w:left="60"/>
              <w:spacing w:after="0"/>
              <w:rPr>
                <w:sz w:val="20"/>
                <w:szCs w:val="20"/>
                <w:color w:val="auto"/>
              </w:rPr>
            </w:pPr>
            <w:r>
              <w:rPr>
                <w:rFonts w:ascii="Arial" w:cs="Arial" w:eastAsia="Arial" w:hAnsi="Arial"/>
                <w:sz w:val="18"/>
                <w:szCs w:val="18"/>
                <w:color w:val="auto"/>
              </w:rPr>
              <w:t>Late charges</w:t>
            </w:r>
          </w:p>
        </w:tc>
        <w:tc>
          <w:tcPr>
            <w:tcW w:w="20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32,754</w:t>
            </w:r>
          </w:p>
        </w:tc>
        <w:tc>
          <w:tcPr>
            <w:tcW w:w="2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28,290</w:t>
            </w:r>
          </w:p>
        </w:tc>
        <w:tc>
          <w:tcPr>
            <w:tcW w:w="22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45,983</w:t>
            </w:r>
          </w:p>
        </w:tc>
        <w:tc>
          <w:tcPr>
            <w:tcW w:w="124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16</w:t>
            </w:r>
          </w:p>
        </w:tc>
        <w:tc>
          <w:tcPr>
            <w:tcW w:w="1460" w:type="dxa"/>
            <w:vAlign w:val="bottom"/>
            <w:gridSpan w:val="2"/>
            <w:shd w:val="clear" w:color="auto" w:fill="EAF9E8"/>
          </w:tcPr>
          <w:p>
            <w:pPr>
              <w:jc w:val="right"/>
              <w:ind w:right="19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60"/>
              <w:spacing w:after="0"/>
              <w:rPr>
                <w:sz w:val="20"/>
                <w:szCs w:val="20"/>
                <w:color w:val="auto"/>
              </w:rPr>
            </w:pPr>
            <w:r>
              <w:rPr>
                <w:rFonts w:ascii="Arial" w:cs="Arial" w:eastAsia="Arial" w:hAnsi="Arial"/>
                <w:sz w:val="18"/>
                <w:szCs w:val="18"/>
                <w:color w:val="auto"/>
              </w:rPr>
              <w:t>HAMP fees</w:t>
            </w:r>
          </w:p>
        </w:tc>
        <w:tc>
          <w:tcPr>
            <w:tcW w:w="2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32,363</w:t>
            </w:r>
          </w:p>
        </w:tc>
        <w:tc>
          <w:tcPr>
            <w:tcW w:w="2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5,581</w:t>
            </w:r>
          </w:p>
        </w:tc>
        <w:tc>
          <w:tcPr>
            <w:tcW w:w="22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480</w:t>
            </w:r>
          </w:p>
        </w:tc>
        <w:tc>
          <w:tcPr>
            <w:tcW w:w="220" w:type="dxa"/>
            <w:vAlign w:val="bottom"/>
          </w:tcPr>
          <w:p>
            <w:pPr>
              <w:spacing w:after="0"/>
              <w:rPr>
                <w:sz w:val="18"/>
                <w:szCs w:val="18"/>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AF9E8"/>
          </w:tcPr>
          <w:p>
            <w:pPr>
              <w:ind w:left="60"/>
              <w:spacing w:after="0"/>
              <w:rPr>
                <w:sz w:val="20"/>
                <w:szCs w:val="20"/>
                <w:color w:val="auto"/>
              </w:rPr>
            </w:pPr>
            <w:r>
              <w:rPr>
                <w:rFonts w:ascii="Arial" w:cs="Arial" w:eastAsia="Arial" w:hAnsi="Arial"/>
                <w:sz w:val="18"/>
                <w:szCs w:val="18"/>
                <w:color w:val="auto"/>
              </w:rPr>
              <w:t>Loan collection fees</w:t>
            </w:r>
          </w:p>
        </w:tc>
        <w:tc>
          <w:tcPr>
            <w:tcW w:w="20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8,958</w:t>
            </w:r>
          </w:p>
        </w:tc>
        <w:tc>
          <w:tcPr>
            <w:tcW w:w="2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7,499</w:t>
            </w:r>
          </w:p>
        </w:tc>
        <w:tc>
          <w:tcPr>
            <w:tcW w:w="22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9,974</w:t>
            </w:r>
          </w:p>
        </w:tc>
        <w:tc>
          <w:tcPr>
            <w:tcW w:w="124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19</w:t>
            </w:r>
          </w:p>
        </w:tc>
        <w:tc>
          <w:tcPr>
            <w:tcW w:w="1460" w:type="dxa"/>
            <w:vAlign w:val="bottom"/>
            <w:gridSpan w:val="2"/>
            <w:shd w:val="clear" w:color="auto" w:fill="EAF9E8"/>
          </w:tcPr>
          <w:p>
            <w:pPr>
              <w:jc w:val="right"/>
              <w:ind w:right="19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60"/>
              <w:spacing w:after="0"/>
              <w:rPr>
                <w:sz w:val="20"/>
                <w:szCs w:val="20"/>
                <w:color w:val="auto"/>
              </w:rPr>
            </w:pPr>
            <w:r>
              <w:rPr>
                <w:rFonts w:ascii="Arial" w:cs="Arial" w:eastAsia="Arial" w:hAnsi="Arial"/>
                <w:sz w:val="18"/>
                <w:szCs w:val="18"/>
                <w:color w:val="auto"/>
              </w:rPr>
              <w:t>Custodial accounts (float earnings)</w:t>
            </w:r>
          </w:p>
        </w:tc>
        <w:tc>
          <w:tcPr>
            <w:tcW w:w="2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2,843</w:t>
            </w:r>
          </w:p>
        </w:tc>
        <w:tc>
          <w:tcPr>
            <w:tcW w:w="2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4,802</w:t>
            </w:r>
          </w:p>
        </w:tc>
        <w:tc>
          <w:tcPr>
            <w:tcW w:w="22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11,005</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(41)</w:t>
            </w:r>
          </w:p>
        </w:tc>
        <w:tc>
          <w:tcPr>
            <w:tcW w:w="1460" w:type="dxa"/>
            <w:vAlign w:val="bottom"/>
            <w:gridSpan w:val="2"/>
          </w:tcPr>
          <w:p>
            <w:pPr>
              <w:jc w:val="right"/>
              <w:ind w:right="19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AF9E8"/>
          </w:tcPr>
          <w:p>
            <w:pPr>
              <w:ind w:left="6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16,926</w:t>
            </w:r>
          </w:p>
        </w:tc>
        <w:tc>
          <w:tcPr>
            <w:tcW w:w="3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10,286</w:t>
            </w:r>
          </w:p>
        </w:tc>
        <w:tc>
          <w:tcPr>
            <w:tcW w:w="22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23,595</w:t>
            </w:r>
          </w:p>
        </w:tc>
        <w:tc>
          <w:tcPr>
            <w:tcW w:w="124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65</w:t>
            </w:r>
          </w:p>
        </w:tc>
        <w:tc>
          <w:tcPr>
            <w:tcW w:w="1460" w:type="dxa"/>
            <w:vAlign w:val="bottom"/>
            <w:gridSpan w:val="2"/>
            <w:shd w:val="clear" w:color="auto" w:fill="EAF9E8"/>
          </w:tcPr>
          <w:p>
            <w:pPr>
              <w:jc w:val="right"/>
              <w:ind w:right="19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319,290</w:t>
            </w:r>
          </w:p>
        </w:tc>
        <w:tc>
          <w:tcPr>
            <w:tcW w:w="3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231,715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303,890</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38</w:t>
            </w:r>
          </w:p>
        </w:tc>
        <w:tc>
          <w:tcPr>
            <w:tcW w:w="1460" w:type="dxa"/>
            <w:vAlign w:val="bottom"/>
            <w:gridSpan w:val="2"/>
          </w:tcPr>
          <w:p>
            <w:pPr>
              <w:jc w:val="right"/>
              <w:ind w:right="19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b w:val="1"/>
                <w:bCs w:val="1"/>
                <w:color w:val="auto"/>
              </w:rPr>
              <w:t>Financing Costs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shd w:val="clear" w:color="auto" w:fill="EAF9E8"/>
          </w:tcPr>
          <w:p>
            <w:pPr>
              <w:ind w:left="60"/>
              <w:spacing w:after="0" w:line="201" w:lineRule="exact"/>
              <w:rPr>
                <w:sz w:val="20"/>
                <w:szCs w:val="20"/>
                <w:color w:val="auto"/>
              </w:rPr>
            </w:pPr>
            <w:r>
              <w:rPr>
                <w:rFonts w:ascii="Arial" w:cs="Arial" w:eastAsia="Arial" w:hAnsi="Arial"/>
                <w:sz w:val="18"/>
                <w:szCs w:val="18"/>
                <w:color w:val="auto"/>
              </w:rPr>
              <w:t>Average balance of advances and match funded</w:t>
            </w:r>
          </w:p>
        </w:tc>
        <w:tc>
          <w:tcPr>
            <w:tcW w:w="20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advances</w:t>
            </w:r>
          </w:p>
        </w:tc>
        <w:tc>
          <w:tcPr>
            <w:tcW w:w="2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1,484,417</w:t>
            </w:r>
          </w:p>
        </w:tc>
        <w:tc>
          <w:tcPr>
            <w:tcW w:w="200" w:type="dxa"/>
            <w:vAlign w:val="bottom"/>
            <w:shd w:val="clear" w:color="auto" w:fill="EAF9E8"/>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1,042,044</w:t>
            </w:r>
          </w:p>
        </w:tc>
        <w:tc>
          <w:tcPr>
            <w:tcW w:w="2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1,251,388</w:t>
            </w:r>
          </w:p>
        </w:tc>
        <w:tc>
          <w:tcPr>
            <w:tcW w:w="124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42%</w:t>
            </w:r>
          </w:p>
        </w:tc>
        <w:tc>
          <w:tcPr>
            <w:tcW w:w="1460" w:type="dxa"/>
            <w:vAlign w:val="bottom"/>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60"/>
              <w:spacing w:after="0"/>
              <w:rPr>
                <w:sz w:val="20"/>
                <w:szCs w:val="20"/>
                <w:color w:val="auto"/>
              </w:rPr>
            </w:pPr>
            <w:r>
              <w:rPr>
                <w:rFonts w:ascii="Arial" w:cs="Arial" w:eastAsia="Arial" w:hAnsi="Arial"/>
                <w:sz w:val="18"/>
                <w:szCs w:val="18"/>
                <w:color w:val="auto"/>
              </w:rPr>
              <w:t>Average borrowings</w:t>
            </w:r>
          </w:p>
        </w:tc>
        <w:tc>
          <w:tcPr>
            <w:tcW w:w="2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1,074,215</w:t>
            </w:r>
          </w:p>
        </w:tc>
        <w:tc>
          <w:tcPr>
            <w:tcW w:w="2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728,217</w:t>
            </w:r>
          </w:p>
        </w:tc>
        <w:tc>
          <w:tcPr>
            <w:tcW w:w="22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1,119,569</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48</w:t>
            </w:r>
          </w:p>
        </w:tc>
        <w:tc>
          <w:tcPr>
            <w:tcW w:w="1460" w:type="dxa"/>
            <w:vAlign w:val="bottom"/>
            <w:gridSpan w:val="2"/>
          </w:tcPr>
          <w:p>
            <w:pPr>
              <w:jc w:val="right"/>
              <w:ind w:right="19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AF9E8"/>
          </w:tcPr>
          <w:p>
            <w:pPr>
              <w:ind w:left="60"/>
              <w:spacing w:after="0"/>
              <w:rPr>
                <w:sz w:val="20"/>
                <w:szCs w:val="20"/>
                <w:color w:val="auto"/>
              </w:rPr>
            </w:pPr>
            <w:r>
              <w:rPr>
                <w:rFonts w:ascii="Arial" w:cs="Arial" w:eastAsia="Arial" w:hAnsi="Arial"/>
                <w:sz w:val="18"/>
                <w:szCs w:val="18"/>
                <w:color w:val="auto"/>
              </w:rPr>
              <w:t>Interest expense on borrowings</w:t>
            </w:r>
          </w:p>
        </w:tc>
        <w:tc>
          <w:tcPr>
            <w:tcW w:w="20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75,964</w:t>
            </w:r>
          </w:p>
        </w:tc>
        <w:tc>
          <w:tcPr>
            <w:tcW w:w="2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51,247</w:t>
            </w:r>
          </w:p>
        </w:tc>
        <w:tc>
          <w:tcPr>
            <w:tcW w:w="22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67,516</w:t>
            </w:r>
          </w:p>
        </w:tc>
        <w:tc>
          <w:tcPr>
            <w:tcW w:w="124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48</w:t>
            </w:r>
          </w:p>
        </w:tc>
        <w:tc>
          <w:tcPr>
            <w:tcW w:w="1460" w:type="dxa"/>
            <w:vAlign w:val="bottom"/>
            <w:gridSpan w:val="2"/>
            <w:shd w:val="clear" w:color="auto" w:fill="EAF9E8"/>
          </w:tcPr>
          <w:p>
            <w:pPr>
              <w:jc w:val="right"/>
              <w:ind w:right="19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60"/>
              <w:spacing w:after="0"/>
              <w:rPr>
                <w:sz w:val="20"/>
                <w:szCs w:val="20"/>
                <w:color w:val="auto"/>
              </w:rPr>
            </w:pPr>
            <w:r>
              <w:rPr>
                <w:rFonts w:ascii="Arial" w:cs="Arial" w:eastAsia="Arial" w:hAnsi="Arial"/>
                <w:sz w:val="18"/>
                <w:szCs w:val="18"/>
                <w:color w:val="auto"/>
              </w:rPr>
              <w:t>Facility costs included in interest expense</w:t>
            </w:r>
          </w:p>
        </w:tc>
        <w:tc>
          <w:tcPr>
            <w:tcW w:w="2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20,476</w:t>
            </w:r>
          </w:p>
        </w:tc>
        <w:tc>
          <w:tcPr>
            <w:tcW w:w="2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25,530</w:t>
            </w:r>
          </w:p>
        </w:tc>
        <w:tc>
          <w:tcPr>
            <w:tcW w:w="22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12,586</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(20)</w:t>
            </w:r>
          </w:p>
        </w:tc>
        <w:tc>
          <w:tcPr>
            <w:tcW w:w="1460" w:type="dxa"/>
            <w:vAlign w:val="bottom"/>
            <w:gridSpan w:val="2"/>
          </w:tcPr>
          <w:p>
            <w:pPr>
              <w:jc w:val="right"/>
              <w:ind w:right="25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AF9E8"/>
          </w:tcPr>
          <w:p>
            <w:pPr>
              <w:ind w:left="60"/>
              <w:spacing w:after="0"/>
              <w:rPr>
                <w:sz w:val="20"/>
                <w:szCs w:val="20"/>
                <w:color w:val="auto"/>
              </w:rPr>
            </w:pPr>
            <w:r>
              <w:rPr>
                <w:rFonts w:ascii="Arial" w:cs="Arial" w:eastAsia="Arial" w:hAnsi="Arial"/>
                <w:sz w:val="18"/>
                <w:szCs w:val="18"/>
                <w:color w:val="auto"/>
              </w:rPr>
              <w:t>Effective average interest rate</w:t>
            </w:r>
          </w:p>
        </w:tc>
        <w:tc>
          <w:tcPr>
            <w:tcW w:w="20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7.07%</w:t>
            </w:r>
          </w:p>
        </w:tc>
        <w:tc>
          <w:tcPr>
            <w:tcW w:w="2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7.04%</w:t>
            </w:r>
          </w:p>
        </w:tc>
        <w:tc>
          <w:tcPr>
            <w:tcW w:w="22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6.03%</w:t>
            </w:r>
          </w:p>
        </w:tc>
        <w:tc>
          <w:tcPr>
            <w:tcW w:w="124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AF9E8"/>
          </w:tcPr>
          <w:p>
            <w:pPr>
              <w:jc w:val="right"/>
              <w:ind w:right="25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60"/>
              <w:spacing w:after="0"/>
              <w:rPr>
                <w:sz w:val="20"/>
                <w:szCs w:val="20"/>
                <w:color w:val="auto"/>
              </w:rPr>
            </w:pPr>
            <w:r>
              <w:rPr>
                <w:rFonts w:ascii="Arial" w:cs="Arial" w:eastAsia="Arial" w:hAnsi="Arial"/>
                <w:sz w:val="18"/>
                <w:szCs w:val="18"/>
                <w:color w:val="auto"/>
              </w:rPr>
              <w:t>Average 1-month LIBOR</w:t>
            </w: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0.27%</w:t>
            </w:r>
          </w:p>
        </w:tc>
        <w:tc>
          <w:tcPr>
            <w:tcW w:w="2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0.33%</w:t>
            </w:r>
          </w:p>
        </w:tc>
        <w:tc>
          <w:tcPr>
            <w:tcW w:w="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2.67%</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(18)</w:t>
            </w:r>
          </w:p>
        </w:tc>
        <w:tc>
          <w:tcPr>
            <w:tcW w:w="1460" w:type="dxa"/>
            <w:vAlign w:val="bottom"/>
            <w:gridSpan w:val="2"/>
          </w:tcPr>
          <w:p>
            <w:pPr>
              <w:jc w:val="right"/>
              <w:ind w:right="19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b w:val="1"/>
                <w:bCs w:val="1"/>
                <w:color w:val="auto"/>
              </w:rPr>
              <w:t>Average Employment</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AF9E8"/>
          </w:tcPr>
          <w:p>
            <w:pPr>
              <w:spacing w:after="0"/>
              <w:rPr>
                <w:sz w:val="20"/>
                <w:szCs w:val="20"/>
                <w:color w:val="auto"/>
              </w:rPr>
            </w:pPr>
            <w:r>
              <w:rPr>
                <w:rFonts w:ascii="Arial" w:cs="Arial" w:eastAsia="Arial" w:hAnsi="Arial"/>
                <w:sz w:val="18"/>
                <w:szCs w:val="18"/>
                <w:color w:val="auto"/>
              </w:rPr>
              <w:t>India and other</w:t>
            </w:r>
          </w:p>
        </w:tc>
        <w:tc>
          <w:tcPr>
            <w:tcW w:w="20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1,650</w:t>
            </w:r>
          </w:p>
        </w:tc>
        <w:tc>
          <w:tcPr>
            <w:tcW w:w="2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1,134</w:t>
            </w:r>
          </w:p>
        </w:tc>
        <w:tc>
          <w:tcPr>
            <w:tcW w:w="22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1,135</w:t>
            </w:r>
          </w:p>
        </w:tc>
        <w:tc>
          <w:tcPr>
            <w:tcW w:w="124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46%</w:t>
            </w:r>
          </w:p>
        </w:tc>
        <w:tc>
          <w:tcPr>
            <w:tcW w:w="220" w:type="dxa"/>
            <w:vAlign w:val="bottom"/>
            <w:shd w:val="clear" w:color="auto" w:fill="EAF9E8"/>
          </w:tcPr>
          <w:p>
            <w:pPr>
              <w:spacing w:after="0"/>
              <w:rPr>
                <w:sz w:val="18"/>
                <w:szCs w:val="18"/>
                <w:color w:val="auto"/>
              </w:rPr>
            </w:pPr>
          </w:p>
        </w:tc>
        <w:tc>
          <w:tcPr>
            <w:tcW w:w="124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United States (4)</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287</w:t>
            </w:r>
          </w:p>
        </w:tc>
        <w:tc>
          <w:tcPr>
            <w:tcW w:w="22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442</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(21)</w:t>
            </w:r>
          </w:p>
        </w:tc>
        <w:tc>
          <w:tcPr>
            <w:tcW w:w="1460" w:type="dxa"/>
            <w:vAlign w:val="bottom"/>
            <w:gridSpan w:val="2"/>
          </w:tcPr>
          <w:p>
            <w:pPr>
              <w:jc w:val="right"/>
              <w:ind w:right="19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160" w:type="dxa"/>
            <w:vAlign w:val="bottom"/>
            <w:shd w:val="clear" w:color="auto" w:fill="EAF9E8"/>
          </w:tcPr>
          <w:p>
            <w:pPr>
              <w:ind w:left="6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EAF9E8"/>
          </w:tcPr>
          <w:p>
            <w:pPr>
              <w:spacing w:after="0"/>
              <w:rPr>
                <w:sz w:val="22"/>
                <w:szCs w:val="22"/>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1,878</w:t>
            </w:r>
          </w:p>
        </w:tc>
        <w:tc>
          <w:tcPr>
            <w:tcW w:w="38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1,421</w:t>
            </w:r>
          </w:p>
        </w:tc>
        <w:tc>
          <w:tcPr>
            <w:tcW w:w="220" w:type="dxa"/>
            <w:vAlign w:val="bottom"/>
            <w:shd w:val="clear" w:color="auto" w:fill="EAF9E8"/>
          </w:tcPr>
          <w:p>
            <w:pPr>
              <w:spacing w:after="0"/>
              <w:rPr>
                <w:sz w:val="22"/>
                <w:szCs w:val="22"/>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1,577</w:t>
            </w:r>
          </w:p>
        </w:tc>
        <w:tc>
          <w:tcPr>
            <w:tcW w:w="124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32</w:t>
            </w:r>
          </w:p>
        </w:tc>
        <w:tc>
          <w:tcPr>
            <w:tcW w:w="1460" w:type="dxa"/>
            <w:vAlign w:val="bottom"/>
            <w:gridSpan w:val="2"/>
            <w:shd w:val="clear" w:color="auto" w:fill="EAF9E8"/>
          </w:tcPr>
          <w:p>
            <w:pPr>
              <w:jc w:val="right"/>
              <w:ind w:right="19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Borders>
              <w:top w:val="single" w:sz="8" w:color="EAF9E8"/>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80" w:type="dxa"/>
            <w:vAlign w:val="bottom"/>
            <w:tcBorders>
              <w:top w:val="single" w:sz="8" w:color="EAF9E8"/>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8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80" w:type="dxa"/>
            <w:vAlign w:val="bottom"/>
            <w:tcBorders>
              <w:top w:val="single" w:sz="8" w:color="EAF9E8"/>
            </w:tcBorders>
          </w:tcPr>
          <w:p>
            <w:pPr>
              <w:spacing w:after="0"/>
              <w:rPr>
                <w:sz w:val="18"/>
                <w:szCs w:val="18"/>
                <w:color w:val="auto"/>
              </w:rPr>
            </w:pPr>
          </w:p>
        </w:tc>
        <w:tc>
          <w:tcPr>
            <w:tcW w:w="124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124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EAF9E8"/>
          </w:tcPr>
          <w:p>
            <w:pPr>
              <w:spacing w:after="0"/>
              <w:rPr>
                <w:sz w:val="20"/>
                <w:szCs w:val="20"/>
                <w:color w:val="auto"/>
              </w:rPr>
            </w:pPr>
            <w:r>
              <w:rPr>
                <w:rFonts w:ascii="Arial" w:cs="Arial" w:eastAsia="Arial" w:hAnsi="Arial"/>
                <w:sz w:val="18"/>
                <w:szCs w:val="18"/>
                <w:color w:val="auto"/>
              </w:rPr>
              <w:t>Collections on loans serviced for others</w:t>
            </w:r>
          </w:p>
        </w:tc>
        <w:tc>
          <w:tcPr>
            <w:tcW w:w="2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5,379,326</w:t>
            </w:r>
          </w:p>
        </w:tc>
        <w:tc>
          <w:tcPr>
            <w:tcW w:w="200" w:type="dxa"/>
            <w:vAlign w:val="bottom"/>
            <w:shd w:val="clear" w:color="auto" w:fill="EAF9E8"/>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6,593,399</w:t>
            </w:r>
          </w:p>
        </w:tc>
        <w:tc>
          <w:tcPr>
            <w:tcW w:w="2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w w:val="99"/>
              </w:rPr>
              <w:t>10,683,541</w:t>
            </w:r>
          </w:p>
        </w:tc>
        <w:tc>
          <w:tcPr>
            <w:tcW w:w="12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(18)%</w:t>
            </w:r>
          </w:p>
        </w:tc>
        <w:tc>
          <w:tcPr>
            <w:tcW w:w="1460" w:type="dxa"/>
            <w:vAlign w:val="bottom"/>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80" w:right="160" w:hanging="572"/>
        <w:spacing w:after="0" w:line="264"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Performing loans include those loans that are current or have been delinquent for less than 90 days in accordance with their original terms and those loans for which borrowers are making scheduled payments under loan modification, forbearance or bankruptcy plans. We consider all other loans to be non-performing.</w:t>
      </w:r>
    </w:p>
    <w:p>
      <w:pPr>
        <w:spacing w:after="0" w:line="181" w:lineRule="exact"/>
        <w:rPr>
          <w:rFonts w:ascii="Arial" w:cs="Arial" w:eastAsia="Arial" w:hAnsi="Arial"/>
          <w:sz w:val="18"/>
          <w:szCs w:val="18"/>
          <w:color w:val="auto"/>
        </w:rPr>
      </w:pPr>
    </w:p>
    <w:p>
      <w:pPr>
        <w:ind w:left="580" w:right="20" w:hanging="572"/>
        <w:spacing w:after="0" w:line="264"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Subprime loans represents the largest category, or strata, of residential loans we service. At December 31, 2010, we serviced 360,317 subprime loans with a UPB of $56,530,714. This compares to 243,593 subprime loans with a UPB of $35,682,666 at December 31, 2009 and 227,929 subprime loans with a UPB of $32,776,696 at December 31, 2008.</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356" w:gutter="0" w:footer="0" w:header="0"/>
        </w:sectPr>
      </w:pPr>
    </w:p>
    <w:bookmarkStart w:id="38" w:name="page39"/>
    <w:bookmarkEnd w:id="38"/>
    <w:p>
      <w:pPr>
        <w:ind w:left="580" w:right="200" w:hanging="572"/>
        <w:spacing w:after="0" w:line="277"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Excluding the HomEq and Saxon portfolios acquired in 2010, the UPB and number of non-performing residential assets serviced as a percentage of the total portfolio were 25.5% and 18.7%, respectively, at December 31, 2010.</w:t>
      </w:r>
    </w:p>
    <w:p>
      <w:pPr>
        <w:spacing w:after="0" w:line="170" w:lineRule="exact"/>
        <w:rPr>
          <w:rFonts w:ascii="Arial" w:cs="Arial" w:eastAsia="Arial" w:hAnsi="Arial"/>
          <w:sz w:val="18"/>
          <w:szCs w:val="18"/>
          <w:color w:val="auto"/>
        </w:rPr>
      </w:pPr>
    </w:p>
    <w:p>
      <w:pPr>
        <w:ind w:left="580" w:right="100" w:hanging="572"/>
        <w:spacing w:after="0" w:line="342" w:lineRule="auto"/>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Does not include 1,158 employees transferred to Ocwen as a result of the HomEq Acquisition, all of whom have since been terminated. Newly-hired Ocwen employees in the United States, India and Uruguay are now supporting the servicing related duties for the loans acquired from HomEq.</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provides information regarding the changes in the UPB of our portfolio of residential assets serviced: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Amount of UPB</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8"/>
                <w:szCs w:val="18"/>
                <w:b w:val="1"/>
                <w:bCs w:val="1"/>
                <w:color w:val="auto"/>
              </w:rPr>
              <w:t>Count</w:t>
            </w:r>
          </w:p>
        </w:tc>
        <w:tc>
          <w:tcPr>
            <w:tcW w:w="1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19"/>
                <w:szCs w:val="19"/>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9"/>
                <w:szCs w:val="19"/>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EAF9E8"/>
          </w:tcPr>
          <w:p>
            <w:pPr>
              <w:spacing w:after="0"/>
              <w:rPr>
                <w:sz w:val="20"/>
                <w:szCs w:val="20"/>
                <w:color w:val="auto"/>
              </w:rPr>
            </w:pPr>
            <w:r>
              <w:rPr>
                <w:rFonts w:ascii="Arial" w:cs="Arial" w:eastAsia="Arial" w:hAnsi="Arial"/>
                <w:sz w:val="18"/>
                <w:szCs w:val="18"/>
                <w:color w:val="auto"/>
              </w:rPr>
              <w:t>Portfolio at beginning of year</w:t>
            </w:r>
          </w:p>
        </w:tc>
        <w:tc>
          <w:tcPr>
            <w:tcW w:w="280" w:type="dxa"/>
            <w:vAlign w:val="bottom"/>
            <w:shd w:val="clear" w:color="auto" w:fill="EAF9E8"/>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EAF9E8"/>
          </w:tcPr>
          <w:p>
            <w:pPr>
              <w:ind w:left="180"/>
              <w:spacing w:after="0"/>
              <w:rPr>
                <w:sz w:val="20"/>
                <w:szCs w:val="20"/>
                <w:color w:val="auto"/>
              </w:rPr>
            </w:pPr>
            <w:r>
              <w:rPr>
                <w:rFonts w:ascii="Arial" w:cs="Arial" w:eastAsia="Arial" w:hAnsi="Arial"/>
                <w:sz w:val="18"/>
                <w:szCs w:val="18"/>
                <w:color w:val="auto"/>
                <w:w w:val="86"/>
              </w:rPr>
              <w:t>49,980,077</w:t>
            </w: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40,171,532</w:t>
            </w:r>
          </w:p>
        </w:tc>
        <w:tc>
          <w:tcPr>
            <w:tcW w:w="3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53,545,985</w:t>
            </w: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351,595</w:t>
            </w:r>
          </w:p>
        </w:tc>
        <w:tc>
          <w:tcPr>
            <w:tcW w:w="1720" w:type="dxa"/>
            <w:vAlign w:val="bottom"/>
            <w:gridSpan w:val="3"/>
            <w:shd w:val="clear" w:color="auto" w:fill="EAF9E8"/>
          </w:tcPr>
          <w:p>
            <w:pPr>
              <w:jc w:val="right"/>
              <w:ind w:right="320"/>
              <w:spacing w:after="0"/>
              <w:rPr>
                <w:sz w:val="20"/>
                <w:szCs w:val="20"/>
                <w:color w:val="auto"/>
              </w:rPr>
            </w:pPr>
            <w:r>
              <w:rPr>
                <w:rFonts w:ascii="Arial" w:cs="Arial" w:eastAsia="Arial" w:hAnsi="Arial"/>
                <w:sz w:val="18"/>
                <w:szCs w:val="18"/>
                <w:color w:val="auto"/>
              </w:rPr>
              <w:t>322,515</w:t>
            </w: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435,616</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18"/>
                <w:szCs w:val="18"/>
                <w:color w:val="auto"/>
              </w:rPr>
            </w:pPr>
          </w:p>
        </w:tc>
        <w:tc>
          <w:tcPr>
            <w:tcW w:w="980" w:type="dxa"/>
            <w:vAlign w:val="bottom"/>
          </w:tcPr>
          <w:p>
            <w:pPr>
              <w:ind w:left="180"/>
              <w:spacing w:after="0"/>
              <w:rPr>
                <w:sz w:val="20"/>
                <w:szCs w:val="20"/>
                <w:color w:val="auto"/>
              </w:rPr>
            </w:pPr>
            <w:r>
              <w:rPr>
                <w:rFonts w:ascii="Arial" w:cs="Arial" w:eastAsia="Arial" w:hAnsi="Arial"/>
                <w:sz w:val="18"/>
                <w:szCs w:val="18"/>
                <w:color w:val="auto"/>
                <w:w w:val="86"/>
              </w:rPr>
              <w:t>32,245,470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18,821,679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1,597,351</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186,300</w:t>
            </w:r>
          </w:p>
        </w:tc>
        <w:tc>
          <w:tcPr>
            <w:tcW w:w="1720" w:type="dxa"/>
            <w:vAlign w:val="bottom"/>
            <w:gridSpan w:val="3"/>
          </w:tcPr>
          <w:p>
            <w:pPr>
              <w:jc w:val="right"/>
              <w:ind w:right="320"/>
              <w:spacing w:after="0"/>
              <w:rPr>
                <w:sz w:val="20"/>
                <w:szCs w:val="20"/>
                <w:color w:val="auto"/>
              </w:rPr>
            </w:pPr>
            <w:r>
              <w:rPr>
                <w:rFonts w:ascii="Arial" w:cs="Arial" w:eastAsia="Arial" w:hAnsi="Arial"/>
                <w:sz w:val="18"/>
                <w:szCs w:val="18"/>
                <w:color w:val="auto"/>
              </w:rPr>
              <w:t>101,622</w:t>
            </w:r>
          </w:p>
        </w:tc>
        <w:tc>
          <w:tcPr>
            <w:tcW w:w="1200" w:type="dxa"/>
            <w:vAlign w:val="bottom"/>
          </w:tcPr>
          <w:p>
            <w:pPr>
              <w:jc w:val="right"/>
              <w:spacing w:after="0"/>
              <w:rPr>
                <w:sz w:val="20"/>
                <w:szCs w:val="20"/>
                <w:color w:val="auto"/>
              </w:rPr>
            </w:pPr>
            <w:r>
              <w:rPr>
                <w:rFonts w:ascii="Arial" w:cs="Arial" w:eastAsia="Arial" w:hAnsi="Arial"/>
                <w:sz w:val="18"/>
                <w:szCs w:val="18"/>
                <w:color w:val="auto"/>
              </w:rPr>
              <w:t>9,769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EAF9E8"/>
          </w:tcPr>
          <w:p>
            <w:pPr>
              <w:spacing w:after="0"/>
              <w:rPr>
                <w:sz w:val="20"/>
                <w:szCs w:val="20"/>
                <w:color w:val="auto"/>
              </w:rPr>
            </w:pPr>
            <w:r>
              <w:rPr>
                <w:rFonts w:ascii="Arial" w:cs="Arial" w:eastAsia="Arial" w:hAnsi="Arial"/>
                <w:sz w:val="18"/>
                <w:szCs w:val="18"/>
                <w:color w:val="auto"/>
              </w:rPr>
              <w:t>Runoff</w:t>
            </w:r>
          </w:p>
        </w:tc>
        <w:tc>
          <w:tcPr>
            <w:tcW w:w="2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(8,339,156)</w:t>
            </w:r>
          </w:p>
        </w:tc>
        <w:tc>
          <w:tcPr>
            <w:tcW w:w="26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(9,013,134)</w:t>
            </w:r>
          </w:p>
        </w:tc>
        <w:tc>
          <w:tcPr>
            <w:tcW w:w="1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(14,971,804)</w:t>
            </w:r>
          </w:p>
        </w:tc>
        <w:tc>
          <w:tcPr>
            <w:tcW w:w="11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(58,730)</w:t>
            </w:r>
          </w:p>
        </w:tc>
        <w:tc>
          <w:tcPr>
            <w:tcW w:w="1720" w:type="dxa"/>
            <w:vAlign w:val="bottom"/>
            <w:gridSpan w:val="3"/>
            <w:shd w:val="clear" w:color="auto" w:fill="EAF9E8"/>
          </w:tcPr>
          <w:p>
            <w:pPr>
              <w:jc w:val="right"/>
              <w:ind w:right="260"/>
              <w:spacing w:after="0"/>
              <w:rPr>
                <w:sz w:val="20"/>
                <w:szCs w:val="20"/>
                <w:color w:val="auto"/>
              </w:rPr>
            </w:pPr>
            <w:r>
              <w:rPr>
                <w:rFonts w:ascii="Arial" w:cs="Arial" w:eastAsia="Arial" w:hAnsi="Arial"/>
                <w:sz w:val="18"/>
                <w:szCs w:val="18"/>
                <w:color w:val="auto"/>
              </w:rPr>
              <w:t>(72,542)</w:t>
            </w:r>
          </w:p>
        </w:tc>
        <w:tc>
          <w:tcPr>
            <w:tcW w:w="13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(122,870)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2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Portfolio at end of year</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Pr>
          <w:p>
            <w:pPr>
              <w:ind w:left="180"/>
              <w:spacing w:after="0"/>
              <w:rPr>
                <w:sz w:val="20"/>
                <w:szCs w:val="20"/>
                <w:color w:val="auto"/>
              </w:rPr>
            </w:pPr>
            <w:r>
              <w:rPr>
                <w:rFonts w:ascii="Arial" w:cs="Arial" w:eastAsia="Arial" w:hAnsi="Arial"/>
                <w:sz w:val="18"/>
                <w:szCs w:val="18"/>
                <w:color w:val="auto"/>
                <w:w w:val="86"/>
              </w:rPr>
              <w:t>73,886,391</w:t>
            </w:r>
          </w:p>
        </w:tc>
        <w:tc>
          <w:tcPr>
            <w:tcW w:w="3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49,980,077</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40,171,532</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479,165</w:t>
            </w:r>
          </w:p>
        </w:tc>
        <w:tc>
          <w:tcPr>
            <w:tcW w:w="1720" w:type="dxa"/>
            <w:vAlign w:val="bottom"/>
            <w:gridSpan w:val="3"/>
          </w:tcPr>
          <w:p>
            <w:pPr>
              <w:jc w:val="right"/>
              <w:ind w:right="320"/>
              <w:spacing w:after="0"/>
              <w:rPr>
                <w:sz w:val="20"/>
                <w:szCs w:val="20"/>
                <w:color w:val="auto"/>
              </w:rPr>
            </w:pPr>
            <w:r>
              <w:rPr>
                <w:rFonts w:ascii="Arial" w:cs="Arial" w:eastAsia="Arial" w:hAnsi="Arial"/>
                <w:sz w:val="18"/>
                <w:szCs w:val="18"/>
                <w:color w:val="auto"/>
              </w:rPr>
              <w:t>351,595</w:t>
            </w:r>
          </w:p>
        </w:tc>
        <w:tc>
          <w:tcPr>
            <w:tcW w:w="1200" w:type="dxa"/>
            <w:vAlign w:val="bottom"/>
          </w:tcPr>
          <w:p>
            <w:pPr>
              <w:jc w:val="right"/>
              <w:spacing w:after="0"/>
              <w:rPr>
                <w:sz w:val="20"/>
                <w:szCs w:val="20"/>
                <w:color w:val="auto"/>
              </w:rPr>
            </w:pPr>
            <w:r>
              <w:rPr>
                <w:rFonts w:ascii="Arial" w:cs="Arial" w:eastAsia="Arial" w:hAnsi="Arial"/>
                <w:sz w:val="18"/>
                <w:szCs w:val="18"/>
                <w:color w:val="auto"/>
              </w:rPr>
              <w:t>322,515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580" w:firstLine="747"/>
        <w:spacing w:after="0" w:line="282" w:lineRule="auto"/>
        <w:rPr>
          <w:sz w:val="20"/>
          <w:szCs w:val="20"/>
          <w:color w:val="auto"/>
        </w:rPr>
      </w:pPr>
      <w:r>
        <w:rPr>
          <w:rFonts w:ascii="Arial" w:cs="Arial" w:eastAsia="Arial" w:hAnsi="Arial"/>
          <w:sz w:val="18"/>
          <w:szCs w:val="18"/>
          <w:b w:val="1"/>
          <w:bCs w:val="1"/>
          <w:color w:val="auto"/>
        </w:rPr>
        <w:t xml:space="preserve">2010 versus 2009. </w:t>
      </w:r>
      <w:r>
        <w:rPr>
          <w:rFonts w:ascii="Arial" w:cs="Arial" w:eastAsia="Arial" w:hAnsi="Arial"/>
          <w:sz w:val="18"/>
          <w:szCs w:val="18"/>
          <w:color w:val="auto"/>
        </w:rPr>
        <w:t>Residential servicing and subservicing fees increased due to the increase in the UPB of residential assets serviced and an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modifications.</w:t>
      </w:r>
    </w:p>
    <w:p>
      <w:pPr>
        <w:spacing w:after="0" w:line="166" w:lineRule="exact"/>
        <w:rPr>
          <w:sz w:val="20"/>
          <w:szCs w:val="20"/>
          <w:color w:val="auto"/>
        </w:rPr>
      </w:pPr>
    </w:p>
    <w:p>
      <w:pPr>
        <w:ind w:right="100" w:firstLine="744"/>
        <w:spacing w:after="0" w:line="264" w:lineRule="auto"/>
        <w:rPr>
          <w:sz w:val="20"/>
          <w:szCs w:val="20"/>
          <w:color w:val="auto"/>
        </w:rPr>
      </w:pPr>
      <w:r>
        <w:rPr>
          <w:rFonts w:ascii="Arial" w:cs="Arial" w:eastAsia="Arial" w:hAnsi="Arial"/>
          <w:sz w:val="18"/>
          <w:szCs w:val="18"/>
          <w:color w:val="auto"/>
        </w:rPr>
        <w:t>The average UPB of residential assets serviced was 45% higher in 2010 while residential servicing and subservicing fees increased by 38%. Servicing fees for 2010 include $42,524 earned on the HomEq portfolio for the period from the acquisition date of September 1, 2010 through December 31, 2010.</w:t>
      </w:r>
    </w:p>
    <w:p>
      <w:pPr>
        <w:spacing w:after="0" w:line="181" w:lineRule="exact"/>
        <w:rPr>
          <w:sz w:val="20"/>
          <w:szCs w:val="20"/>
          <w:color w:val="auto"/>
        </w:rPr>
      </w:pPr>
    </w:p>
    <w:p>
      <w:pPr>
        <w:ind w:right="20" w:firstLine="737"/>
        <w:spacing w:after="0" w:line="255" w:lineRule="auto"/>
        <w:rPr>
          <w:sz w:val="20"/>
          <w:szCs w:val="20"/>
          <w:color w:val="auto"/>
        </w:rPr>
      </w:pPr>
      <w:r>
        <w:rPr>
          <w:rFonts w:ascii="Arial" w:cs="Arial" w:eastAsia="Arial" w:hAnsi="Arial"/>
          <w:sz w:val="18"/>
          <w:szCs w:val="18"/>
          <w:color w:val="auto"/>
        </w:rPr>
        <w:t>At December 31, 2010, the percentage of UPB representing servicing rather than subservicing was 69.4%, a 27% increase as compared to 54.8% on December 31, 2009. This increase was a result of the $22.4 billion of servicing UPB that we acquired in the HomEq Acquisition and the $6.9 billion of UPB that we acquired in the Saxon Acquisition. However, revenue declined relative to average UPB in 2010 as compared to 2009 due primarily to a higher mix of subservicing in 2010 prior to our acquisition of the HomEq and Saxon servicing portfolios and to lower initial revenue yield on these acquired portfolios. The effect on revenues of the HomEq and Saxon acquisitions was tempered by the fact that initial revenues from newly acquired servicing are principally the contractual servicing fee and late fees. Other ancillary revenues, which are driven by the resolution of non-performing loans, ramp up gradually in the first year after the acquisition.</w:t>
      </w:r>
    </w:p>
    <w:p>
      <w:pPr>
        <w:spacing w:after="0" w:line="189" w:lineRule="exact"/>
        <w:rPr>
          <w:sz w:val="20"/>
          <w:szCs w:val="20"/>
          <w:color w:val="auto"/>
        </w:rPr>
      </w:pPr>
    </w:p>
    <w:p>
      <w:pPr>
        <w:ind w:right="180" w:firstLine="744"/>
        <w:spacing w:after="0" w:line="273" w:lineRule="auto"/>
        <w:rPr>
          <w:sz w:val="20"/>
          <w:szCs w:val="20"/>
          <w:color w:val="auto"/>
        </w:rPr>
      </w:pPr>
      <w:r>
        <w:rPr>
          <w:rFonts w:ascii="Arial" w:cs="Arial" w:eastAsia="Arial" w:hAnsi="Arial"/>
          <w:sz w:val="17"/>
          <w:szCs w:val="17"/>
          <w:color w:val="auto"/>
        </w:rPr>
        <w:t>When we return a loan to performing status, we recognize revenue in the form of deferred servicing fees and late fees. For loans modified under HAMP, we earn HAMP fees in place of late fees. Excluding HAMP fees, we recognized loan servicing fees and late charges of $41,071 and $27,762 during 2010 and 2009, respectively, as a result of modifications completed. HAMP fees were $32,363 and $5,581 in 2010 and 2009, respectively. HAMP success fees that we earned on loans that were still performing at the one-year anniversary of their modification represent $13,370 of the total HAMP fees in 2010. We earned no success fees in 2009, the first year of HAMP . We completed a total of 69,917 modifications during 2010 as compared to 51,485 during 2009. In 2010, 27% of completed modifications were HAMP as compared to 11% in 2009.</w:t>
      </w:r>
    </w:p>
    <w:p>
      <w:pPr>
        <w:spacing w:after="0" w:line="178" w:lineRule="exact"/>
        <w:rPr>
          <w:sz w:val="20"/>
          <w:szCs w:val="20"/>
          <w:color w:val="auto"/>
        </w:rPr>
      </w:pPr>
    </w:p>
    <w:p>
      <w:pPr>
        <w:jc w:val="both"/>
        <w:ind w:right="300" w:firstLine="737"/>
        <w:spacing w:after="0" w:line="286" w:lineRule="auto"/>
        <w:rPr>
          <w:sz w:val="20"/>
          <w:szCs w:val="20"/>
          <w:color w:val="auto"/>
        </w:rPr>
      </w:pPr>
      <w:r>
        <w:rPr>
          <w:rFonts w:ascii="Arial" w:cs="Arial" w:eastAsia="Arial" w:hAnsi="Arial"/>
          <w:sz w:val="17"/>
          <w:szCs w:val="17"/>
          <w:color w:val="auto"/>
        </w:rPr>
        <w:t>As of December 31, 2010, we estimate that the balance of uncollected and unrecognized servicing fees related to delinquent borrower payments was $123,582 compared to $55,612 as of December 31, 2009. The increase in 2010 is primarily due to the $22.4 billion of servicing UPB acquired in the HomEq Acquisition and the $6.9 billion of servicing UPB that we acquired in the Saxon Acquisition in the second quarter.</w:t>
      </w:r>
    </w:p>
    <w:p>
      <w:pPr>
        <w:spacing w:after="0" w:line="166" w:lineRule="exact"/>
        <w:rPr>
          <w:sz w:val="20"/>
          <w:szCs w:val="20"/>
          <w:color w:val="auto"/>
        </w:rPr>
      </w:pPr>
    </w:p>
    <w:p>
      <w:pPr>
        <w:ind w:right="40" w:firstLine="747"/>
        <w:spacing w:after="0" w:line="297" w:lineRule="auto"/>
        <w:rPr>
          <w:sz w:val="20"/>
          <w:szCs w:val="20"/>
          <w:color w:val="auto"/>
        </w:rPr>
      </w:pPr>
      <w:r>
        <w:rPr>
          <w:rFonts w:ascii="Arial" w:cs="Arial" w:eastAsia="Arial" w:hAnsi="Arial"/>
          <w:sz w:val="16"/>
          <w:szCs w:val="16"/>
          <w:color w:val="auto"/>
        </w:rPr>
        <w:t>Process management fees, revenues primarily comprised of referral commissions for residential REO properties sold through our network of brokers, were $11,913 lower in 2010 largely due to a decline in the number of properties sold. Sales of REO declined as loan modifications and short sales increased and as the foreclosure timeline lengthened. Partly offsetting the decline in commissions was a $6,641 increase in fees earned from Altisource in connection with the preparation of foreclosure and similar documents on loans that have defaulted. Prior to the Separation in August 2009, Servicing received a share of such fees from the former Technology Products segment as a reduction of allocated Tec hnology and communication expense.</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9" w:name="page40"/>
    <w:bookmarkEnd w:id="39"/>
    <w:p>
      <w:pPr>
        <w:ind w:firstLine="747"/>
        <w:spacing w:after="0" w:line="269" w:lineRule="auto"/>
        <w:rPr>
          <w:sz w:val="20"/>
          <w:szCs w:val="20"/>
          <w:color w:val="auto"/>
        </w:rPr>
      </w:pPr>
      <w:r>
        <w:rPr>
          <w:rFonts w:ascii="Arial" w:cs="Arial" w:eastAsia="Arial" w:hAnsi="Arial"/>
          <w:sz w:val="17"/>
          <w:szCs w:val="17"/>
          <w:color w:val="auto"/>
        </w:rPr>
        <w:t>Operating expenses increased by $70,856 primarily due to $52,603 of expenses incurred in connection with the HomEq Acquisition, including severance and WARN Act compensation of $32,954, occupancy and equipment costs of $15,104 and professional fees of $3,977. Occupancy and equipment costs include lease termination costs of $7,794 and a depreciation charge of $5,840 to write off leasehold improvements in connection with our decision to shutdown the leased HomEq facilities that we acquired in Sacramento, California and Raleigh, North Carolina. We also established a $5,753 reserve in connection with the proposed settlement of the MDL Proceeding incl uding $5,163 in the second quarter and $590 in the fourth quarter. Corporate overhead expenses allocated to Servicing increased by $5,776 primarily due to a decline in the relative size of the non-Servicing segments following the spin-off of the former OS segments to Altisource in August 2009. In addition, the effect of the Separation on our recognition of default document preparation fees as described above increased Operating expenses by $4,499 in 2010. Excluding the expenses incurred in connection with the HomEq Acquisition and the reserve accrual for the MDL proceeding, Operating expenses in the Servicing segment increased by $12,500 or 9.7% in 2010, which is substantially less than the growth in average UPB. The decline in the normalized expense ratio is attributable to lower amortization expense relative to UPB as long-term CPR expectations decreased and low incremental operating expense as UPB increases.</w:t>
      </w:r>
    </w:p>
    <w:p>
      <w:pPr>
        <w:spacing w:after="0" w:line="183" w:lineRule="exact"/>
        <w:rPr>
          <w:sz w:val="20"/>
          <w:szCs w:val="20"/>
          <w:color w:val="auto"/>
        </w:rPr>
      </w:pPr>
    </w:p>
    <w:p>
      <w:pPr>
        <w:ind w:right="180" w:firstLine="744"/>
        <w:spacing w:after="0" w:line="257" w:lineRule="auto"/>
        <w:rPr>
          <w:sz w:val="20"/>
          <w:szCs w:val="20"/>
          <w:color w:val="auto"/>
        </w:rPr>
      </w:pPr>
      <w:r>
        <w:rPr>
          <w:rFonts w:ascii="Arial" w:cs="Arial" w:eastAsia="Arial" w:hAnsi="Arial"/>
          <w:sz w:val="18"/>
          <w:szCs w:val="18"/>
          <w:color w:val="auto"/>
        </w:rPr>
        <w:t>The overall delinquency rates at the end of 2010 and 2009 are similar. Within these composite totals, the delinquency rate on the portfolio that existed at the end of 2009 declined substantially in 2010, but this decline was offset by higher delinquency rates on the newly acquired HomEq and Saxon portfolios. Delinquency rates on both the HomEq and Saxon portfolios have declined since boarding but are still higher than the rate for the prior portfolios. Excluding the effects of any new acquisitions or of any changes to foreclosure processes that may occur in 2011, we expect overall delinquency rates to decline which represents a continuatio n of current trends.</w:t>
      </w:r>
    </w:p>
    <w:p>
      <w:pPr>
        <w:spacing w:after="0" w:line="188" w:lineRule="exact"/>
        <w:rPr>
          <w:sz w:val="20"/>
          <w:szCs w:val="20"/>
          <w:color w:val="auto"/>
        </w:rPr>
      </w:pPr>
    </w:p>
    <w:p>
      <w:pPr>
        <w:ind w:right="20" w:firstLine="744"/>
        <w:spacing w:after="0" w:line="264" w:lineRule="auto"/>
        <w:rPr>
          <w:sz w:val="20"/>
          <w:szCs w:val="20"/>
          <w:color w:val="auto"/>
        </w:rPr>
      </w:pPr>
      <w:r>
        <w:rPr>
          <w:rFonts w:ascii="Arial" w:cs="Arial" w:eastAsia="Arial" w:hAnsi="Arial"/>
          <w:sz w:val="18"/>
          <w:szCs w:val="18"/>
          <w:color w:val="auto"/>
        </w:rPr>
        <w:t>The increase in total advances is the result of advances acquired as part of the HomEq and Saxon acquisitions. Excluding advances related to the HomEq and Saxon portfolios, total advances declined by $151,868 in 2010. We expect advances to continue to decline in 2011 before any new acquisitions or foreclosure process changes.</w:t>
      </w:r>
    </w:p>
    <w:p>
      <w:pPr>
        <w:spacing w:after="0" w:line="181" w:lineRule="exact"/>
        <w:rPr>
          <w:sz w:val="20"/>
          <w:szCs w:val="20"/>
          <w:color w:val="auto"/>
        </w:rPr>
      </w:pPr>
    </w:p>
    <w:p>
      <w:pPr>
        <w:ind w:right="180" w:firstLine="747"/>
        <w:spacing w:after="0" w:line="264" w:lineRule="auto"/>
        <w:rPr>
          <w:sz w:val="20"/>
          <w:szCs w:val="20"/>
          <w:color w:val="auto"/>
        </w:rPr>
      </w:pPr>
      <w:r>
        <w:rPr>
          <w:rFonts w:ascii="Arial" w:cs="Arial" w:eastAsia="Arial" w:hAnsi="Arial"/>
          <w:sz w:val="18"/>
          <w:szCs w:val="18"/>
          <w:color w:val="auto"/>
        </w:rPr>
        <w:t>Prepayment speed was 35% lower in 2010 primarily due to a decline in real estate sales as loan modifications and short sales increased and as the foreclosure timeline lengthened. Real estate sales and other involuntary liquidations accounted for approximately 75% of prepayments during 2010 as compared to approximately 84% in 2009.</w:t>
      </w:r>
    </w:p>
    <w:p>
      <w:pPr>
        <w:spacing w:after="0" w:line="181" w:lineRule="exact"/>
        <w:rPr>
          <w:sz w:val="20"/>
          <w:szCs w:val="20"/>
          <w:color w:val="auto"/>
        </w:rPr>
      </w:pPr>
    </w:p>
    <w:p>
      <w:pPr>
        <w:ind w:right="20" w:firstLine="747"/>
        <w:spacing w:after="0" w:line="255" w:lineRule="auto"/>
        <w:rPr>
          <w:sz w:val="20"/>
          <w:szCs w:val="20"/>
          <w:color w:val="auto"/>
        </w:rPr>
      </w:pPr>
      <w:r>
        <w:rPr>
          <w:rFonts w:ascii="Arial" w:cs="Arial" w:eastAsia="Arial" w:hAnsi="Arial"/>
          <w:sz w:val="18"/>
          <w:szCs w:val="18"/>
          <w:color w:val="auto"/>
        </w:rPr>
        <w:t>Interest expense on borrowings for 2010 was 48% higher than 2009 principally because of an increase in average borrowings on advance facilities, the closing of the $350,000 senior secured term loan, higher average interest rates on the subordinated notes on the HomEq advance facility and the costs associated with the increase in unused advance financing capacity. These increases were partly offset by lower spreads on advance facilities. Average Servicing borrowings increased by 48% during 2010 as compared to 2009 as average advances and match funded advances increased by 42% during the same period. Interest expense for 2010 includes $4,970 of net settlements related to interest rate swap agre ements that we entered into during the second quarter of 2010.</w:t>
      </w:r>
    </w:p>
    <w:p>
      <w:pPr>
        <w:spacing w:after="0" w:line="189" w:lineRule="exact"/>
        <w:rPr>
          <w:sz w:val="20"/>
          <w:szCs w:val="20"/>
          <w:color w:val="auto"/>
        </w:rPr>
      </w:pPr>
    </w:p>
    <w:p>
      <w:pPr>
        <w:ind w:right="220" w:firstLine="747"/>
        <w:spacing w:after="0" w:line="281" w:lineRule="auto"/>
        <w:rPr>
          <w:sz w:val="20"/>
          <w:szCs w:val="20"/>
          <w:color w:val="auto"/>
        </w:rPr>
      </w:pPr>
      <w:r>
        <w:rPr>
          <w:rFonts w:ascii="Arial" w:cs="Arial" w:eastAsia="Arial" w:hAnsi="Arial"/>
          <w:sz w:val="17"/>
          <w:szCs w:val="17"/>
          <w:b w:val="1"/>
          <w:bCs w:val="1"/>
          <w:color w:val="auto"/>
        </w:rPr>
        <w:t xml:space="preserve">2009 versus 2008. </w:t>
      </w:r>
      <w:r>
        <w:rPr>
          <w:rFonts w:ascii="Arial" w:cs="Arial" w:eastAsia="Arial" w:hAnsi="Arial"/>
          <w:sz w:val="17"/>
          <w:szCs w:val="17"/>
          <w:color w:val="auto"/>
        </w:rPr>
        <w:t>Servicing and subservicing fees declined due to the 11% decline in the average UPB of residential assets serviced and lower</w:t>
      </w:r>
      <w:r>
        <w:rPr>
          <w:rFonts w:ascii="Arial" w:cs="Arial" w:eastAsia="Arial" w:hAnsi="Arial"/>
          <w:sz w:val="17"/>
          <w:szCs w:val="17"/>
          <w:b w:val="1"/>
          <w:bCs w:val="1"/>
          <w:color w:val="auto"/>
        </w:rPr>
        <w:t xml:space="preserve"> </w:t>
      </w:r>
      <w:r>
        <w:rPr>
          <w:rFonts w:ascii="Arial" w:cs="Arial" w:eastAsia="Arial" w:hAnsi="Arial"/>
          <w:sz w:val="17"/>
          <w:szCs w:val="17"/>
          <w:color w:val="auto"/>
        </w:rPr>
        <w:t>modifications in 2009 due to the implementation of HAMP. Compliance with HAMP borrower documentation requirements caused loan modifications that would ordinarily have been completed in 2009 to be delayed. Lower average custodial account balances, due to lower UPB and reduced loan payoff collections, and lower interest rates also contributed to the overall decline in total revenues.</w:t>
      </w:r>
    </w:p>
    <w:p>
      <w:pPr>
        <w:spacing w:after="0" w:line="169" w:lineRule="exact"/>
        <w:rPr>
          <w:sz w:val="20"/>
          <w:szCs w:val="20"/>
          <w:color w:val="auto"/>
        </w:rPr>
      </w:pPr>
    </w:p>
    <w:p>
      <w:pPr>
        <w:ind w:right="640" w:firstLine="737"/>
        <w:spacing w:after="0" w:line="277" w:lineRule="auto"/>
        <w:rPr>
          <w:sz w:val="20"/>
          <w:szCs w:val="20"/>
          <w:color w:val="auto"/>
        </w:rPr>
      </w:pPr>
      <w:r>
        <w:rPr>
          <w:rFonts w:ascii="Arial" w:cs="Arial" w:eastAsia="Arial" w:hAnsi="Arial"/>
          <w:sz w:val="18"/>
          <w:szCs w:val="18"/>
          <w:color w:val="auto"/>
        </w:rPr>
        <w:t>As subservicing and special servicing arrangements represent a larger portion of our portfolio, we expect revenues to decline. However, we anticipate such declines to be more than offset by lower amortization and interest expense.</w:t>
      </w:r>
    </w:p>
    <w:p>
      <w:pPr>
        <w:spacing w:after="0" w:line="170" w:lineRule="exact"/>
        <w:rPr>
          <w:sz w:val="20"/>
          <w:szCs w:val="20"/>
          <w:color w:val="auto"/>
        </w:rPr>
      </w:pPr>
    </w:p>
    <w:p>
      <w:pPr>
        <w:ind w:right="360" w:firstLine="744"/>
        <w:spacing w:after="0" w:line="277" w:lineRule="auto"/>
        <w:rPr>
          <w:sz w:val="20"/>
          <w:szCs w:val="20"/>
          <w:color w:val="auto"/>
        </w:rPr>
      </w:pPr>
      <w:r>
        <w:rPr>
          <w:rFonts w:ascii="Arial" w:cs="Arial" w:eastAsia="Arial" w:hAnsi="Arial"/>
          <w:sz w:val="18"/>
          <w:szCs w:val="18"/>
          <w:color w:val="auto"/>
        </w:rPr>
        <w:t>We estimate that during 2009 the balance of uncollected and unrecognized servicing fees related to delinquent borrower payments increased by $5,511 to $55,612 as of December 31, 2009.</w:t>
      </w:r>
    </w:p>
    <w:p>
      <w:pPr>
        <w:spacing w:after="0" w:line="170" w:lineRule="exact"/>
        <w:rPr>
          <w:sz w:val="20"/>
          <w:szCs w:val="20"/>
          <w:color w:val="auto"/>
        </w:rPr>
      </w:pPr>
    </w:p>
    <w:p>
      <w:pPr>
        <w:ind w:right="20" w:firstLine="747"/>
        <w:spacing w:after="0" w:line="273" w:lineRule="auto"/>
        <w:rPr>
          <w:sz w:val="20"/>
          <w:szCs w:val="20"/>
          <w:color w:val="auto"/>
        </w:rPr>
      </w:pPr>
      <w:r>
        <w:rPr>
          <w:rFonts w:ascii="Arial" w:cs="Arial" w:eastAsia="Arial" w:hAnsi="Arial"/>
          <w:sz w:val="17"/>
          <w:szCs w:val="17"/>
          <w:color w:val="auto"/>
        </w:rPr>
        <w:t>Operating expenses benefited from lower MSR amortization expense, reduced staffing levels and lower servicing and origination expense. Amortization expense declined in 2009 as the projected average prepayment speed (CPR) fell and we shifted our portfolio composition to more subservicing arrangements leading to a 22% lower average MSR balance in 2009, as compared to 2008. Our efforts to reduce staffing levels resulted in a 20% decline in compensation and benefits expense as we reduced our average US headcount and maintained our India staffing level. Approximately two-thirds of the decline in average U.S. employment was due to our decision in July 2008 not to renew our contract with the U.S. De partment of Veterans Affairs (VA). Servicing and origination expense declined as a result of a decline in voluntary loan payoffs.</w:t>
      </w:r>
    </w:p>
    <w:p>
      <w:pPr>
        <w:spacing w:after="0" w:line="178" w:lineRule="exact"/>
        <w:rPr>
          <w:sz w:val="20"/>
          <w:szCs w:val="20"/>
          <w:color w:val="auto"/>
        </w:rPr>
      </w:pPr>
    </w:p>
    <w:p>
      <w:pPr>
        <w:ind w:right="240" w:firstLine="744"/>
        <w:spacing w:after="0" w:line="277" w:lineRule="auto"/>
        <w:rPr>
          <w:sz w:val="20"/>
          <w:szCs w:val="20"/>
          <w:color w:val="auto"/>
        </w:rPr>
      </w:pPr>
      <w:r>
        <w:rPr>
          <w:rFonts w:ascii="Arial" w:cs="Arial" w:eastAsia="Arial" w:hAnsi="Arial"/>
          <w:sz w:val="18"/>
          <w:szCs w:val="18"/>
          <w:color w:val="auto"/>
        </w:rPr>
        <w:t>The delinquency rate remained relatively stable in 2009. Total advances have continued to decline in 2009; however, the effects of implementing HAMP slowed the rate of decline. Lower UPB and increased sales of REO also contributed to the decline in advances.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0" w:name="page41"/>
    <w:bookmarkEnd w:id="40"/>
    <w:p>
      <w:pPr>
        <w:ind w:right="60" w:firstLine="747"/>
        <w:spacing w:after="0" w:line="308" w:lineRule="auto"/>
        <w:rPr>
          <w:sz w:val="20"/>
          <w:szCs w:val="20"/>
          <w:color w:val="auto"/>
        </w:rPr>
      </w:pPr>
      <w:r>
        <w:rPr>
          <w:rFonts w:ascii="Arial" w:cs="Arial" w:eastAsia="Arial" w:hAnsi="Arial"/>
          <w:sz w:val="17"/>
          <w:szCs w:val="17"/>
          <w:color w:val="auto"/>
        </w:rPr>
        <w:t>Prepayment speed was lower in 2009 primarily due to a decline in loan payoffs partly offset by an increase in real estate sales. Real estate sales and other involuntary liquidations accounted for approximately 84% of prepayments during 2009 as compared to approximately 80% for 2008.</w:t>
      </w:r>
    </w:p>
    <w:p>
      <w:pPr>
        <w:spacing w:after="0" w:line="147" w:lineRule="exact"/>
        <w:rPr>
          <w:sz w:val="20"/>
          <w:szCs w:val="20"/>
          <w:color w:val="auto"/>
        </w:rPr>
      </w:pPr>
    </w:p>
    <w:p>
      <w:pPr>
        <w:ind w:right="240" w:firstLine="744"/>
        <w:spacing w:after="0" w:line="264" w:lineRule="auto"/>
        <w:rPr>
          <w:sz w:val="20"/>
          <w:szCs w:val="20"/>
          <w:color w:val="auto"/>
        </w:rPr>
      </w:pPr>
      <w:r>
        <w:rPr>
          <w:rFonts w:ascii="Arial" w:cs="Arial" w:eastAsia="Arial" w:hAnsi="Arial"/>
          <w:sz w:val="18"/>
          <w:szCs w:val="18"/>
          <w:color w:val="auto"/>
        </w:rPr>
        <w:t>We completed 51,485 modifications in 2009 as compared to 60,839 in 2008. In 2009, 11% of completed modifications were HAMP and the remaining 89% non-HAMP. The split between HAMP and non-HAMP modifications is to be expected since the earliest period in which completed HAMP modifications could occur was the third quarter.</w:t>
      </w:r>
    </w:p>
    <w:p>
      <w:pPr>
        <w:spacing w:after="0" w:line="181" w:lineRule="exact"/>
        <w:rPr>
          <w:sz w:val="20"/>
          <w:szCs w:val="20"/>
          <w:color w:val="auto"/>
        </w:rPr>
      </w:pPr>
    </w:p>
    <w:p>
      <w:pPr>
        <w:ind w:right="60" w:firstLine="744"/>
        <w:spacing w:after="0" w:line="257" w:lineRule="auto"/>
        <w:rPr>
          <w:sz w:val="20"/>
          <w:szCs w:val="20"/>
          <w:color w:val="auto"/>
        </w:rPr>
      </w:pPr>
      <w:r>
        <w:rPr>
          <w:rFonts w:ascii="Arial" w:cs="Arial" w:eastAsia="Arial" w:hAnsi="Arial"/>
          <w:sz w:val="18"/>
          <w:szCs w:val="18"/>
          <w:color w:val="auto"/>
        </w:rPr>
        <w:t>We completed 15,677 modifications in the fourth quarter of 2009, of which 4,296 were HAMP and 11,381 were non-HAMP. The number of completed modifications in the fourth quarter of 2009 was 124% higher than the 7,000 modifications completed in the third quarter of 2009. Completed modifications were lower in the second and third quarters of 2009 than in prior quarters because of the challenges imposed by the need to collect the requisite documentation from borrowers and make the changes in our work streams necessitated by the HAMP program. HAMP modification offers were extended to 17,630 borrowers in 2009.</w:t>
      </w:r>
    </w:p>
    <w:p>
      <w:pPr>
        <w:spacing w:after="0" w:line="188" w:lineRule="exact"/>
        <w:rPr>
          <w:sz w:val="20"/>
          <w:szCs w:val="20"/>
          <w:color w:val="auto"/>
        </w:rPr>
      </w:pPr>
    </w:p>
    <w:p>
      <w:pPr>
        <w:ind w:right="60" w:firstLine="747"/>
        <w:spacing w:after="0" w:line="273" w:lineRule="auto"/>
        <w:rPr>
          <w:sz w:val="20"/>
          <w:szCs w:val="20"/>
          <w:color w:val="auto"/>
        </w:rPr>
      </w:pPr>
      <w:r>
        <w:rPr>
          <w:rFonts w:ascii="Arial" w:cs="Arial" w:eastAsia="Arial" w:hAnsi="Arial"/>
          <w:sz w:val="17"/>
          <w:szCs w:val="17"/>
          <w:color w:val="auto"/>
        </w:rPr>
        <w:t>Interest expense in 2009 was lower than in 2008 principally because of the decline in match funded advances coupled with our strategy of reducing advance financing through the use of cash reserves and the proceeds of our equity offering. At December 31, 2009, 57% of match funded advances were funded through borrowings as compared to 87% at December 31, 2008. Although the majority of our credit facilities bear interest at rates that are adjusted regularly based on 1-Month LIBOR, our average effective interest rate for 2009 did not decline in proportion to the decline in LIBOR. This is principally the result of the higher spreads over LIBOR charged on the new match funded facilities that we add ed in 2009 and 2008 and higher facility fees charged by the lenders on the new facilities and on the renewal of existing facilities regardless of the amount of borrowing.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340" w:type="dxa"/>
            <w:vAlign w:val="bottom"/>
          </w:tcPr>
          <w:p>
            <w:pPr>
              <w:ind w:left="740"/>
              <w:spacing w:after="0"/>
              <w:rPr>
                <w:sz w:val="20"/>
                <w:szCs w:val="20"/>
                <w:color w:val="auto"/>
              </w:rPr>
            </w:pPr>
            <w:r>
              <w:rPr>
                <w:rFonts w:ascii="Arial" w:cs="Arial" w:eastAsia="Arial" w:hAnsi="Arial"/>
                <w:sz w:val="18"/>
                <w:szCs w:val="18"/>
                <w:color w:val="auto"/>
                <w:w w:val="93"/>
              </w:rPr>
              <w:t>The following table shows selected assets and liabilities of our Servicing segment as of December 31:</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spacing w:after="0"/>
              <w:rPr>
                <w:sz w:val="20"/>
                <w:szCs w:val="20"/>
                <w:color w:val="auto"/>
              </w:rPr>
            </w:pPr>
            <w:r>
              <w:rPr>
                <w:rFonts w:ascii="Arial" w:cs="Arial" w:eastAsia="Arial" w:hAnsi="Arial"/>
                <w:sz w:val="18"/>
                <w:szCs w:val="18"/>
                <w:color w:val="auto"/>
              </w:rPr>
              <w:t>Advances (1)</w:t>
            </w:r>
          </w:p>
        </w:tc>
        <w:tc>
          <w:tcPr>
            <w:tcW w:w="260" w:type="dxa"/>
            <w:vAlign w:val="bottom"/>
            <w:shd w:val="clear" w:color="auto" w:fill="EAF9E8"/>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180,709</w:t>
            </w:r>
          </w:p>
        </w:tc>
        <w:tc>
          <w:tcPr>
            <w:tcW w:w="220" w:type="dxa"/>
            <w:vAlign w:val="bottom"/>
            <w:shd w:val="clear" w:color="auto" w:fill="EAF9E8"/>
          </w:tcPr>
          <w:p>
            <w:pPr>
              <w:spacing w:after="0"/>
              <w:rPr>
                <w:sz w:val="18"/>
                <w:szCs w:val="18"/>
                <w:color w:val="auto"/>
              </w:rPr>
            </w:pPr>
          </w:p>
        </w:tc>
        <w:tc>
          <w:tcPr>
            <w:tcW w:w="500" w:type="dxa"/>
            <w:vAlign w:val="bottom"/>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Match funded advances (1)</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1,924,052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822,615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spacing w:after="0"/>
              <w:rPr>
                <w:sz w:val="20"/>
                <w:szCs w:val="20"/>
                <w:color w:val="auto"/>
              </w:rPr>
            </w:pPr>
            <w:r>
              <w:rPr>
                <w:rFonts w:ascii="Arial" w:cs="Arial" w:eastAsia="Arial" w:hAnsi="Arial"/>
                <w:sz w:val="18"/>
                <w:szCs w:val="18"/>
                <w:color w:val="auto"/>
              </w:rPr>
              <w:t>Mortgage servicing rights (Residential) (2)</w:t>
            </w: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193,985</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117,802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Receivables, net (3)</w:t>
            </w: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60,627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spacing w:after="0"/>
              <w:rPr>
                <w:sz w:val="20"/>
                <w:szCs w:val="20"/>
                <w:color w:val="auto"/>
              </w:rPr>
            </w:pPr>
            <w:r>
              <w:rPr>
                <w:rFonts w:ascii="Arial" w:cs="Arial" w:eastAsia="Arial" w:hAnsi="Arial"/>
                <w:sz w:val="18"/>
                <w:szCs w:val="18"/>
                <w:color w:val="auto"/>
              </w:rPr>
              <w:t>Goodwill (4)</w:t>
            </w:r>
          </w:p>
        </w:tc>
        <w:tc>
          <w:tcPr>
            <w:tcW w:w="26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12,810</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Debt service accounts (5)</w:t>
            </w: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86,234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spacing w:after="0"/>
              <w:rPr>
                <w:sz w:val="20"/>
                <w:szCs w:val="20"/>
                <w:color w:val="auto"/>
              </w:rPr>
            </w:pPr>
            <w:r>
              <w:rPr>
                <w:rFonts w:ascii="Arial" w:cs="Arial" w:eastAsia="Arial" w:hAnsi="Arial"/>
                <w:sz w:val="18"/>
                <w:szCs w:val="18"/>
                <w:color w:val="auto"/>
              </w:rPr>
              <w:t>Prepaid lender fees and debt issuance costs, net (5)</w:t>
            </w:r>
          </w:p>
        </w:tc>
        <w:tc>
          <w:tcPr>
            <w:tcW w:w="26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22,467</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6,802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15,082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9,264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tcBorders>
              <w:bottom w:val="single" w:sz="8" w:color="EAF9E8"/>
            </w:tcBorders>
            <w:shd w:val="clear" w:color="auto" w:fill="EAF9E8"/>
          </w:tcPr>
          <w:p>
            <w:pPr>
              <w:ind w:left="6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shd w:val="clear" w:color="auto" w:fill="EAF9E8"/>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2,495,966</w:t>
            </w:r>
          </w:p>
        </w:tc>
        <w:tc>
          <w:tcPr>
            <w:tcW w:w="22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top w:val="single" w:sz="8" w:color="auto"/>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1,191,212</w:t>
            </w:r>
          </w:p>
        </w:tc>
        <w:tc>
          <w:tcPr>
            <w:tcW w:w="100" w:type="dxa"/>
            <w:vAlign w:val="bottom"/>
            <w:tcBorders>
              <w:bottom w:val="single" w:sz="8" w:color="EAF9E8"/>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EAF9E8"/>
          </w:tcPr>
          <w:p>
            <w:pPr>
              <w:spacing w:after="0"/>
              <w:rPr>
                <w:sz w:val="20"/>
                <w:szCs w:val="20"/>
                <w:color w:val="auto"/>
              </w:rPr>
            </w:pPr>
            <w:r>
              <w:rPr>
                <w:rFonts w:ascii="Arial" w:cs="Arial" w:eastAsia="Arial" w:hAnsi="Arial"/>
                <w:sz w:val="18"/>
                <w:szCs w:val="18"/>
                <w:color w:val="auto"/>
              </w:rPr>
              <w:t>Match funded liabilities (5)</w:t>
            </w:r>
          </w:p>
        </w:tc>
        <w:tc>
          <w:tcPr>
            <w:tcW w:w="260" w:type="dxa"/>
            <w:vAlign w:val="bottom"/>
            <w:shd w:val="clear" w:color="auto" w:fill="EAF9E8"/>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1,482,529</w:t>
            </w:r>
          </w:p>
        </w:tc>
        <w:tc>
          <w:tcPr>
            <w:tcW w:w="220" w:type="dxa"/>
            <w:vAlign w:val="bottom"/>
            <w:shd w:val="clear" w:color="auto" w:fill="EAF9E8"/>
          </w:tcPr>
          <w:p>
            <w:pPr>
              <w:spacing w:after="0"/>
              <w:rPr>
                <w:sz w:val="18"/>
                <w:szCs w:val="18"/>
                <w:color w:val="auto"/>
              </w:rPr>
            </w:pPr>
          </w:p>
        </w:tc>
        <w:tc>
          <w:tcPr>
            <w:tcW w:w="500" w:type="dxa"/>
            <w:vAlign w:val="bottom"/>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465,691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Lines of credit and other secured borrowings (5)</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238,299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spacing w:after="0"/>
              <w:rPr>
                <w:sz w:val="20"/>
                <w:szCs w:val="20"/>
                <w:color w:val="auto"/>
              </w:rPr>
            </w:pPr>
            <w:r>
              <w:rPr>
                <w:rFonts w:ascii="Arial" w:cs="Arial" w:eastAsia="Arial" w:hAnsi="Arial"/>
                <w:sz w:val="18"/>
                <w:szCs w:val="18"/>
                <w:color w:val="auto"/>
              </w:rPr>
              <w:t>Servicer liabilities</w:t>
            </w: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2,390</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38,570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Accrued expenses (6)</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22,117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spacing w:after="0"/>
              <w:rPr>
                <w:sz w:val="20"/>
                <w:szCs w:val="20"/>
                <w:color w:val="auto"/>
              </w:rPr>
            </w:pPr>
            <w:r>
              <w:rPr>
                <w:rFonts w:ascii="Arial" w:cs="Arial" w:eastAsia="Arial" w:hAnsi="Arial"/>
                <w:sz w:val="18"/>
                <w:szCs w:val="18"/>
                <w:color w:val="auto"/>
              </w:rPr>
              <w:t>Checks held for escheat (7)</w:t>
            </w:r>
          </w:p>
        </w:tc>
        <w:tc>
          <w:tcPr>
            <w:tcW w:w="26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12,723</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Deferred income</w:t>
            </w: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10,394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spacing w:after="0"/>
              <w:rPr>
                <w:sz w:val="20"/>
                <w:szCs w:val="20"/>
                <w:color w:val="auto"/>
              </w:rPr>
            </w:pPr>
            <w:r>
              <w:rPr>
                <w:rFonts w:ascii="Arial" w:cs="Arial" w:eastAsia="Arial" w:hAnsi="Arial"/>
                <w:sz w:val="18"/>
                <w:szCs w:val="18"/>
                <w:color w:val="auto"/>
              </w:rPr>
              <w:t>Servicing liability</w:t>
            </w: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3,415</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2,803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shd w:val="clear" w:color="auto" w:fill="EAF9E8"/>
          </w:tcPr>
          <w:p>
            <w:pPr>
              <w:spacing w:after="0"/>
              <w:rPr>
                <w:sz w:val="20"/>
                <w:szCs w:val="20"/>
                <w:color w:val="auto"/>
              </w:rPr>
            </w:pPr>
            <w:r>
              <w:rPr>
                <w:rFonts w:ascii="Arial" w:cs="Arial" w:eastAsia="Arial" w:hAnsi="Arial"/>
                <w:sz w:val="18"/>
                <w:szCs w:val="18"/>
                <w:color w:val="auto"/>
              </w:rPr>
              <w:t>Other (8)</w:t>
            </w:r>
          </w:p>
        </w:tc>
        <w:tc>
          <w:tcPr>
            <w:tcW w:w="260" w:type="dxa"/>
            <w:vAlign w:val="bottom"/>
            <w:shd w:val="clear" w:color="auto" w:fill="EAF9E8"/>
          </w:tcPr>
          <w:p>
            <w:pPr>
              <w:spacing w:after="0"/>
              <w:rPr>
                <w:sz w:val="19"/>
                <w:szCs w:val="19"/>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20,581</w:t>
            </w:r>
          </w:p>
        </w:tc>
        <w:tc>
          <w:tcPr>
            <w:tcW w:w="2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top w:val="single" w:sz="8" w:color="EAF9E8"/>
            </w:tcBorders>
          </w:tcPr>
          <w:p>
            <w:pPr>
              <w:ind w:left="6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1,795,251</w:t>
            </w:r>
          </w:p>
        </w:tc>
        <w:tc>
          <w:tcPr>
            <w:tcW w:w="2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600,070</w:t>
            </w: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80" w:right="100" w:hanging="572"/>
        <w:spacing w:after="0" w:line="264"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increase in advances during 2010 is primarily due to the $1,063,180 of advances acquired in connection with the $22.4 billion of servicing UPB we acquired from HomEq Servicing. In addition, we acquired $525,190 of advances in connection with the $6.9 billion of servicing UPB acquired in the Saxon Acquisition in the second quarter.</w:t>
      </w:r>
    </w:p>
    <w:p>
      <w:pPr>
        <w:spacing w:after="0" w:line="181" w:lineRule="exact"/>
        <w:rPr>
          <w:rFonts w:ascii="Arial" w:cs="Arial" w:eastAsia="Arial" w:hAnsi="Arial"/>
          <w:sz w:val="18"/>
          <w:szCs w:val="18"/>
          <w:color w:val="auto"/>
        </w:rPr>
      </w:pPr>
    </w:p>
    <w:p>
      <w:pPr>
        <w:ind w:left="580" w:right="700" w:hanging="572"/>
        <w:spacing w:after="0" w:line="277"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addition to the $84,324 of MSRs we acquired as part of the HomEq Acquisition, the Saxon Acquisition included $23,425 of MSRs. These additions were offset in part by amortization of $31,627.</w:t>
      </w:r>
    </w:p>
    <w:p>
      <w:pPr>
        <w:spacing w:after="0" w:line="170" w:lineRule="exact"/>
        <w:rPr>
          <w:rFonts w:ascii="Arial" w:cs="Arial" w:eastAsia="Arial" w:hAnsi="Arial"/>
          <w:sz w:val="18"/>
          <w:szCs w:val="18"/>
          <w:color w:val="auto"/>
        </w:rPr>
      </w:pPr>
    </w:p>
    <w:p>
      <w:pPr>
        <w:ind w:left="580" w:right="160" w:hanging="572"/>
        <w:spacing w:after="0" w:line="259"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increase in receivables primarily reflects the growth in the servicing portfolio in 2010. Receivables include reimbursable expenditures due from investors and amounts to be recovered from the custodial accounts of the trustees. Partly offsetting the increase attributed to portfolio growth, the amount due from Freddie Mac in connection with a loan subservicing agreement declined from $37,226 at December 31, 2009 to $13,329 at December 31, 2010.</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1" w:name="page42"/>
    <w:bookmarkEnd w:id="41"/>
    <w:p>
      <w:pPr>
        <w:ind w:left="580" w:right="660" w:hanging="572"/>
        <w:spacing w:after="0" w:line="277"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Goodwill recorded in connection with the HomEq Acquisition. See Note 2 for additional information regarding assets acquired and liabilities assumed as part of the HomEq Acquisition.</w:t>
      </w:r>
    </w:p>
    <w:p>
      <w:pPr>
        <w:spacing w:after="0" w:line="170" w:lineRule="exact"/>
        <w:rPr>
          <w:rFonts w:ascii="Arial" w:cs="Arial" w:eastAsia="Arial" w:hAnsi="Arial"/>
          <w:sz w:val="18"/>
          <w:szCs w:val="18"/>
          <w:color w:val="auto"/>
        </w:rPr>
      </w:pPr>
    </w:p>
    <w:p>
      <w:pPr>
        <w:ind w:left="580" w:right="40" w:hanging="572"/>
        <w:spacing w:after="0" w:line="255"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connection with the establishment of the $1,011,000 advance facility that we used to finance the advances acquired as part of the HomEq Acquisition we paid $10,202 of fees, including a $10,110 securitization fee. These costs have been capitalized and are being amortized over three years to the amortization date of the notes. We also funded a debt service reserve account in the initial amount of $14,342. The outstanding balance of this advance facility at December 31, 2010 was $811,000. We paid $10,638 of fees in connection with the $350,000 senior secured term loan facility agreement that was used to fund a portion of the HomEq Acquisition. These costs and the original issue discount of $7,000 are being amortized over the five-year term of the loan. The outstanding balance of this loan at December 31, 2010 was $197,500. See Note 1 4 and Note 16 for additional information regarding these facilities.</w:t>
      </w:r>
    </w:p>
    <w:p>
      <w:pPr>
        <w:spacing w:after="0" w:line="189" w:lineRule="exact"/>
        <w:rPr>
          <w:rFonts w:ascii="Arial" w:cs="Arial" w:eastAsia="Arial" w:hAnsi="Arial"/>
          <w:sz w:val="18"/>
          <w:szCs w:val="18"/>
          <w:color w:val="auto"/>
        </w:rPr>
      </w:pPr>
    </w:p>
    <w:p>
      <w:pPr>
        <w:ind w:left="580" w:right="300" w:hanging="572"/>
        <w:spacing w:after="0" w:line="342" w:lineRule="auto"/>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balance at December 31, 2010 includes accrued rent expense of $7,794 associated with our early termination of the HomEq office leases. The balance also includes the $5,753 accrual established in connection with the proposed settlement of the MDL Proceeding during 2010.</w:t>
      </w:r>
    </w:p>
    <w:p>
      <w:pPr>
        <w:spacing w:after="0" w:line="123" w:lineRule="exact"/>
        <w:rPr>
          <w:rFonts w:ascii="Arial" w:cs="Arial" w:eastAsia="Arial" w:hAnsi="Arial"/>
          <w:sz w:val="16"/>
          <w:szCs w:val="16"/>
          <w:color w:val="auto"/>
        </w:rPr>
      </w:pPr>
    </w:p>
    <w:p>
      <w:pPr>
        <w:ind w:left="580" w:hanging="572"/>
        <w:spacing w:after="0"/>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increase during 2010 is due to the $4,616 of checks held for escheat that we assumed in connection with the HomEq Acquisition.</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Amounts due to investors in connection with loan subservicing agreements increased by $11,411 in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and Residuals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selected results of operations of our Loans and Residuals segment for the years ended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EAF9E8"/>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4,240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2,831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Loss from operations</w:t>
            </w:r>
          </w:p>
        </w:tc>
        <w:tc>
          <w:tcPr>
            <w:tcW w:w="28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(4,240)</w:t>
            </w:r>
          </w:p>
        </w:tc>
        <w:tc>
          <w:tcPr>
            <w:tcW w:w="2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(2,831)</w:t>
            </w:r>
          </w:p>
        </w:tc>
        <w:tc>
          <w:tcPr>
            <w:tcW w:w="18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top w:val="single" w:sz="8" w:color="EAF9E8"/>
            </w:tcBorders>
          </w:tcPr>
          <w:p>
            <w:pPr>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6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9,615</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7,183</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6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(654)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(1,447)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60"/>
              <w:spacing w:after="0"/>
              <w:rPr>
                <w:sz w:val="20"/>
                <w:szCs w:val="20"/>
                <w:color w:val="auto"/>
              </w:rPr>
            </w:pPr>
            <w:r>
              <w:rPr>
                <w:rFonts w:ascii="Arial" w:cs="Arial" w:eastAsia="Arial" w:hAnsi="Arial"/>
                <w:sz w:val="18"/>
                <w:szCs w:val="18"/>
                <w:color w:val="auto"/>
              </w:rPr>
              <w:t>Loss on trading securities</w:t>
            </w: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(569)</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60"/>
              <w:spacing w:after="0"/>
              <w:rPr>
                <w:sz w:val="20"/>
                <w:szCs w:val="20"/>
                <w:color w:val="auto"/>
              </w:rPr>
            </w:pPr>
            <w:r>
              <w:rPr>
                <w:rFonts w:ascii="Arial" w:cs="Arial" w:eastAsia="Arial" w:hAnsi="Arial"/>
                <w:sz w:val="18"/>
                <w:szCs w:val="18"/>
                <w:color w:val="auto"/>
              </w:rPr>
              <w:t>Loss on loans held for resale, net</w:t>
            </w: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(6,236)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(11,132)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60"/>
              <w:spacing w:after="0"/>
              <w:rPr>
                <w:sz w:val="20"/>
                <w:szCs w:val="20"/>
                <w:color w:val="auto"/>
              </w:rPr>
            </w:pPr>
            <w:r>
              <w:rPr>
                <w:rFonts w:ascii="Arial" w:cs="Arial" w:eastAsia="Arial" w:hAnsi="Arial"/>
                <w:sz w:val="18"/>
                <w:szCs w:val="18"/>
                <w:color w:val="auto"/>
              </w:rPr>
              <w:t>Other, net</w:t>
            </w: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(1,331)</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(325)</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14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1,394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(6,290)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(11,657)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(2,846)</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(9,121)</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(14,682)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747"/>
        <w:spacing w:after="0" w:line="289" w:lineRule="auto"/>
        <w:rPr>
          <w:sz w:val="20"/>
          <w:szCs w:val="20"/>
          <w:color w:val="auto"/>
        </w:rPr>
      </w:pPr>
      <w:r>
        <w:rPr>
          <w:rFonts w:ascii="Arial" w:cs="Arial" w:eastAsia="Arial" w:hAnsi="Arial"/>
          <w:sz w:val="16"/>
          <w:szCs w:val="16"/>
          <w:color w:val="auto"/>
        </w:rPr>
        <w:t>Effective January 1, 2010, the Loans and Residual segment includes four securitization trusts that we include in our consolidated financial statements under the provisions of ASC 810, Consolidation. Our results of operations for the year ended December 31, 2010 and our assets and liabilities as of that date include the effects of consolidating these trusts. In consolidation, we eliminate our investment in the securities we hold that were issued by the trusts, as well as the related interest income and the unrealized gains and losses resulting from changes in fair value. The securitization trusts are essentially pass-through entities. However, as a result of including the trusts in our consoli dated financial statements we established an allowance for losses on the loans and real estate held by the trusts. For 2010, the trusts generated Income from continuing operations before income taxes of $1,388, which includes the effect of the reversal of a portion of the allowance for loan losses in the amount of $619. The decrease in the allowance results from a decline in the unpaid principal balance of the loans and real estate and an improvement in the past due status of nonperforming loans, particularly loans more than 90 days delinquent and loans in foreclosure. See Note 1 to our Consolidated Financial Statements—Securitizations of Residential Mortgage Loans, for additional information.</w:t>
      </w:r>
    </w:p>
    <w:p>
      <w:pPr>
        <w:spacing w:after="0" w:line="163" w:lineRule="exact"/>
        <w:rPr>
          <w:sz w:val="20"/>
          <w:szCs w:val="20"/>
          <w:color w:val="auto"/>
        </w:rPr>
      </w:pPr>
    </w:p>
    <w:p>
      <w:pPr>
        <w:ind w:right="300" w:firstLine="747"/>
        <w:spacing w:after="0" w:line="281" w:lineRule="auto"/>
        <w:rPr>
          <w:sz w:val="20"/>
          <w:szCs w:val="20"/>
          <w:color w:val="auto"/>
        </w:rPr>
      </w:pPr>
      <w:r>
        <w:rPr>
          <w:rFonts w:ascii="Arial" w:cs="Arial" w:eastAsia="Arial" w:hAnsi="Arial"/>
          <w:sz w:val="17"/>
          <w:szCs w:val="17"/>
          <w:b w:val="1"/>
          <w:bCs w:val="1"/>
          <w:color w:val="auto"/>
        </w:rPr>
        <w:t xml:space="preserve">2010 versus 2009. </w:t>
      </w:r>
      <w:r>
        <w:rPr>
          <w:rFonts w:ascii="Arial" w:cs="Arial" w:eastAsia="Arial" w:hAnsi="Arial"/>
          <w:sz w:val="17"/>
          <w:szCs w:val="17"/>
          <w:color w:val="auto"/>
        </w:rPr>
        <w:t>Interest income was higher in 2010 than it was in 2009 principally because of the effects of including the four securitization</w:t>
      </w:r>
      <w:r>
        <w:rPr>
          <w:rFonts w:ascii="Arial" w:cs="Arial" w:eastAsia="Arial" w:hAnsi="Arial"/>
          <w:sz w:val="17"/>
          <w:szCs w:val="17"/>
          <w:b w:val="1"/>
          <w:bCs w:val="1"/>
          <w:color w:val="auto"/>
        </w:rPr>
        <w:t xml:space="preserve"> </w:t>
      </w:r>
      <w:r>
        <w:rPr>
          <w:rFonts w:ascii="Arial" w:cs="Arial" w:eastAsia="Arial" w:hAnsi="Arial"/>
          <w:sz w:val="17"/>
          <w:szCs w:val="17"/>
          <w:color w:val="auto"/>
        </w:rPr>
        <w:t>trusts in our consolidated financial statements beginning January 1, 2010. The trusts generated interest income of $6,271 in 2010. This effect was partially offset by lower interest income on loans held for sale because of an 18% decline in the UPB of the portfolio during 2010. In addition, in 2010 we have eliminated in consolidation the interest income on the securities we hold that were issued by the trust.</w:t>
      </w:r>
    </w:p>
    <w:p>
      <w:pPr>
        <w:spacing w:after="0" w:line="169" w:lineRule="exact"/>
        <w:rPr>
          <w:sz w:val="20"/>
          <w:szCs w:val="20"/>
          <w:color w:val="auto"/>
        </w:rPr>
      </w:pPr>
    </w:p>
    <w:p>
      <w:pPr>
        <w:jc w:val="both"/>
        <w:ind w:right="80" w:firstLine="747"/>
        <w:spacing w:after="0" w:line="264" w:lineRule="auto"/>
        <w:rPr>
          <w:sz w:val="20"/>
          <w:szCs w:val="20"/>
          <w:color w:val="auto"/>
        </w:rPr>
      </w:pPr>
      <w:r>
        <w:rPr>
          <w:rFonts w:ascii="Arial" w:cs="Arial" w:eastAsia="Arial" w:hAnsi="Arial"/>
          <w:sz w:val="18"/>
          <w:szCs w:val="18"/>
          <w:color w:val="auto"/>
        </w:rPr>
        <w:t>Interest expense declined largely because of the repayment in September 2009 of a facility used to finance our loans held for resale. Loss on loans held for resale, net decreased because of a smaller loan portfolio, fewer loans entering non-performing status and a slowing of the declines in the valuation of the loan portfolio.</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2" w:name="page43"/>
    <w:bookmarkEnd w:id="42"/>
    <w:p>
      <w:pPr>
        <w:ind w:right="320" w:firstLine="744"/>
        <w:spacing w:after="0" w:line="342" w:lineRule="auto"/>
        <w:rPr>
          <w:sz w:val="20"/>
          <w:szCs w:val="20"/>
          <w:color w:val="auto"/>
        </w:rPr>
      </w:pPr>
      <w:r>
        <w:rPr>
          <w:rFonts w:ascii="Arial" w:cs="Arial" w:eastAsia="Arial" w:hAnsi="Arial"/>
          <w:sz w:val="16"/>
          <w:szCs w:val="16"/>
          <w:color w:val="auto"/>
        </w:rPr>
        <w:t>The change in Other, net, is principally attributable to $2,605 of losses on loans recognized by the securitization trusts offset by $619 from the reversal of a portion of the allowance for loans losses on trust loans and a $492 increase in the fair value of the interest rate swap held by one of the trusts.</w:t>
      </w:r>
    </w:p>
    <w:p>
      <w:pPr>
        <w:spacing w:after="0" w:line="120" w:lineRule="exact"/>
        <w:rPr>
          <w:sz w:val="20"/>
          <w:szCs w:val="20"/>
          <w:color w:val="auto"/>
        </w:rPr>
      </w:pPr>
    </w:p>
    <w:p>
      <w:pPr>
        <w:jc w:val="both"/>
        <w:ind w:right="160" w:firstLine="747"/>
        <w:spacing w:after="0" w:line="314" w:lineRule="auto"/>
        <w:rPr>
          <w:sz w:val="20"/>
          <w:szCs w:val="20"/>
          <w:color w:val="auto"/>
        </w:rPr>
      </w:pPr>
      <w:r>
        <w:rPr>
          <w:rFonts w:ascii="Arial" w:cs="Arial" w:eastAsia="Arial" w:hAnsi="Arial"/>
          <w:sz w:val="16"/>
          <w:szCs w:val="16"/>
          <w:b w:val="1"/>
          <w:bCs w:val="1"/>
          <w:color w:val="auto"/>
        </w:rPr>
        <w:t xml:space="preserve">2009 versus 2008. </w:t>
      </w:r>
      <w:r>
        <w:rPr>
          <w:rFonts w:ascii="Arial" w:cs="Arial" w:eastAsia="Arial" w:hAnsi="Arial"/>
          <w:sz w:val="16"/>
          <w:szCs w:val="16"/>
          <w:color w:val="auto"/>
        </w:rPr>
        <w:t>Interest expense declined in 2009, compared to 2008, due to a lower average loan principal balance, the repayment of debt and</w:t>
      </w:r>
      <w:r>
        <w:rPr>
          <w:rFonts w:ascii="Arial" w:cs="Arial" w:eastAsia="Arial" w:hAnsi="Arial"/>
          <w:sz w:val="16"/>
          <w:szCs w:val="16"/>
          <w:b w:val="1"/>
          <w:bCs w:val="1"/>
          <w:color w:val="auto"/>
        </w:rPr>
        <w:t xml:space="preserve"> </w:t>
      </w:r>
      <w:r>
        <w:rPr>
          <w:rFonts w:ascii="Arial" w:cs="Arial" w:eastAsia="Arial" w:hAnsi="Arial"/>
          <w:sz w:val="16"/>
          <w:szCs w:val="16"/>
          <w:color w:val="auto"/>
        </w:rPr>
        <w:t>lower interest rates. We repaid the remaining outstanding notes on September 2009. Interest income declined due to a lower average loan principal balance, increase in the percentage of nonperforming loans (increased defaults and unrecoverable losses on the underlying mortgage loans) and lower interest rates.</w:t>
      </w:r>
    </w:p>
    <w:p>
      <w:pPr>
        <w:spacing w:after="0" w:line="146" w:lineRule="exact"/>
        <w:rPr>
          <w:sz w:val="20"/>
          <w:szCs w:val="20"/>
          <w:color w:val="auto"/>
        </w:rPr>
      </w:pPr>
    </w:p>
    <w:p>
      <w:pPr>
        <w:jc w:val="both"/>
        <w:ind w:right="140" w:firstLine="747"/>
        <w:spacing w:after="0" w:line="308" w:lineRule="auto"/>
        <w:rPr>
          <w:sz w:val="20"/>
          <w:szCs w:val="20"/>
          <w:color w:val="auto"/>
        </w:rPr>
      </w:pPr>
      <w:r>
        <w:rPr>
          <w:rFonts w:ascii="Arial" w:cs="Arial" w:eastAsia="Arial" w:hAnsi="Arial"/>
          <w:sz w:val="17"/>
          <w:szCs w:val="17"/>
          <w:color w:val="auto"/>
        </w:rPr>
        <w:t>Losses on trading securities reflect the change in fair value on mortgage-backed securities. Losses on loans held for resale includes the adjustment necessary to present loans and real estate on our balance sheet at the estimated fair value, loan payoffs, foreclosures and charge-offs.</w:t>
      </w:r>
    </w:p>
    <w:p>
      <w:pPr>
        <w:spacing w:after="0" w:line="147" w:lineRule="exact"/>
        <w:rPr>
          <w:sz w:val="20"/>
          <w:szCs w:val="20"/>
          <w:color w:val="auto"/>
        </w:rPr>
      </w:pPr>
    </w:p>
    <w:p>
      <w:pPr>
        <w:ind w:right="360" w:firstLine="744"/>
        <w:spacing w:after="0" w:line="277" w:lineRule="auto"/>
        <w:rPr>
          <w:sz w:val="20"/>
          <w:szCs w:val="20"/>
          <w:color w:val="auto"/>
        </w:rPr>
      </w:pPr>
      <w:r>
        <w:rPr>
          <w:rFonts w:ascii="Arial" w:cs="Arial" w:eastAsia="Arial" w:hAnsi="Arial"/>
          <w:sz w:val="18"/>
          <w:szCs w:val="18"/>
          <w:color w:val="auto"/>
        </w:rPr>
        <w:t>The UPB of nonperforming loans as a percentage of total UPB was 56% at December 31, 2009 compared to 48% at December 31, 2008. There were no loan sales during 2009.</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weighted average remaining life of the subordinated and residual securities was 1.28 years at December 31, 2009.</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shows selected assets and liabilities of our Loans and Residuals segment as of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spacing w:after="0"/>
              <w:rPr>
                <w:sz w:val="20"/>
                <w:szCs w:val="20"/>
                <w:color w:val="auto"/>
              </w:rPr>
            </w:pPr>
            <w:r>
              <w:rPr>
                <w:rFonts w:ascii="Arial" w:cs="Arial" w:eastAsia="Arial" w:hAnsi="Arial"/>
                <w:sz w:val="18"/>
                <w:szCs w:val="18"/>
                <w:color w:val="auto"/>
              </w:rPr>
              <w:t>Restricted cash – for securitization investors</w:t>
            </w:r>
          </w:p>
        </w:tc>
        <w:tc>
          <w:tcPr>
            <w:tcW w:w="260" w:type="dxa"/>
            <w:vAlign w:val="bottom"/>
            <w:shd w:val="clear" w:color="auto" w:fill="EAF9E8"/>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727</w:t>
            </w:r>
          </w:p>
        </w:tc>
        <w:tc>
          <w:tcPr>
            <w:tcW w:w="7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Subordinate and residual trading securities (1)</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spacing w:after="0"/>
              <w:rPr>
                <w:sz w:val="20"/>
                <w:szCs w:val="20"/>
                <w:color w:val="auto"/>
              </w:rPr>
            </w:pPr>
            <w:r>
              <w:rPr>
                <w:rFonts w:ascii="Arial" w:cs="Arial" w:eastAsia="Arial" w:hAnsi="Arial"/>
                <w:sz w:val="18"/>
                <w:szCs w:val="18"/>
                <w:color w:val="auto"/>
              </w:rPr>
              <w:t>Loans held for resale (2)</w:t>
            </w: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25,803</w:t>
            </w:r>
          </w:p>
        </w:tc>
        <w:tc>
          <w:tcPr>
            <w:tcW w:w="4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Advances on loans held for resale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3,957</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spacing w:after="0"/>
              <w:rPr>
                <w:sz w:val="20"/>
                <w:szCs w:val="20"/>
                <w:color w:val="auto"/>
              </w:rPr>
            </w:pPr>
            <w:r>
              <w:rPr>
                <w:rFonts w:ascii="Arial" w:cs="Arial" w:eastAsia="Arial" w:hAnsi="Arial"/>
                <w:sz w:val="18"/>
                <w:szCs w:val="18"/>
                <w:color w:val="auto"/>
              </w:rPr>
              <w:t>Loans, net – restricted for securitization investors (3)</w:t>
            </w: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67,340</w:t>
            </w:r>
          </w:p>
        </w:tc>
        <w:tc>
          <w:tcPr>
            <w:tcW w:w="4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Real estate (4)</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4,571</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EAF9E8"/>
          </w:tcPr>
          <w:p>
            <w:pPr>
              <w:spacing w:after="0"/>
              <w:rPr>
                <w:sz w:val="19"/>
                <w:szCs w:val="19"/>
                <w:color w:val="auto"/>
              </w:rPr>
            </w:pPr>
          </w:p>
        </w:tc>
        <w:tc>
          <w:tcPr>
            <w:tcW w:w="10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1,482</w:t>
            </w:r>
          </w:p>
        </w:tc>
        <w:tc>
          <w:tcPr>
            <w:tcW w:w="440" w:type="dxa"/>
            <w:vAlign w:val="bottom"/>
            <w:tcBorders>
              <w:bottom w:val="single" w:sz="8" w:color="EAF9E8"/>
            </w:tcBorders>
            <w:shd w:val="clear" w:color="auto" w:fill="EAF9E8"/>
          </w:tcPr>
          <w:p>
            <w:pPr>
              <w:spacing w:after="0"/>
              <w:rPr>
                <w:sz w:val="19"/>
                <w:szCs w:val="19"/>
                <w:color w:val="auto"/>
              </w:rPr>
            </w:pPr>
          </w:p>
        </w:tc>
        <w:tc>
          <w:tcPr>
            <w:tcW w:w="280" w:type="dxa"/>
            <w:vAlign w:val="bottom"/>
            <w:tcBorders>
              <w:bottom w:val="single" w:sz="8" w:color="auto"/>
            </w:tcBorders>
            <w:shd w:val="clear" w:color="auto" w:fill="EAF9E8"/>
          </w:tcPr>
          <w:p>
            <w:pPr>
              <w:spacing w:after="0"/>
              <w:rPr>
                <w:sz w:val="19"/>
                <w:szCs w:val="19"/>
                <w:color w:val="auto"/>
              </w:rPr>
            </w:pP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2,508</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103,880</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48,690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Secured borrowings – owed to securitization investors (5)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62,705</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EAF9E8"/>
          </w:tcPr>
          <w:p>
            <w:pPr>
              <w:spacing w:after="0"/>
              <w:rPr>
                <w:sz w:val="19"/>
                <w:szCs w:val="19"/>
                <w:color w:val="auto"/>
              </w:rPr>
            </w:pPr>
          </w:p>
        </w:tc>
        <w:tc>
          <w:tcPr>
            <w:tcW w:w="10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1,809</w:t>
            </w:r>
          </w:p>
        </w:tc>
        <w:tc>
          <w:tcPr>
            <w:tcW w:w="440" w:type="dxa"/>
            <w:vAlign w:val="bottom"/>
            <w:tcBorders>
              <w:bottom w:val="single" w:sz="8" w:color="EAF9E8"/>
            </w:tcBorders>
            <w:shd w:val="clear" w:color="auto" w:fill="EAF9E8"/>
          </w:tcPr>
          <w:p>
            <w:pPr>
              <w:spacing w:after="0"/>
              <w:rPr>
                <w:sz w:val="19"/>
                <w:szCs w:val="19"/>
                <w:color w:val="auto"/>
              </w:rPr>
            </w:pPr>
          </w:p>
        </w:tc>
        <w:tc>
          <w:tcPr>
            <w:tcW w:w="280" w:type="dxa"/>
            <w:vAlign w:val="bottom"/>
            <w:tcBorders>
              <w:bottom w:val="single" w:sz="8" w:color="auto"/>
            </w:tcBorders>
            <w:shd w:val="clear" w:color="auto" w:fill="EAF9E8"/>
          </w:tcPr>
          <w:p>
            <w:pPr>
              <w:spacing w:after="0"/>
              <w:rPr>
                <w:sz w:val="19"/>
                <w:szCs w:val="19"/>
                <w:color w:val="auto"/>
              </w:rPr>
            </w:pP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64,514</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right="340" w:hanging="572"/>
        <w:spacing w:after="0" w:line="258"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more fully described in Note 1 to our Consolidated Financial Statements—Securitizations of Residential Mortgage Loans, effective January 1, 2010, we eliminated our investment in securities issued by the newly consolidated securitization trusts.</w:t>
      </w:r>
    </w:p>
    <w:p>
      <w:pPr>
        <w:spacing w:after="0" w:line="1" w:lineRule="exact"/>
        <w:rPr>
          <w:rFonts w:ascii="Arial" w:cs="Arial" w:eastAsia="Arial" w:hAnsi="Arial"/>
          <w:sz w:val="18"/>
          <w:szCs w:val="18"/>
          <w:color w:val="auto"/>
        </w:rPr>
      </w:pPr>
    </w:p>
    <w:p>
      <w:pPr>
        <w:jc w:val="both"/>
        <w:ind w:left="580" w:right="40" w:hanging="572"/>
        <w:spacing w:after="0" w:line="265" w:lineRule="auto"/>
        <w:tabs>
          <w:tab w:leader="none" w:pos="5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Loans held for resale are net of market valuation allowances of $14,611 and $15,963 at December 31, 2010 and 2009, respectively, and includes non-performing loans with a carrying value of $11,247 and $14,382, respectively. The UPB of nonperforming loans held for resale as a percentage of total UPB was 53% at December 31, 2010 compared to 56% at December 31, 2009. There were no loan sales during 2010.</w:t>
      </w:r>
    </w:p>
    <w:p>
      <w:pPr>
        <w:ind w:left="580" w:right="300" w:hanging="572"/>
        <w:spacing w:after="0" w:line="250"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Loans held by the newly consolidated securitization trusts are net of an allowance for loan losses of $2,378 and include $12,933 of nonperforming loans. See Note 8 to the Consolidated Financial Statements for additional information regarding these loans.</w:t>
      </w:r>
    </w:p>
    <w:p>
      <w:pPr>
        <w:ind w:left="580" w:right="80" w:hanging="572"/>
        <w:spacing w:after="0" w:line="250"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$3,783 and $5,030 at December 31, 2010 and 2009, respectively, of foreclosed properties from our portfolio of loans held for resale that are reported net of fair value allowances of $3,554 and $4,810, respectively. During 2010, real estate sales more than offset transfers from loans held for resale. The balance at December 31, 2010 also includes $788 of foreclosed properties owned by the newly consolidated securitization trusts, which is net of valuation allowances of $1,463.</w:t>
      </w:r>
    </w:p>
    <w:p>
      <w:pPr>
        <w:spacing w:after="0" w:line="1" w:lineRule="exact"/>
        <w:rPr>
          <w:rFonts w:ascii="Arial" w:cs="Arial" w:eastAsia="Arial" w:hAnsi="Arial"/>
          <w:sz w:val="18"/>
          <w:szCs w:val="18"/>
          <w:color w:val="auto"/>
        </w:rPr>
      </w:pPr>
    </w:p>
    <w:p>
      <w:pPr>
        <w:ind w:left="580" w:right="400" w:hanging="572"/>
        <w:spacing w:after="0" w:line="261"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 certificates issued by the newly consolidated securitization trusts. See Note 15 to our Consolidated Financial Statements for additional information regarding these borrowings.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Asset Management Vehicles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table presents selected results of operations of our Asset Management Vehicles segment for the years ended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(1)</w:t>
            </w:r>
          </w:p>
        </w:tc>
        <w:tc>
          <w:tcPr>
            <w:tcW w:w="280" w:type="dxa"/>
            <w:vAlign w:val="bottom"/>
            <w:shd w:val="clear" w:color="auto" w:fill="EAF9E8"/>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696</w:t>
            </w:r>
          </w:p>
        </w:tc>
        <w:tc>
          <w:tcPr>
            <w:tcW w:w="4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1,851</w:t>
            </w:r>
          </w:p>
        </w:tc>
        <w:tc>
          <w:tcPr>
            <w:tcW w:w="4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2,099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3,108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Loss from operations</w:t>
            </w:r>
          </w:p>
        </w:tc>
        <w:tc>
          <w:tcPr>
            <w:tcW w:w="28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(1,403)</w:t>
            </w:r>
          </w:p>
        </w:tc>
        <w:tc>
          <w:tcPr>
            <w:tcW w:w="2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(1,257)</w:t>
            </w:r>
          </w:p>
        </w:tc>
        <w:tc>
          <w:tcPr>
            <w:tcW w:w="18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top w:val="single" w:sz="8" w:color="EAF9E8"/>
            </w:tcBorders>
          </w:tcPr>
          <w:p>
            <w:pPr>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OSI</w:t>
            </w: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562</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(2,650)</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ONL and affiliates</w:t>
            </w: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(1,410)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60"/>
              <w:spacing w:after="0"/>
              <w:rPr>
                <w:sz w:val="20"/>
                <w:szCs w:val="20"/>
                <w:color w:val="auto"/>
              </w:rPr>
            </w:pPr>
            <w:r>
              <w:rPr>
                <w:rFonts w:ascii="Arial" w:cs="Arial" w:eastAsia="Arial" w:hAnsi="Arial"/>
                <w:sz w:val="18"/>
                <w:szCs w:val="18"/>
                <w:color w:val="auto"/>
              </w:rPr>
              <w:t>Equity in earnings (losses) of unconsolidated entities</w:t>
            </w: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606</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(4,060)</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(9,168)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6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606</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(4,060)</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(9,364)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(797)</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(5,317)</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(9,813)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right="20" w:hanging="572"/>
        <w:spacing w:after="0" w:line="257"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Revenue consists of management fees earned from OSI and ONL and affiliates. In addition, our Servicing segment earns fees for servicing loans on behalf of these unconsolidated entities. In determining the amount of consolidated equity in earnings to recognize, we add back our share of the loan servicing and management fee expense recognized by OSI, ONL and affiliates. During 2010, 2009 and 2008, we earned total fees of $3,064, $4,481 and $6,918, respectively, from OSI and ONL and affiliates. On a consolidated basis, we have recognized approximately 75% of the loan servicing and management fee revenue.</w:t>
      </w:r>
    </w:p>
    <w:p>
      <w:pPr>
        <w:spacing w:after="0" w:line="184" w:lineRule="exact"/>
        <w:rPr>
          <w:sz w:val="20"/>
          <w:szCs w:val="20"/>
          <w:color w:val="auto"/>
        </w:rPr>
      </w:pPr>
    </w:p>
    <w:p>
      <w:pPr>
        <w:jc w:val="both"/>
        <w:ind w:right="240" w:firstLine="747"/>
        <w:spacing w:after="0" w:line="281" w:lineRule="auto"/>
        <w:rPr>
          <w:sz w:val="20"/>
          <w:szCs w:val="20"/>
          <w:color w:val="auto"/>
        </w:rPr>
      </w:pPr>
      <w:r>
        <w:rPr>
          <w:rFonts w:ascii="Arial" w:cs="Arial" w:eastAsia="Arial" w:hAnsi="Arial"/>
          <w:sz w:val="17"/>
          <w:szCs w:val="17"/>
          <w:b w:val="1"/>
          <w:bCs w:val="1"/>
          <w:color w:val="auto"/>
        </w:rPr>
        <w:t xml:space="preserve">2010 versus 2009. </w:t>
      </w:r>
      <w:r>
        <w:rPr>
          <w:rFonts w:ascii="Arial" w:cs="Arial" w:eastAsia="Arial" w:hAnsi="Arial"/>
          <w:sz w:val="17"/>
          <w:szCs w:val="17"/>
          <w:color w:val="auto"/>
        </w:rPr>
        <w:t>Management fee revenue continues to decline. In addition to a decline in assets managed, our agreement with OSI to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services was amended in 2010 to limit the annual fees to a maximum of $300. The improvement in earnings of OSI and ONL and affiliates in 2010 largely resulted from a slower decline in the fair value of residual securities and loans, respectively. Losses on resolved loans were also lower in 2010 reflecting less deterioration in the valuations on the underlying loans and real estate collateral.</w:t>
      </w:r>
    </w:p>
    <w:p>
      <w:pPr>
        <w:spacing w:after="0" w:line="165" w:lineRule="exact"/>
        <w:rPr>
          <w:sz w:val="20"/>
          <w:szCs w:val="20"/>
          <w:color w:val="auto"/>
        </w:rPr>
      </w:pPr>
    </w:p>
    <w:p>
      <w:pPr>
        <w:jc w:val="both"/>
        <w:ind w:right="120" w:firstLine="747"/>
        <w:spacing w:after="0" w:line="266" w:lineRule="auto"/>
        <w:rPr>
          <w:sz w:val="20"/>
          <w:szCs w:val="20"/>
          <w:color w:val="auto"/>
        </w:rPr>
      </w:pPr>
      <w:r>
        <w:rPr>
          <w:rFonts w:ascii="Arial" w:cs="Arial" w:eastAsia="Arial" w:hAnsi="Arial"/>
          <w:sz w:val="18"/>
          <w:szCs w:val="18"/>
          <w:b w:val="1"/>
          <w:bCs w:val="1"/>
          <w:color w:val="auto"/>
        </w:rPr>
        <w:t xml:space="preserve">2009 versus 2008. </w:t>
      </w:r>
      <w:r>
        <w:rPr>
          <w:rFonts w:ascii="Arial" w:cs="Arial" w:eastAsia="Arial" w:hAnsi="Arial"/>
          <w:sz w:val="18"/>
          <w:szCs w:val="18"/>
          <w:color w:val="auto"/>
        </w:rPr>
        <w:t>Management fee revenue declined as the equity of the assets managed continued to decline. Lower equity losses in 2009 were</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attributable to declines in the losses incurred by OSI and by ONL and affiliates. Losses incurred by these entities in 2009 and 2008 largely resulted from charges to reduce loans, real estate and residual securities to their fair values.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shows selected assets of our Asset Management Vehicles segment as of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Receivables</w:t>
            </w:r>
          </w:p>
        </w:tc>
        <w:tc>
          <w:tcPr>
            <w:tcW w:w="260" w:type="dxa"/>
            <w:vAlign w:val="bottom"/>
            <w:tcBorders>
              <w:bottom w:val="single" w:sz="8" w:color="auto"/>
            </w:tcBorders>
            <w:shd w:val="clear" w:color="auto" w:fill="EAF9E8"/>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105</w:t>
            </w:r>
          </w:p>
        </w:tc>
        <w:tc>
          <w:tcPr>
            <w:tcW w:w="440" w:type="dxa"/>
            <w:vAlign w:val="bottom"/>
            <w:tcBorders>
              <w:bottom w:val="single" w:sz="8" w:color="EAF9E8"/>
            </w:tcBorders>
            <w:shd w:val="clear" w:color="auto" w:fill="EAF9E8"/>
          </w:tcPr>
          <w:p>
            <w:pPr>
              <w:spacing w:after="0"/>
              <w:rPr>
                <w:sz w:val="19"/>
                <w:szCs w:val="19"/>
                <w:color w:val="auto"/>
              </w:rPr>
            </w:pPr>
          </w:p>
        </w:tc>
        <w:tc>
          <w:tcPr>
            <w:tcW w:w="2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EAF9E8"/>
            </w:tcBorders>
            <w:shd w:val="clear" w:color="auto" w:fill="EAF9E8"/>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OSI (1)</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7,572</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7,885</w:t>
            </w:r>
          </w:p>
        </w:tc>
      </w:tr>
      <w:tr>
        <w:trPr>
          <w:trHeight w:val="223"/>
        </w:trPr>
        <w:tc>
          <w:tcPr>
            <w:tcW w:w="20" w:type="dxa"/>
            <w:vAlign w:val="bottom"/>
          </w:tcPr>
          <w:p>
            <w:pPr>
              <w:spacing w:after="0"/>
              <w:rPr>
                <w:sz w:val="19"/>
                <w:szCs w:val="19"/>
                <w:color w:val="auto"/>
              </w:rPr>
            </w:pPr>
          </w:p>
        </w:tc>
        <w:tc>
          <w:tcPr>
            <w:tcW w:w="834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ONL and affiliates (2)</w:t>
            </w:r>
          </w:p>
        </w:tc>
        <w:tc>
          <w:tcPr>
            <w:tcW w:w="260" w:type="dxa"/>
            <w:vAlign w:val="bottom"/>
            <w:tcBorders>
              <w:bottom w:val="single" w:sz="8" w:color="auto"/>
            </w:tcBorders>
            <w:shd w:val="clear" w:color="auto" w:fill="EAF9E8"/>
          </w:tcPr>
          <w:p>
            <w:pPr>
              <w:spacing w:after="0"/>
              <w:rPr>
                <w:sz w:val="19"/>
                <w:szCs w:val="19"/>
                <w:color w:val="auto"/>
              </w:rPr>
            </w:pPr>
          </w:p>
        </w:tc>
        <w:tc>
          <w:tcPr>
            <w:tcW w:w="10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4,420</w:t>
            </w:r>
          </w:p>
        </w:tc>
        <w:tc>
          <w:tcPr>
            <w:tcW w:w="440" w:type="dxa"/>
            <w:vAlign w:val="bottom"/>
            <w:tcBorders>
              <w:bottom w:val="single" w:sz="8" w:color="EAF9E8"/>
            </w:tcBorders>
            <w:shd w:val="clear" w:color="auto" w:fill="EAF9E8"/>
          </w:tcPr>
          <w:p>
            <w:pPr>
              <w:spacing w:after="0"/>
              <w:rPr>
                <w:sz w:val="19"/>
                <w:szCs w:val="19"/>
                <w:color w:val="auto"/>
              </w:rPr>
            </w:pPr>
          </w:p>
        </w:tc>
        <w:tc>
          <w:tcPr>
            <w:tcW w:w="280" w:type="dxa"/>
            <w:vAlign w:val="bottom"/>
            <w:tcBorders>
              <w:bottom w:val="single" w:sz="8" w:color="auto"/>
            </w:tcBorders>
            <w:shd w:val="clear" w:color="auto" w:fill="EAF9E8"/>
          </w:tcPr>
          <w:p>
            <w:pPr>
              <w:spacing w:after="0"/>
              <w:rPr>
                <w:sz w:val="19"/>
                <w:szCs w:val="19"/>
                <w:color w:val="auto"/>
              </w:rPr>
            </w:pP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7,044</w:t>
            </w:r>
          </w:p>
        </w:tc>
        <w:tc>
          <w:tcPr>
            <w:tcW w:w="100" w:type="dxa"/>
            <w:vAlign w:val="bottom"/>
            <w:tcBorders>
              <w:bottom w:val="single" w:sz="8" w:color="EAF9E8"/>
            </w:tcBorders>
            <w:shd w:val="clear" w:color="auto" w:fill="EAF9E8"/>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60"/>
              <w:spacing w:after="0"/>
              <w:rPr>
                <w:sz w:val="20"/>
                <w:szCs w:val="20"/>
                <w:color w:val="auto"/>
              </w:rPr>
            </w:pPr>
            <w:r>
              <w:rPr>
                <w:rFonts w:ascii="Arial" w:cs="Arial" w:eastAsia="Arial" w:hAnsi="Arial"/>
                <w:sz w:val="18"/>
                <w:szCs w:val="18"/>
                <w:color w:val="auto"/>
              </w:rPr>
              <w:t>Investments in unconsolidated entities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11,992</w:t>
            </w:r>
          </w:p>
        </w:tc>
        <w:tc>
          <w:tcPr>
            <w:tcW w:w="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14,929</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EAF9E8"/>
          </w:tcPr>
          <w:p>
            <w:pPr>
              <w:spacing w:after="0"/>
              <w:rPr>
                <w:sz w:val="19"/>
                <w:szCs w:val="19"/>
                <w:color w:val="auto"/>
              </w:rPr>
            </w:pPr>
          </w:p>
        </w:tc>
        <w:tc>
          <w:tcPr>
            <w:tcW w:w="10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EAF9E8"/>
            </w:tcBorders>
            <w:shd w:val="clear" w:color="auto" w:fill="EAF9E8"/>
          </w:tcPr>
          <w:p>
            <w:pPr>
              <w:spacing w:after="0"/>
              <w:rPr>
                <w:sz w:val="19"/>
                <w:szCs w:val="19"/>
                <w:color w:val="auto"/>
              </w:rPr>
            </w:pPr>
          </w:p>
        </w:tc>
        <w:tc>
          <w:tcPr>
            <w:tcW w:w="280" w:type="dxa"/>
            <w:vAlign w:val="bottom"/>
            <w:tcBorders>
              <w:bottom w:val="single" w:sz="8" w:color="auto"/>
            </w:tcBorders>
            <w:shd w:val="clear" w:color="auto" w:fill="EAF9E8"/>
          </w:tcPr>
          <w:p>
            <w:pPr>
              <w:spacing w:after="0"/>
              <w:rPr>
                <w:sz w:val="19"/>
                <w:szCs w:val="19"/>
                <w:color w:val="auto"/>
              </w:rPr>
            </w:pP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EAF9E8"/>
            </w:tcBorders>
            <w:shd w:val="clear" w:color="auto" w:fill="EAF9E8"/>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60"/>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12,097</w:t>
            </w:r>
          </w:p>
        </w:tc>
        <w:tc>
          <w:tcPr>
            <w:tcW w:w="7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15,271</w:t>
            </w:r>
          </w:p>
        </w:tc>
      </w:tr>
      <w:tr>
        <w:trPr>
          <w:trHeight w:val="21"/>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right="220" w:hanging="572"/>
        <w:spacing w:after="0" w:line="308" w:lineRule="auto"/>
        <w:tabs>
          <w:tab w:leader="none" w:pos="5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During 2010, we received distributions of $875 from OSI and $2,667 from ONL and its affiliates. We did not invest any capital in OSI or ONL and affiliates during 2010. Our remaining commitment to invest additional capital in ONL and affiliated entities expired in September 2010.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Services, Financial Services and Technology Products</w:t>
      </w:r>
    </w:p>
    <w:p>
      <w:pPr>
        <w:spacing w:after="0" w:line="229" w:lineRule="exact"/>
        <w:rPr>
          <w:sz w:val="20"/>
          <w:szCs w:val="20"/>
          <w:color w:val="auto"/>
        </w:rPr>
      </w:pPr>
    </w:p>
    <w:p>
      <w:pPr>
        <w:ind w:right="240" w:firstLine="747"/>
        <w:spacing w:after="0" w:line="264" w:lineRule="auto"/>
        <w:rPr>
          <w:sz w:val="20"/>
          <w:szCs w:val="20"/>
          <w:color w:val="auto"/>
        </w:rPr>
      </w:pPr>
      <w:r>
        <w:rPr>
          <w:rFonts w:ascii="Arial" w:cs="Arial" w:eastAsia="Arial" w:hAnsi="Arial"/>
          <w:sz w:val="18"/>
          <w:szCs w:val="18"/>
          <w:color w:val="auto"/>
        </w:rPr>
        <w:t>Mortgage Services, Financial Services and Technology Products were separated as of August 10, 2009 as part of the Separation of the Ocwen Solutions line of business, except for GSS and BHI (formerly BMS Holdings). As a separate, publicly-traded company, Altisource Portfolio Solutions S.A. (NASDAQ:ASPS) will file a Form 10-K with the Securities and Exchange Commission.</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Corporate Items and Other</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860" w:type="dxa"/>
            <w:vAlign w:val="bottom"/>
            <w:gridSpan w:val="8"/>
          </w:tcPr>
          <w:p>
            <w:pPr>
              <w:jc w:val="right"/>
              <w:ind w:right="300"/>
              <w:spacing w:after="0"/>
              <w:rPr>
                <w:sz w:val="20"/>
                <w:szCs w:val="20"/>
                <w:color w:val="auto"/>
              </w:rPr>
            </w:pPr>
            <w:r>
              <w:rPr>
                <w:rFonts w:ascii="Arial" w:cs="Arial" w:eastAsia="Arial" w:hAnsi="Arial"/>
                <w:sz w:val="18"/>
                <w:szCs w:val="18"/>
                <w:color w:val="auto"/>
                <w:w w:val="97"/>
              </w:rPr>
              <w:t>The following table presents selected results of operations of Corporate Items and Other for the years ended December 31:</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EAF9E8"/>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1,416</w:t>
            </w:r>
          </w:p>
        </w:tc>
        <w:tc>
          <w:tcPr>
            <w:tcW w:w="4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1,066</w:t>
            </w:r>
          </w:p>
        </w:tc>
        <w:tc>
          <w:tcPr>
            <w:tcW w:w="4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30,791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16,308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18,743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Loss from operations</w:t>
            </w:r>
          </w:p>
        </w:tc>
        <w:tc>
          <w:tcPr>
            <w:tcW w:w="28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(29,375)</w:t>
            </w:r>
          </w:p>
        </w:tc>
        <w:tc>
          <w:tcPr>
            <w:tcW w:w="2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(15,242)</w:t>
            </w:r>
          </w:p>
        </w:tc>
        <w:tc>
          <w:tcPr>
            <w:tcW w:w="18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(18,587)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top w:val="single" w:sz="8" w:color="EAF9E8"/>
            </w:tcBorders>
          </w:tcPr>
          <w:p>
            <w:pPr>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6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1,037</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1,335</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6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(4,755)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(447)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60"/>
              <w:spacing w:after="0"/>
              <w:rPr>
                <w:sz w:val="20"/>
                <w:szCs w:val="20"/>
                <w:color w:val="auto"/>
              </w:rPr>
            </w:pPr>
            <w:r>
              <w:rPr>
                <w:rFonts w:ascii="Arial" w:cs="Arial" w:eastAsia="Arial" w:hAnsi="Arial"/>
                <w:sz w:val="18"/>
                <w:szCs w:val="18"/>
                <w:color w:val="auto"/>
              </w:rPr>
              <w:t>Gain (loss) on trading securities:</w:t>
            </w: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40"/>
              <w:spacing w:after="0"/>
              <w:rPr>
                <w:sz w:val="20"/>
                <w:szCs w:val="20"/>
                <w:color w:val="auto"/>
              </w:rPr>
            </w:pPr>
            <w:r>
              <w:rPr>
                <w:rFonts w:ascii="Arial" w:cs="Arial" w:eastAsia="Arial" w:hAnsi="Arial"/>
                <w:sz w:val="18"/>
                <w:szCs w:val="18"/>
                <w:color w:val="auto"/>
              </w:rPr>
              <w:t>Auction rate securities</w:t>
            </w: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(7,909)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11,863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(29,612)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Collateralized mortgage obligations (CMOs)</w:t>
            </w: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40"/>
              <w:spacing w:after="0"/>
              <w:rPr>
                <w:sz w:val="20"/>
                <w:szCs w:val="20"/>
                <w:color w:val="auto"/>
              </w:rPr>
            </w:pPr>
            <w:r>
              <w:rPr>
                <w:rFonts w:ascii="Arial" w:cs="Arial" w:eastAsia="Arial" w:hAnsi="Arial"/>
                <w:sz w:val="18"/>
                <w:szCs w:val="18"/>
                <w:color w:val="auto"/>
              </w:rPr>
              <w:t>Subordinates and residuals</w:t>
            </w: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(7,968)</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11,756</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(32,643)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60"/>
              <w:spacing w:after="0"/>
              <w:rPr>
                <w:sz w:val="20"/>
                <w:szCs w:val="20"/>
                <w:color w:val="auto"/>
              </w:rPr>
            </w:pPr>
            <w:r>
              <w:rPr>
                <w:rFonts w:ascii="Arial" w:cs="Arial" w:eastAsia="Arial" w:hAnsi="Arial"/>
                <w:sz w:val="18"/>
                <w:szCs w:val="18"/>
                <w:color w:val="auto"/>
              </w:rPr>
              <w:t>Gain (loss) on debt redemption</w:t>
            </w: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723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1,415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60"/>
              <w:spacing w:after="0"/>
              <w:rPr>
                <w:sz w:val="20"/>
                <w:szCs w:val="20"/>
                <w:color w:val="auto"/>
              </w:rPr>
            </w:pPr>
            <w:r>
              <w:rPr>
                <w:rFonts w:ascii="Arial" w:cs="Arial" w:eastAsia="Arial" w:hAnsi="Arial"/>
                <w:sz w:val="18"/>
                <w:szCs w:val="18"/>
                <w:color w:val="auto"/>
              </w:rPr>
              <w:t>Other, net</w:t>
            </w: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4,940</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14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(6,023)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13,824</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(35,673)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(35,398)</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(1,418)</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(54,260)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580" w:firstLine="747"/>
        <w:spacing w:after="0" w:line="347" w:lineRule="auto"/>
        <w:rPr>
          <w:sz w:val="20"/>
          <w:szCs w:val="20"/>
          <w:color w:val="auto"/>
        </w:rPr>
      </w:pPr>
      <w:r>
        <w:rPr>
          <w:rFonts w:ascii="Arial" w:cs="Arial" w:eastAsia="Arial" w:hAnsi="Arial"/>
          <w:sz w:val="16"/>
          <w:szCs w:val="16"/>
          <w:b w:val="1"/>
          <w:bCs w:val="1"/>
          <w:color w:val="auto"/>
        </w:rPr>
        <w:t>2010 versus 2009</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Operating expenses were higher in 2010 primarily due to a $19,889 increase in litigation-related expenses that is largely</w:t>
      </w:r>
      <w:r>
        <w:rPr>
          <w:rFonts w:ascii="Arial" w:cs="Arial" w:eastAsia="Arial" w:hAnsi="Arial"/>
          <w:sz w:val="16"/>
          <w:szCs w:val="16"/>
          <w:b w:val="1"/>
          <w:bCs w:val="1"/>
          <w:color w:val="auto"/>
        </w:rPr>
        <w:t xml:space="preserve"> </w:t>
      </w:r>
      <w:r>
        <w:rPr>
          <w:rFonts w:ascii="Arial" w:cs="Arial" w:eastAsia="Arial" w:hAnsi="Arial"/>
          <w:sz w:val="16"/>
          <w:szCs w:val="16"/>
          <w:color w:val="auto"/>
        </w:rPr>
        <w:t>attributed to the Cartel litigation. The increase in litigation expense was partly offset by $3,775 of expenses recorded in 2009 related to the Separation.</w:t>
      </w:r>
    </w:p>
    <w:p>
      <w:pPr>
        <w:spacing w:after="0" w:line="120" w:lineRule="exact"/>
        <w:rPr>
          <w:sz w:val="20"/>
          <w:szCs w:val="20"/>
          <w:color w:val="auto"/>
        </w:rPr>
      </w:pPr>
    </w:p>
    <w:p>
      <w:pPr>
        <w:ind w:right="140" w:firstLine="747"/>
        <w:spacing w:after="0" w:line="264" w:lineRule="auto"/>
        <w:rPr>
          <w:sz w:val="20"/>
          <w:szCs w:val="20"/>
          <w:color w:val="auto"/>
        </w:rPr>
      </w:pPr>
      <w:r>
        <w:rPr>
          <w:rFonts w:ascii="Arial" w:cs="Arial" w:eastAsia="Arial" w:hAnsi="Arial"/>
          <w:sz w:val="18"/>
          <w:szCs w:val="18"/>
          <w:color w:val="auto"/>
        </w:rPr>
        <w:t>Interest expense for 2010 includes $3,319 incurred on the $350,000 senior secured term loan from the closing of the term loan on July 29, 2010 to the closing of the HomEq Acquisition on September 1, 2010. Effective with the closing of the HomEq Acquisition, the term loan and the interest expense thereon has been recognized in the Servicing segment.</w:t>
      </w:r>
    </w:p>
    <w:p>
      <w:pPr>
        <w:spacing w:after="0" w:line="181" w:lineRule="exact"/>
        <w:rPr>
          <w:sz w:val="20"/>
          <w:szCs w:val="20"/>
          <w:color w:val="auto"/>
        </w:rPr>
      </w:pPr>
    </w:p>
    <w:p>
      <w:pPr>
        <w:ind w:right="700" w:firstLine="747"/>
        <w:spacing w:after="0" w:line="277" w:lineRule="auto"/>
        <w:rPr>
          <w:sz w:val="20"/>
          <w:szCs w:val="20"/>
          <w:color w:val="auto"/>
        </w:rPr>
      </w:pPr>
      <w:r>
        <w:rPr>
          <w:rFonts w:ascii="Arial" w:cs="Arial" w:eastAsia="Arial" w:hAnsi="Arial"/>
          <w:sz w:val="18"/>
          <w:szCs w:val="18"/>
          <w:color w:val="auto"/>
        </w:rPr>
        <w:t>Losses on auction rate securities include losses of $5,903 we realized on the liquidation of our remaining investment through sales and the settlement of litigation actions.</w:t>
      </w:r>
    </w:p>
    <w:p>
      <w:pPr>
        <w:spacing w:after="0" w:line="170" w:lineRule="exact"/>
        <w:rPr>
          <w:sz w:val="20"/>
          <w:szCs w:val="20"/>
          <w:color w:val="auto"/>
        </w:rPr>
      </w:pPr>
    </w:p>
    <w:p>
      <w:pPr>
        <w:jc w:val="both"/>
        <w:ind w:right="300" w:firstLine="747"/>
        <w:spacing w:after="0" w:line="297" w:lineRule="auto"/>
        <w:rPr>
          <w:sz w:val="20"/>
          <w:szCs w:val="20"/>
          <w:color w:val="auto"/>
        </w:rPr>
      </w:pPr>
      <w:r>
        <w:rPr>
          <w:rFonts w:ascii="Arial" w:cs="Arial" w:eastAsia="Arial" w:hAnsi="Arial"/>
          <w:sz w:val="16"/>
          <w:szCs w:val="16"/>
          <w:color w:val="auto"/>
        </w:rPr>
        <w:t>Other, net for 2010 includes gains related to our investment in affordable housing projects. During the fourth quarter of 2010, we completed the sale of three affordable housing projects in which we had retained a 1% interest as a general partner. Because the carrying value of our investment in these projects was zero, the proceeds from the sale resulted in our recognition of a gain of $6,036. In addition, during the third quarter of 2010, we recognized a gain of $1,000 as the result of receiving a legal settlement related to another affordable housing project that we had sold in 2005. Partially offsetting these gains, we recorded a charge of $3,000 during the second quarter of 2010 to write- off of our investment in a commercial real estate partnership.</w:t>
      </w:r>
    </w:p>
    <w:p>
      <w:pPr>
        <w:spacing w:after="0" w:line="154" w:lineRule="exact"/>
        <w:rPr>
          <w:sz w:val="20"/>
          <w:szCs w:val="20"/>
          <w:color w:val="auto"/>
        </w:rPr>
      </w:pPr>
    </w:p>
    <w:p>
      <w:pPr>
        <w:ind w:right="260" w:firstLine="747"/>
        <w:spacing w:after="0" w:line="289" w:lineRule="auto"/>
        <w:rPr>
          <w:sz w:val="20"/>
          <w:szCs w:val="20"/>
          <w:color w:val="auto"/>
        </w:rPr>
      </w:pPr>
      <w:r>
        <w:rPr>
          <w:rFonts w:ascii="Arial" w:cs="Arial" w:eastAsia="Arial" w:hAnsi="Arial"/>
          <w:sz w:val="17"/>
          <w:szCs w:val="17"/>
          <w:b w:val="1"/>
          <w:bCs w:val="1"/>
          <w:color w:val="auto"/>
        </w:rPr>
        <w:t>2009 versus 2008</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expenses declined primarily due to reduced professional service fees. In 2008, we incurred $11,396 of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to strategic initiatives, including $9,532 in connection with the “going private” transaction which the parties mutually terminated in March 2008. In 2009, our legal fees and settlements increased by $4,577, and we recorded $3,477 of expenses related to the Separation.</w:t>
      </w:r>
    </w:p>
    <w:p>
      <w:pPr>
        <w:spacing w:after="0" w:line="162" w:lineRule="exact"/>
        <w:rPr>
          <w:sz w:val="20"/>
          <w:szCs w:val="20"/>
          <w:color w:val="auto"/>
        </w:rPr>
      </w:pPr>
    </w:p>
    <w:p>
      <w:pPr>
        <w:jc w:val="both"/>
        <w:ind w:right="60" w:firstLine="744"/>
        <w:spacing w:after="0" w:line="312" w:lineRule="auto"/>
        <w:rPr>
          <w:sz w:val="20"/>
          <w:szCs w:val="20"/>
          <w:color w:val="auto"/>
        </w:rPr>
      </w:pPr>
      <w:r>
        <w:rPr>
          <w:rFonts w:ascii="Arial" w:cs="Arial" w:eastAsia="Arial" w:hAnsi="Arial"/>
          <w:sz w:val="16"/>
          <w:szCs w:val="16"/>
          <w:color w:val="auto"/>
        </w:rPr>
        <w:t>We repurchased debt securities, thereby reducing interest expense and recognizing a gain on redemption. The unrealized gains on trading securities in 2009 were principally based on improvements in the underlying collateral markets and liquidity solution discussions for auction rate securities. In contrast, the unrealized losses on trading securities in 2008 primarily reflected worsening collateral markets and the failure of the auction rate securities markets.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5" w:name="page46"/>
    <w:bookmarkEnd w:id="45"/>
    <w:p>
      <w:pPr>
        <w:ind w:left="760"/>
        <w:spacing w:after="0"/>
        <w:rPr>
          <w:sz w:val="20"/>
          <w:szCs w:val="20"/>
          <w:color w:val="auto"/>
        </w:rPr>
      </w:pPr>
      <w:r>
        <w:rPr>
          <w:rFonts w:ascii="Arial" w:cs="Arial" w:eastAsia="Arial" w:hAnsi="Arial"/>
          <w:sz w:val="18"/>
          <w:szCs w:val="18"/>
          <w:color w:val="auto"/>
        </w:rPr>
        <w:t>The following table shows selected assets and liabilities of Corporate Items and Other as of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EAF9E8"/>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127,655</w:t>
            </w:r>
          </w:p>
        </w:tc>
        <w:tc>
          <w:tcPr>
            <w:tcW w:w="220" w:type="dxa"/>
            <w:vAlign w:val="bottom"/>
            <w:shd w:val="clear" w:color="auto" w:fill="EAF9E8"/>
          </w:tcPr>
          <w:p>
            <w:pPr>
              <w:spacing w:after="0"/>
              <w:rPr>
                <w:sz w:val="18"/>
                <w:szCs w:val="18"/>
                <w:color w:val="auto"/>
              </w:rPr>
            </w:pPr>
          </w:p>
        </w:tc>
        <w:tc>
          <w:tcPr>
            <w:tcW w:w="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90,778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Trading securities, at fair value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ind w:left="60"/>
              <w:spacing w:after="0"/>
              <w:rPr>
                <w:sz w:val="20"/>
                <w:szCs w:val="20"/>
                <w:color w:val="auto"/>
              </w:rPr>
            </w:pPr>
            <w:r>
              <w:rPr>
                <w:rFonts w:ascii="Arial" w:cs="Arial" w:eastAsia="Arial" w:hAnsi="Arial"/>
                <w:sz w:val="18"/>
                <w:szCs w:val="18"/>
                <w:color w:val="auto"/>
              </w:rPr>
              <w:t>Auction rate (1)</w:t>
            </w:r>
          </w:p>
        </w:tc>
        <w:tc>
          <w:tcPr>
            <w:tcW w:w="26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247,464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60"/>
              <w:spacing w:after="0"/>
              <w:rPr>
                <w:sz w:val="20"/>
                <w:szCs w:val="20"/>
                <w:color w:val="auto"/>
              </w:rPr>
            </w:pPr>
            <w:r>
              <w:rPr>
                <w:rFonts w:ascii="Arial" w:cs="Arial" w:eastAsia="Arial" w:hAnsi="Arial"/>
                <w:sz w:val="18"/>
                <w:szCs w:val="18"/>
                <w:color w:val="auto"/>
              </w:rPr>
              <w:t>Subordinates and residuals</w:t>
            </w: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spacing w:after="0"/>
              <w:rPr>
                <w:sz w:val="20"/>
                <w:szCs w:val="20"/>
                <w:color w:val="auto"/>
              </w:rPr>
            </w:pPr>
            <w:r>
              <w:rPr>
                <w:rFonts w:ascii="Arial" w:cs="Arial" w:eastAsia="Arial" w:hAnsi="Arial"/>
                <w:sz w:val="18"/>
                <w:szCs w:val="18"/>
                <w:color w:val="auto"/>
              </w:rPr>
              <w:t>Receivables, net</w:t>
            </w: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4,184</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Income taxes receivable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3,620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spacing w:after="0"/>
              <w:rPr>
                <w:sz w:val="20"/>
                <w:szCs w:val="20"/>
                <w:color w:val="auto"/>
              </w:rPr>
            </w:pPr>
            <w:r>
              <w:rPr>
                <w:rFonts w:ascii="Arial" w:cs="Arial" w:eastAsia="Arial" w:hAnsi="Arial"/>
                <w:sz w:val="18"/>
                <w:szCs w:val="18"/>
                <w:color w:val="auto"/>
              </w:rPr>
              <w:t>Deferred tax assets, net</w:t>
            </w: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138,716</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132,683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5,134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spacing w:after="0"/>
              <w:rPr>
                <w:sz w:val="20"/>
                <w:szCs w:val="20"/>
                <w:color w:val="auto"/>
              </w:rPr>
            </w:pPr>
            <w:r>
              <w:rPr>
                <w:rFonts w:ascii="Arial" w:cs="Arial" w:eastAsia="Arial" w:hAnsi="Arial"/>
                <w:sz w:val="18"/>
                <w:szCs w:val="18"/>
                <w:color w:val="auto"/>
              </w:rPr>
              <w:t>Interest-earning collateral deposits (2)</w:t>
            </w:r>
          </w:p>
        </w:tc>
        <w:tc>
          <w:tcPr>
            <w:tcW w:w="26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23,729</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Real estate (3)</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EAF9E8"/>
          </w:tcPr>
          <w:p>
            <w:pPr>
              <w:spacing w:after="0"/>
              <w:rPr>
                <w:sz w:val="19"/>
                <w:szCs w:val="19"/>
                <w:color w:val="auto"/>
              </w:rPr>
            </w:pPr>
          </w:p>
        </w:tc>
        <w:tc>
          <w:tcPr>
            <w:tcW w:w="10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6,317</w:t>
            </w:r>
          </w:p>
        </w:tc>
        <w:tc>
          <w:tcPr>
            <w:tcW w:w="2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280" w:type="dxa"/>
            <w:vAlign w:val="bottom"/>
            <w:tcBorders>
              <w:bottom w:val="single" w:sz="8" w:color="auto"/>
            </w:tcBorders>
            <w:shd w:val="clear" w:color="auto" w:fill="EAF9E8"/>
          </w:tcPr>
          <w:p>
            <w:pPr>
              <w:spacing w:after="0"/>
              <w:rPr>
                <w:sz w:val="19"/>
                <w:szCs w:val="19"/>
                <w:color w:val="auto"/>
              </w:rPr>
            </w:pP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8,428</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60"/>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309,466</w:t>
            </w:r>
          </w:p>
        </w:tc>
        <w:tc>
          <w:tcPr>
            <w:tcW w:w="22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514,177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Lines of credit and other secured borrowings (1)</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7,774</w:t>
            </w:r>
          </w:p>
        </w:tc>
        <w:tc>
          <w:tcPr>
            <w:tcW w:w="22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spacing w:after="0"/>
              <w:rPr>
                <w:sz w:val="20"/>
                <w:szCs w:val="20"/>
                <w:color w:val="auto"/>
              </w:rPr>
            </w:pPr>
            <w:r>
              <w:rPr>
                <w:rFonts w:ascii="Arial" w:cs="Arial" w:eastAsia="Arial" w:hAnsi="Arial"/>
                <w:sz w:val="18"/>
                <w:szCs w:val="18"/>
                <w:color w:val="auto"/>
              </w:rPr>
              <w:t>Investment line (1)</w:t>
            </w:r>
          </w:p>
        </w:tc>
        <w:tc>
          <w:tcPr>
            <w:tcW w:w="26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156,968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Debt securities (4)</w:t>
            </w: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82,554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95,564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spacing w:after="0"/>
              <w:rPr>
                <w:sz w:val="20"/>
                <w:szCs w:val="20"/>
                <w:color w:val="auto"/>
              </w:rPr>
            </w:pPr>
            <w:r>
              <w:rPr>
                <w:rFonts w:ascii="Arial" w:cs="Arial" w:eastAsia="Arial" w:hAnsi="Arial"/>
                <w:sz w:val="18"/>
                <w:szCs w:val="18"/>
                <w:color w:val="auto"/>
              </w:rPr>
              <w:t>Accrued expenses (5)</w:t>
            </w:r>
          </w:p>
        </w:tc>
        <w:tc>
          <w:tcPr>
            <w:tcW w:w="26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33,433</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Derivatives, at fair value (2)</w:t>
            </w: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15,335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spacing w:after="0"/>
              <w:rPr>
                <w:sz w:val="20"/>
                <w:szCs w:val="20"/>
                <w:color w:val="auto"/>
              </w:rPr>
            </w:pPr>
            <w:r>
              <w:rPr>
                <w:rFonts w:ascii="Arial" w:cs="Arial" w:eastAsia="Arial" w:hAnsi="Arial"/>
                <w:sz w:val="18"/>
                <w:szCs w:val="18"/>
                <w:color w:val="auto"/>
              </w:rPr>
              <w:t>Checks held for escheat</w:t>
            </w: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5,364</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Liability for selected tax items (6)</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spacing w:after="0"/>
              <w:rPr>
                <w:sz w:val="20"/>
                <w:szCs w:val="20"/>
                <w:color w:val="auto"/>
              </w:rPr>
            </w:pPr>
            <w:r>
              <w:rPr>
                <w:rFonts w:ascii="Arial" w:cs="Arial" w:eastAsia="Arial" w:hAnsi="Arial"/>
                <w:sz w:val="18"/>
                <w:szCs w:val="18"/>
                <w:color w:val="auto"/>
              </w:rPr>
              <w:t>Payable to Altisource</w:t>
            </w: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3,715</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EAF9E8"/>
          </w:tcPr>
          <w:p>
            <w:pPr>
              <w:spacing w:after="0"/>
              <w:rPr>
                <w:sz w:val="19"/>
                <w:szCs w:val="19"/>
                <w:color w:val="auto"/>
              </w:rPr>
            </w:pPr>
          </w:p>
        </w:tc>
        <w:tc>
          <w:tcPr>
            <w:tcW w:w="10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3,841</w:t>
            </w:r>
          </w:p>
        </w:tc>
        <w:tc>
          <w:tcPr>
            <w:tcW w:w="2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280" w:type="dxa"/>
            <w:vAlign w:val="bottom"/>
            <w:tcBorders>
              <w:bottom w:val="single" w:sz="8" w:color="auto"/>
            </w:tcBorders>
            <w:shd w:val="clear" w:color="auto" w:fill="EAF9E8"/>
          </w:tcPr>
          <w:p>
            <w:pPr>
              <w:spacing w:after="0"/>
              <w:rPr>
                <w:sz w:val="19"/>
                <w:szCs w:val="19"/>
                <w:color w:val="auto"/>
              </w:rPr>
            </w:pP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60"/>
              <w:spacing w:after="0"/>
              <w:rPr>
                <w:sz w:val="20"/>
                <w:szCs w:val="20"/>
                <w:color w:val="auto"/>
              </w:rPr>
            </w:pPr>
            <w:r>
              <w:rPr>
                <w:rFonts w:ascii="Arial" w:cs="Arial" w:eastAsia="Arial" w:hAnsi="Arial"/>
                <w:sz w:val="18"/>
                <w:szCs w:val="18"/>
                <w:color w:val="auto"/>
              </w:rPr>
              <w:t>Total liabilities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156,877</w:t>
            </w:r>
          </w:p>
        </w:tc>
        <w:tc>
          <w:tcPr>
            <w:tcW w:w="22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302,253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80" w:right="200" w:hanging="572"/>
        <w:spacing w:after="0" w:line="256"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During 2010, we liquidated our remaining investment in auction rate securities through sales and the settlement of two of our auction rate securities litigation actions. We received cash proceeds of $237,355 from these transactions. We used these proceeds to repay the investment line. See Note 4 and Note 17 to the Consolidated Financial Statements for additional information.</w:t>
      </w:r>
    </w:p>
    <w:p>
      <w:pPr>
        <w:ind w:left="580" w:right="200" w:hanging="572"/>
        <w:spacing w:after="0" w:line="250"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disclosed in Note 21 to the Consolidated Financial Statements, we entered into interest rate swap agreements during the second quarter to hedge against our exposure to an increase in variable interest rates. At December 31, 2010, we have $18,684 of cash collateral on deposit with the counterparties to the swap agreements.</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During the second quarter of 2010, we wrote off our investment of $3,000 in a commercial real estate partnership.</w:t>
      </w:r>
    </w:p>
    <w:p>
      <w:pPr>
        <w:spacing w:after="0" w:line="9" w:lineRule="exact"/>
        <w:rPr>
          <w:rFonts w:ascii="Arial" w:cs="Arial" w:eastAsia="Arial" w:hAnsi="Arial"/>
          <w:sz w:val="18"/>
          <w:szCs w:val="18"/>
          <w:color w:val="auto"/>
        </w:rPr>
      </w:pPr>
    </w:p>
    <w:p>
      <w:pPr>
        <w:ind w:left="580" w:right="60" w:hanging="572"/>
        <w:spacing w:after="0" w:line="250"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January 2010, we repurchased $12,930 par value of our 10.875% Capital Trust Securities at a discount to par in the open market which generated a gain of $717, net of the write-off of unamortized issuance costs. In June 2010, we repurchased $80 par value of Capital Trust Securities which generated a net gain of $6.</w:t>
      </w:r>
    </w:p>
    <w:p>
      <w:pPr>
        <w:spacing w:after="0" w:line="1" w:lineRule="exact"/>
        <w:rPr>
          <w:rFonts w:ascii="Arial" w:cs="Arial" w:eastAsia="Arial" w:hAnsi="Arial"/>
          <w:sz w:val="18"/>
          <w:szCs w:val="18"/>
          <w:color w:val="auto"/>
        </w:rPr>
      </w:pPr>
    </w:p>
    <w:p>
      <w:pPr>
        <w:ind w:left="580" w:right="180" w:hanging="572"/>
        <w:spacing w:after="0" w:line="250"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Accrued expenses include accruals of $18,413 and $600 at December 31, 2010 and 2009, respectively, established in connection with litigation. See Note 32 to the Consolidated Financial Statements for additional information regarding litigation.</w:t>
      </w:r>
    </w:p>
    <w:p>
      <w:pPr>
        <w:ind w:left="580" w:hanging="572"/>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See Note 25 to the Consolidated Financial Statements for additional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229" w:lineRule="exact"/>
        <w:rPr>
          <w:sz w:val="20"/>
          <w:szCs w:val="20"/>
          <w:color w:val="auto"/>
        </w:rPr>
      </w:pPr>
    </w:p>
    <w:p>
      <w:pPr>
        <w:ind w:right="20" w:firstLine="744"/>
        <w:spacing w:after="0" w:line="255" w:lineRule="auto"/>
        <w:rPr>
          <w:sz w:val="20"/>
          <w:szCs w:val="20"/>
          <w:color w:val="auto"/>
        </w:rPr>
      </w:pPr>
      <w:r>
        <w:rPr>
          <w:rFonts w:ascii="Arial" w:cs="Arial" w:eastAsia="Arial" w:hAnsi="Arial"/>
          <w:sz w:val="18"/>
          <w:szCs w:val="18"/>
          <w:color w:val="auto"/>
        </w:rPr>
        <w:t>Total equity amounted to $904,817 at December 31, 2010 as compared to $865,863 at December 31, 2009. This increase of $38,954 is primarily due to net income of $37,992. The exercise of 774,345 stock options and the compensation in the form of employee share-based awards contributed a total of $7,965 to the increase in equity in 2010. In addition, as more fully described in Note 1—Securitizations of Residential Mortgage Loans, we recorded a $2,274 increase in the opening balance of retained earnings upon adoption of ASU 2009-17 (ASC 810, Consolidation) on January 1, 2010. Partially offsetting these increases, we recognized $9,239 of unrealized losses, net of taxes of $5,196, in Other com prehensive loss on interest rate swaps that we designated as cash flow hedges.</w:t>
      </w:r>
    </w:p>
    <w:p>
      <w:pPr>
        <w:spacing w:after="0" w:line="193" w:lineRule="exact"/>
        <w:rPr>
          <w:sz w:val="20"/>
          <w:szCs w:val="20"/>
          <w:color w:val="auto"/>
        </w:rPr>
      </w:pPr>
    </w:p>
    <w:p>
      <w:pPr>
        <w:ind w:right="100" w:firstLine="747"/>
        <w:spacing w:after="0" w:line="277" w:lineRule="auto"/>
        <w:rPr>
          <w:sz w:val="20"/>
          <w:szCs w:val="20"/>
          <w:color w:val="auto"/>
        </w:rPr>
      </w:pPr>
      <w:r>
        <w:rPr>
          <w:rFonts w:ascii="Arial" w:cs="Arial" w:eastAsia="Arial" w:hAnsi="Arial"/>
          <w:sz w:val="18"/>
          <w:szCs w:val="18"/>
          <w:color w:val="auto"/>
        </w:rPr>
        <w:t>Non-controlling interests of $246 and $252 at December 31, 2010 and December 31, 2009, respectively, primarily represented the 30% investment in GSS held by ML IBK Positions, Inc.</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INCOME TAX EXPENSE (BENEFIT)</w:t>
      </w:r>
    </w:p>
    <w:p>
      <w:pPr>
        <w:spacing w:after="0" w:line="229" w:lineRule="exact"/>
        <w:rPr>
          <w:sz w:val="20"/>
          <w:szCs w:val="20"/>
          <w:color w:val="auto"/>
        </w:rPr>
      </w:pPr>
    </w:p>
    <w:p>
      <w:pPr>
        <w:ind w:right="140" w:firstLine="747"/>
        <w:spacing w:after="0" w:line="277" w:lineRule="auto"/>
        <w:rPr>
          <w:sz w:val="20"/>
          <w:szCs w:val="20"/>
          <w:color w:val="auto"/>
        </w:rPr>
      </w:pPr>
      <w:r>
        <w:rPr>
          <w:rFonts w:ascii="Arial" w:cs="Arial" w:eastAsia="Arial" w:hAnsi="Arial"/>
          <w:sz w:val="18"/>
          <w:szCs w:val="18"/>
          <w:color w:val="auto"/>
        </w:rPr>
        <w:t>Income tax expense was $5,545, $96,110 and $12,006 for 2010, 2009 and 2008, respectively. In the third quarter of 2009, we incurred income tax expense of $52,047 in connection with the Separation of which $26,398 was deferred tax expense.</w:t>
      </w:r>
    </w:p>
    <w:p>
      <w:pPr>
        <w:spacing w:after="0" w:line="170" w:lineRule="exact"/>
        <w:rPr>
          <w:sz w:val="20"/>
          <w:szCs w:val="20"/>
          <w:color w:val="auto"/>
        </w:rPr>
      </w:pPr>
    </w:p>
    <w:p>
      <w:pPr>
        <w:ind w:right="80" w:firstLine="747"/>
        <w:spacing w:after="0" w:line="270" w:lineRule="auto"/>
        <w:rPr>
          <w:sz w:val="20"/>
          <w:szCs w:val="20"/>
          <w:color w:val="auto"/>
        </w:rPr>
      </w:pPr>
      <w:r>
        <w:rPr>
          <w:rFonts w:ascii="Arial" w:cs="Arial" w:eastAsia="Arial" w:hAnsi="Arial"/>
          <w:sz w:val="17"/>
          <w:szCs w:val="17"/>
          <w:color w:val="auto"/>
        </w:rPr>
        <w:t>Our effective tax rate for 2010 was 14.2% as compared to 48.4% for 2009, excluding the effects of the Separation, and 38.7% for 2008. Excluding the effect of the Separation in 2009, changes in our liability for selected tax items in 2010 and 2009 and the increase in valuation allowances in 2008, our effective tax rate was 37.5%, 36.4% and 34.3% for 2010, 2009 and 2008, respectively. For the years 2008 and 2009, we paid cash taxes at rates less than our effective tax rate due to the utilization of tax benefits including low income housing tax credits. Our Federal U.S. cash tax rate for 2010 approximates 35%. Our Federal U.S. cash rate for 2009 and 2008 approximated 20%. When combined with U.S. state and international cash taxes, the rates are 41.7%, 24.8% and 29.3%, respectively. At December 31, 2009, we no longer had any low income housing tax credits available to reduce future taxable income. Income tax expense on income before income taxes differs from amounts that would be computed by applying the Federal corporate income tax rate of 35% primarily because of the effect of foreign taxes and foreign tax rates, foreign income with an indefinite deferral from U.S. taxation, losses from consolidated variable interest entities (VIEs), state taxes and changes in the liability for selected tax items. See Note 25 to our Consolidated Financial Statements for a reconciliation of taxes at the statutory rate to actual income tax expense.</w:t>
      </w:r>
    </w:p>
    <w:p>
      <w:pPr>
        <w:spacing w:after="0" w:line="178" w:lineRule="exact"/>
        <w:rPr>
          <w:sz w:val="20"/>
          <w:szCs w:val="20"/>
          <w:color w:val="auto"/>
        </w:rPr>
      </w:pPr>
    </w:p>
    <w:p>
      <w:pPr>
        <w:ind w:right="20" w:firstLine="744"/>
        <w:spacing w:after="0" w:line="286" w:lineRule="auto"/>
        <w:rPr>
          <w:sz w:val="20"/>
          <w:szCs w:val="20"/>
          <w:color w:val="auto"/>
        </w:rPr>
      </w:pPr>
      <w:r>
        <w:rPr>
          <w:rFonts w:ascii="Arial" w:cs="Arial" w:eastAsia="Arial" w:hAnsi="Arial"/>
          <w:sz w:val="17"/>
          <w:szCs w:val="17"/>
          <w:color w:val="auto"/>
        </w:rPr>
        <w:t>The effective rate for 2010 reflects a benefit from the release of a reserve of $9,126 predominantly related to deductions associated with a servicing advance finance structure and with statute expirations. The reserve for these items had been recorded in prior years. Our effective tax rate for 2010 also includes a non-cash benefit of approximately 1.9% associated with the recognition of certain foreign deferred tax assets.</w:t>
      </w:r>
    </w:p>
    <w:p>
      <w:pPr>
        <w:spacing w:after="0" w:line="166" w:lineRule="exact"/>
        <w:rPr>
          <w:sz w:val="20"/>
          <w:szCs w:val="20"/>
          <w:color w:val="auto"/>
        </w:rPr>
      </w:pPr>
    </w:p>
    <w:p>
      <w:pPr>
        <w:ind w:right="240" w:firstLine="747"/>
        <w:spacing w:after="0" w:line="264" w:lineRule="auto"/>
        <w:rPr>
          <w:sz w:val="20"/>
          <w:szCs w:val="20"/>
          <w:color w:val="auto"/>
        </w:rPr>
      </w:pPr>
      <w:r>
        <w:rPr>
          <w:rFonts w:ascii="Arial" w:cs="Arial" w:eastAsia="Arial" w:hAnsi="Arial"/>
          <w:sz w:val="18"/>
          <w:szCs w:val="18"/>
          <w:color w:val="auto"/>
        </w:rPr>
        <w:t>Our effective tax rate for 2009 includes a non-cash benefit of approximately 1.2% associated with the recognition of certain foreign deferred tax assets, offset by 12% resulting from a non-cash increase in our liability for selected tax items related to recognized deferred tax assets arising from deductibility of losses in a servicing advance finance structure.</w:t>
      </w:r>
    </w:p>
    <w:p>
      <w:pPr>
        <w:spacing w:after="0" w:line="181" w:lineRule="exact"/>
        <w:rPr>
          <w:sz w:val="20"/>
          <w:szCs w:val="20"/>
          <w:color w:val="auto"/>
        </w:rPr>
      </w:pPr>
    </w:p>
    <w:p>
      <w:pPr>
        <w:jc w:val="both"/>
        <w:ind w:right="100" w:firstLine="747"/>
        <w:spacing w:after="0" w:line="312" w:lineRule="auto"/>
        <w:rPr>
          <w:sz w:val="20"/>
          <w:szCs w:val="20"/>
          <w:color w:val="auto"/>
        </w:rPr>
      </w:pPr>
      <w:r>
        <w:rPr>
          <w:rFonts w:ascii="Arial" w:cs="Arial" w:eastAsia="Arial" w:hAnsi="Arial"/>
          <w:sz w:val="16"/>
          <w:szCs w:val="16"/>
          <w:color w:val="auto"/>
        </w:rPr>
        <w:t>Our effective tax rate for 2008 includes a benefit of approximately 1.6% associated with the recognition of certain foreign deferred tax assets. The effective tax rate for 2008 would have been 32.9% but was increased by approximately 4.5% due to the recognition of a valuation allowance on certain state net operating losses and 1.4% due to recognition of additional tax expense associated with the expiration of certain vested stock options.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747"/>
        <w:spacing w:after="0" w:line="286" w:lineRule="auto"/>
        <w:rPr>
          <w:sz w:val="20"/>
          <w:szCs w:val="20"/>
          <w:color w:val="auto"/>
        </w:rPr>
      </w:pPr>
      <w:r>
        <w:rPr>
          <w:rFonts w:ascii="Arial" w:cs="Arial" w:eastAsia="Arial" w:hAnsi="Arial"/>
          <w:sz w:val="17"/>
          <w:szCs w:val="17"/>
          <w:color w:val="auto"/>
        </w:rPr>
        <w:t>Our liquidity as of December 31, 2010, as measured by unencumbered cash plus unused, collateralized advance financing capacity was $256,890, a decrease of $35,224, or 12%, from December 31, 2009. At December 31, 2010, our cash position was $127,796 compared to $90,919 at December 31, 2009. We have invested cash that is in excess of our immediate operating needs primarily in money market deposit accounts.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Investment policy and funding strategy. </w:t>
      </w:r>
      <w:r>
        <w:rPr>
          <w:rFonts w:ascii="Arial" w:cs="Arial" w:eastAsia="Arial" w:hAnsi="Arial"/>
          <w:sz w:val="18"/>
          <w:szCs w:val="18"/>
          <w:color w:val="auto"/>
        </w:rPr>
        <w:t>Our primary sources of funds for near-term liquidity are:</w:t>
      </w:r>
    </w:p>
    <w:p>
      <w:pPr>
        <w:spacing w:after="0" w:line="229" w:lineRule="exact"/>
        <w:rPr>
          <w:sz w:val="20"/>
          <w:szCs w:val="20"/>
          <w:color w:val="auto"/>
        </w:rPr>
      </w:pPr>
    </w:p>
    <w:p>
      <w:pPr>
        <w:ind w:left="1960" w:hanging="574"/>
        <w:spacing w:after="0"/>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collections of servicing fees and ancillary revenues;</w:t>
      </w:r>
    </w:p>
    <w:p>
      <w:pPr>
        <w:spacing w:after="0" w:line="23" w:lineRule="exact"/>
        <w:rPr>
          <w:rFonts w:ascii="Arial" w:cs="Arial" w:eastAsia="Arial" w:hAnsi="Arial"/>
          <w:sz w:val="18"/>
          <w:szCs w:val="18"/>
          <w:color w:val="auto"/>
        </w:rPr>
      </w:pPr>
    </w:p>
    <w:p>
      <w:pPr>
        <w:ind w:left="1960" w:hanging="574"/>
        <w:spacing w:after="0"/>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proceeds from match funded liabilities;</w:t>
      </w:r>
    </w:p>
    <w:p>
      <w:pPr>
        <w:spacing w:after="0" w:line="9" w:lineRule="exact"/>
        <w:rPr>
          <w:rFonts w:ascii="Arial" w:cs="Arial" w:eastAsia="Arial" w:hAnsi="Arial"/>
          <w:sz w:val="18"/>
          <w:szCs w:val="18"/>
          <w:color w:val="auto"/>
        </w:rPr>
      </w:pPr>
    </w:p>
    <w:p>
      <w:pPr>
        <w:ind w:left="1960" w:hanging="574"/>
        <w:spacing w:after="0"/>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proceeds from lines of credit and other secured borrowings; and</w:t>
      </w:r>
    </w:p>
    <w:p>
      <w:pPr>
        <w:spacing w:after="0" w:line="9" w:lineRule="exact"/>
        <w:rPr>
          <w:rFonts w:ascii="Arial" w:cs="Arial" w:eastAsia="Arial" w:hAnsi="Arial"/>
          <w:sz w:val="18"/>
          <w:szCs w:val="18"/>
          <w:color w:val="auto"/>
        </w:rPr>
      </w:pPr>
    </w:p>
    <w:p>
      <w:pPr>
        <w:ind w:left="1960" w:hanging="574"/>
        <w:spacing w:after="0"/>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payments received on loans held for resale.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these near-term sources, additional long-term sources of liquidity include proceeds from the issuance of debt securities and equity capital.</w:t>
      </w:r>
    </w:p>
    <w:p>
      <w:pPr>
        <w:spacing w:after="0" w:line="23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primary uses of funds are:</w:t>
      </w:r>
    </w:p>
    <w:p>
      <w:pPr>
        <w:spacing w:after="0" w:line="225" w:lineRule="exact"/>
        <w:rPr>
          <w:sz w:val="20"/>
          <w:szCs w:val="20"/>
          <w:color w:val="auto"/>
        </w:rPr>
      </w:pPr>
    </w:p>
    <w:p>
      <w:pPr>
        <w:ind w:left="1960" w:hanging="574"/>
        <w:spacing w:after="0"/>
        <w:tabs>
          <w:tab w:leader="none" w:pos="1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payments for advances in excess of collections on existing servicing portfolios;</w:t>
      </w:r>
    </w:p>
    <w:p>
      <w:pPr>
        <w:spacing w:after="0" w:line="23" w:lineRule="exact"/>
        <w:rPr>
          <w:rFonts w:ascii="Arial" w:cs="Arial" w:eastAsia="Arial" w:hAnsi="Arial"/>
          <w:sz w:val="18"/>
          <w:szCs w:val="18"/>
          <w:color w:val="auto"/>
        </w:rPr>
      </w:pPr>
    </w:p>
    <w:p>
      <w:pPr>
        <w:ind w:left="1960" w:hanging="574"/>
        <w:spacing w:after="0"/>
        <w:tabs>
          <w:tab w:leader="none" w:pos="1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payment of interest and operating costs;</w:t>
      </w:r>
    </w:p>
    <w:p>
      <w:pPr>
        <w:spacing w:after="0" w:line="9" w:lineRule="exact"/>
        <w:rPr>
          <w:rFonts w:ascii="Arial" w:cs="Arial" w:eastAsia="Arial" w:hAnsi="Arial"/>
          <w:sz w:val="18"/>
          <w:szCs w:val="18"/>
          <w:color w:val="auto"/>
        </w:rPr>
      </w:pPr>
    </w:p>
    <w:p>
      <w:pPr>
        <w:ind w:left="1960" w:hanging="574"/>
        <w:spacing w:after="0"/>
        <w:tabs>
          <w:tab w:leader="none" w:pos="1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purchase of MSRs and related advances; and</w:t>
      </w:r>
    </w:p>
    <w:p>
      <w:pPr>
        <w:spacing w:after="0" w:line="9" w:lineRule="exact"/>
        <w:rPr>
          <w:rFonts w:ascii="Arial" w:cs="Arial" w:eastAsia="Arial" w:hAnsi="Arial"/>
          <w:sz w:val="18"/>
          <w:szCs w:val="18"/>
          <w:color w:val="auto"/>
        </w:rPr>
      </w:pPr>
    </w:p>
    <w:p>
      <w:pPr>
        <w:ind w:left="1960" w:hanging="574"/>
        <w:spacing w:after="0"/>
        <w:tabs>
          <w:tab w:leader="none" w:pos="1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repayments of borrowings.</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closely monitor our liquidity position and ongoing funding requirements.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86" w:right="279" w:bottom="1440" w:gutter="0" w:footer="0" w:header="0"/>
        </w:sectPr>
      </w:pPr>
    </w:p>
    <w:bookmarkStart w:id="47" w:name="page48"/>
    <w:bookmarkEnd w:id="47"/>
    <w:p>
      <w:pPr>
        <w:ind w:right="160" w:firstLine="744"/>
        <w:spacing w:after="0" w:line="277" w:lineRule="auto"/>
        <w:rPr>
          <w:sz w:val="20"/>
          <w:szCs w:val="20"/>
          <w:color w:val="auto"/>
        </w:rPr>
      </w:pPr>
      <w:r>
        <w:rPr>
          <w:rFonts w:ascii="Arial" w:cs="Arial" w:eastAsia="Arial" w:hAnsi="Arial"/>
          <w:sz w:val="18"/>
          <w:szCs w:val="18"/>
          <w:color w:val="auto"/>
        </w:rPr>
        <w:t>We regularly monitor and project cash flow by period in connection with our efforts to minimize liquidity risk. In assessing our liquidity outlook, our primary focus is on three measures:</w:t>
      </w:r>
    </w:p>
    <w:p>
      <w:pPr>
        <w:spacing w:after="0" w:line="170" w:lineRule="exact"/>
        <w:rPr>
          <w:sz w:val="20"/>
          <w:szCs w:val="20"/>
          <w:color w:val="auto"/>
        </w:rPr>
      </w:pPr>
    </w:p>
    <w:p>
      <w:pPr>
        <w:ind w:left="1380" w:hanging="562"/>
        <w:spacing w:after="0"/>
        <w:tabs>
          <w:tab w:leader="none" w:pos="1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requirements for maturing liabilities compared to dollars generated from maturing assets and operating cash flow;</w:t>
      </w:r>
    </w:p>
    <w:p>
      <w:pPr>
        <w:spacing w:after="0" w:line="225" w:lineRule="exact"/>
        <w:rPr>
          <w:rFonts w:ascii="Arial" w:cs="Arial" w:eastAsia="Arial" w:hAnsi="Arial"/>
          <w:sz w:val="18"/>
          <w:szCs w:val="18"/>
          <w:color w:val="auto"/>
        </w:rPr>
      </w:pPr>
    </w:p>
    <w:p>
      <w:pPr>
        <w:ind w:left="1380" w:hanging="562"/>
        <w:spacing w:after="0"/>
        <w:tabs>
          <w:tab w:leader="none" w:pos="1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change in advances and match funded advances compared to the change in match funded liabilities and</w:t>
      </w:r>
    </w:p>
    <w:p>
      <w:pPr>
        <w:spacing w:after="0" w:line="225" w:lineRule="exact"/>
        <w:rPr>
          <w:rFonts w:ascii="Arial" w:cs="Arial" w:eastAsia="Arial" w:hAnsi="Arial"/>
          <w:sz w:val="18"/>
          <w:szCs w:val="18"/>
          <w:color w:val="auto"/>
        </w:rPr>
      </w:pPr>
    </w:p>
    <w:p>
      <w:pPr>
        <w:ind w:left="1380" w:hanging="562"/>
        <w:spacing w:after="0"/>
        <w:tabs>
          <w:tab w:leader="none" w:pos="1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unused borrowing capacity.</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6"/>
          <w:szCs w:val="16"/>
          <w:color w:val="auto"/>
        </w:rPr>
        <w:t>At December 31, 2010, $926,471 of our total maximum borrowing capacity remained unused. We maintain unused borrowing capacity for three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reasons:</w:t>
      </w:r>
    </w:p>
    <w:p>
      <w:pPr>
        <w:spacing w:after="0" w:line="211" w:lineRule="exact"/>
        <w:rPr>
          <w:sz w:val="20"/>
          <w:szCs w:val="20"/>
          <w:color w:val="auto"/>
        </w:rPr>
      </w:pPr>
    </w:p>
    <w:p>
      <w:pPr>
        <w:ind w:left="1380" w:hanging="562"/>
        <w:spacing w:after="0"/>
        <w:tabs>
          <w:tab w:leader="none" w:pos="1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 a protection should advances increase due to increased delinquencies;</w:t>
      </w:r>
    </w:p>
    <w:p>
      <w:pPr>
        <w:spacing w:after="0" w:line="225" w:lineRule="exact"/>
        <w:rPr>
          <w:rFonts w:ascii="Arial" w:cs="Arial" w:eastAsia="Arial" w:hAnsi="Arial"/>
          <w:sz w:val="18"/>
          <w:szCs w:val="18"/>
          <w:color w:val="auto"/>
        </w:rPr>
      </w:pPr>
    </w:p>
    <w:p>
      <w:pPr>
        <w:ind w:left="1380" w:hanging="562"/>
        <w:spacing w:after="0"/>
        <w:tabs>
          <w:tab w:leader="none" w:pos="1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 a protection should we be unable to either renew existing facilities or obtain new facilities and</w:t>
      </w:r>
    </w:p>
    <w:p>
      <w:pPr>
        <w:spacing w:after="0" w:line="225" w:lineRule="exact"/>
        <w:rPr>
          <w:rFonts w:ascii="Arial" w:cs="Arial" w:eastAsia="Arial" w:hAnsi="Arial"/>
          <w:sz w:val="18"/>
          <w:szCs w:val="18"/>
          <w:color w:val="auto"/>
        </w:rPr>
      </w:pPr>
    </w:p>
    <w:p>
      <w:pPr>
        <w:ind w:left="1380" w:hanging="562"/>
        <w:spacing w:after="0"/>
        <w:tabs>
          <w:tab w:leader="none" w:pos="1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provide capacity for the acquisition of additional servicing rights.</w:t>
      </w:r>
    </w:p>
    <w:p>
      <w:pPr>
        <w:spacing w:after="0" w:line="221" w:lineRule="exact"/>
        <w:rPr>
          <w:sz w:val="20"/>
          <w:szCs w:val="20"/>
          <w:color w:val="auto"/>
        </w:rPr>
      </w:pPr>
    </w:p>
    <w:p>
      <w:pPr>
        <w:ind w:right="40" w:firstLine="747"/>
        <w:spacing w:after="0" w:line="274" w:lineRule="auto"/>
        <w:rPr>
          <w:sz w:val="20"/>
          <w:szCs w:val="20"/>
          <w:color w:val="auto"/>
        </w:rPr>
      </w:pPr>
      <w:r>
        <w:rPr>
          <w:rFonts w:ascii="Arial" w:cs="Arial" w:eastAsia="Arial" w:hAnsi="Arial"/>
          <w:sz w:val="17"/>
          <w:szCs w:val="17"/>
          <w:b w:val="1"/>
          <w:bCs w:val="1"/>
          <w:color w:val="auto"/>
        </w:rPr>
        <w:t xml:space="preserve">Outlook. </w:t>
      </w:r>
      <w:r>
        <w:rPr>
          <w:rFonts w:ascii="Arial" w:cs="Arial" w:eastAsia="Arial" w:hAnsi="Arial"/>
          <w:sz w:val="17"/>
          <w:szCs w:val="17"/>
          <w:color w:val="auto"/>
        </w:rPr>
        <w:t>As noted in the “Overview – Liquidity Summary” section, we have begun to implement our plan to reduce unused borrowing capacity</w:t>
      </w:r>
      <w:r>
        <w:rPr>
          <w:rFonts w:ascii="Arial" w:cs="Arial" w:eastAsia="Arial" w:hAnsi="Arial"/>
          <w:sz w:val="17"/>
          <w:szCs w:val="17"/>
          <w:b w:val="1"/>
          <w:bCs w:val="1"/>
          <w:color w:val="auto"/>
        </w:rPr>
        <w:t xml:space="preserve"> </w:t>
      </w:r>
      <w:r>
        <w:rPr>
          <w:rFonts w:ascii="Arial" w:cs="Arial" w:eastAsia="Arial" w:hAnsi="Arial"/>
          <w:sz w:val="17"/>
          <w:szCs w:val="17"/>
          <w:color w:val="auto"/>
        </w:rPr>
        <w:t>relative to the current levels of advances and match funded advances to a level that we consider prudent to meet our funding needs for reasonably foreseeable changes in advances in order to reduce interest expense. We also monitor the duration of our funding sources. With the increase in the term of our funding sources, we have better matched the duration of our advances and corresponding borrowings and further reduced the relative cost of up-front facility fees and expenses. Our $410, 000 of TALF issuances, $88,000 variable funding term note and $811,000 HomEq facility which is funded with three-year term notes account for 69% of our drawn advance financing on December 31, 2010.</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Debt financing summary. </w:t>
      </w:r>
      <w:r>
        <w:rPr>
          <w:rFonts w:ascii="Arial" w:cs="Arial" w:eastAsia="Arial" w:hAnsi="Arial"/>
          <w:sz w:val="18"/>
          <w:szCs w:val="18"/>
          <w:color w:val="auto"/>
        </w:rPr>
        <w:t>During 2010, we:</w:t>
      </w:r>
    </w:p>
    <w:p>
      <w:pPr>
        <w:spacing w:after="0" w:line="229" w:lineRule="exact"/>
        <w:rPr>
          <w:sz w:val="20"/>
          <w:szCs w:val="20"/>
          <w:color w:val="auto"/>
        </w:rPr>
      </w:pPr>
    </w:p>
    <w:p>
      <w:pPr>
        <w:ind w:left="1380" w:hanging="562"/>
        <w:spacing w:after="0"/>
        <w:tabs>
          <w:tab w:leader="none" w:pos="1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Issued $1,011,000 of notes in connection with the financing of advances acquired as part of the HomEq Acquisition;</w:t>
      </w:r>
    </w:p>
    <w:p>
      <w:pPr>
        <w:spacing w:after="0" w:line="225" w:lineRule="exact"/>
        <w:rPr>
          <w:rFonts w:ascii="Arial" w:cs="Arial" w:eastAsia="Arial" w:hAnsi="Arial"/>
          <w:sz w:val="18"/>
          <w:szCs w:val="18"/>
          <w:color w:val="auto"/>
        </w:rPr>
      </w:pPr>
    </w:p>
    <w:p>
      <w:pPr>
        <w:ind w:left="1380" w:hanging="562"/>
        <w:spacing w:after="0"/>
        <w:tabs>
          <w:tab w:leader="none" w:pos="1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Renewed a $500,000 advance note;</w:t>
      </w:r>
    </w:p>
    <w:p>
      <w:pPr>
        <w:spacing w:after="0" w:line="225" w:lineRule="exact"/>
        <w:rPr>
          <w:rFonts w:ascii="Arial" w:cs="Arial" w:eastAsia="Arial" w:hAnsi="Arial"/>
          <w:sz w:val="18"/>
          <w:szCs w:val="18"/>
          <w:color w:val="auto"/>
        </w:rPr>
      </w:pPr>
    </w:p>
    <w:p>
      <w:pPr>
        <w:ind w:left="1380" w:right="120" w:hanging="562"/>
        <w:spacing w:after="0" w:line="277" w:lineRule="auto"/>
        <w:tabs>
          <w:tab w:leader="none" w:pos="1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Entered into a $350,000 senior secured term loan that was issued with an original issued discount of $7,000 and used to fund a portion of the HomEq Acquisition as well as for general corporate purposes, of which $152,500 was repaid in 2010;</w:t>
      </w:r>
    </w:p>
    <w:p>
      <w:pPr>
        <w:spacing w:after="0" w:line="170" w:lineRule="exact"/>
        <w:rPr>
          <w:rFonts w:ascii="Arial" w:cs="Arial" w:eastAsia="Arial" w:hAnsi="Arial"/>
          <w:sz w:val="18"/>
          <w:szCs w:val="18"/>
          <w:color w:val="auto"/>
        </w:rPr>
      </w:pPr>
    </w:p>
    <w:p>
      <w:pPr>
        <w:ind w:left="1380" w:hanging="562"/>
        <w:spacing w:after="0"/>
        <w:tabs>
          <w:tab w:leader="none" w:pos="1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Renewed and extended a variable funding note with a maximum borrowing capacity of $300,000;</w:t>
      </w:r>
    </w:p>
    <w:p>
      <w:pPr>
        <w:spacing w:after="0" w:line="225" w:lineRule="exact"/>
        <w:rPr>
          <w:rFonts w:ascii="Arial" w:cs="Arial" w:eastAsia="Arial" w:hAnsi="Arial"/>
          <w:sz w:val="18"/>
          <w:szCs w:val="18"/>
          <w:color w:val="auto"/>
        </w:rPr>
      </w:pPr>
    </w:p>
    <w:p>
      <w:pPr>
        <w:ind w:left="1380" w:hanging="562"/>
        <w:spacing w:after="0"/>
        <w:tabs>
          <w:tab w:leader="none" w:pos="1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Issued $200,000 of advance receivable backed notes under the TALF program;</w:t>
      </w:r>
    </w:p>
    <w:p>
      <w:pPr>
        <w:spacing w:after="0" w:line="225" w:lineRule="exact"/>
        <w:rPr>
          <w:rFonts w:ascii="Arial" w:cs="Arial" w:eastAsia="Arial" w:hAnsi="Arial"/>
          <w:sz w:val="18"/>
          <w:szCs w:val="18"/>
          <w:color w:val="auto"/>
        </w:rPr>
      </w:pPr>
    </w:p>
    <w:p>
      <w:pPr>
        <w:ind w:left="1380" w:hanging="562"/>
        <w:spacing w:after="0"/>
        <w:tabs>
          <w:tab w:leader="none" w:pos="1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Fully repaid $156,968 on our auction rate securities investment line;</w:t>
      </w:r>
    </w:p>
    <w:p>
      <w:pPr>
        <w:spacing w:after="0" w:line="225" w:lineRule="exact"/>
        <w:rPr>
          <w:rFonts w:ascii="Arial" w:cs="Arial" w:eastAsia="Arial" w:hAnsi="Arial"/>
          <w:sz w:val="18"/>
          <w:szCs w:val="18"/>
          <w:color w:val="auto"/>
        </w:rPr>
      </w:pPr>
    </w:p>
    <w:p>
      <w:pPr>
        <w:ind w:left="1380" w:hanging="562"/>
        <w:spacing w:after="0"/>
        <w:tabs>
          <w:tab w:leader="none" w:pos="1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Renewed a $100,000 advance note;</w:t>
      </w:r>
    </w:p>
    <w:p>
      <w:pPr>
        <w:spacing w:after="0" w:line="225" w:lineRule="exact"/>
        <w:rPr>
          <w:rFonts w:ascii="Arial" w:cs="Arial" w:eastAsia="Arial" w:hAnsi="Arial"/>
          <w:sz w:val="18"/>
          <w:szCs w:val="18"/>
          <w:color w:val="auto"/>
        </w:rPr>
      </w:pPr>
    </w:p>
    <w:p>
      <w:pPr>
        <w:ind w:left="1380" w:hanging="562"/>
        <w:spacing w:after="0"/>
        <w:tabs>
          <w:tab w:leader="none" w:pos="13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Entered into financing agreements collateralized by Ocwen Real Estate Asset Liquidating Trust 2007-1 Notes with a par value of $33,605;</w:t>
      </w:r>
    </w:p>
    <w:p>
      <w:pPr>
        <w:spacing w:after="0" w:line="248" w:lineRule="exact"/>
        <w:rPr>
          <w:rFonts w:ascii="Arial" w:cs="Arial" w:eastAsia="Arial" w:hAnsi="Arial"/>
          <w:sz w:val="16"/>
          <w:szCs w:val="16"/>
          <w:color w:val="auto"/>
        </w:rPr>
      </w:pPr>
    </w:p>
    <w:p>
      <w:pPr>
        <w:ind w:left="1380" w:hanging="562"/>
        <w:spacing w:after="0"/>
        <w:tabs>
          <w:tab w:leader="none" w:pos="1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Repurchased Capital Trust Securities with a face value of $13,010;</w:t>
      </w:r>
    </w:p>
    <w:p>
      <w:pPr>
        <w:spacing w:after="0" w:line="225" w:lineRule="exact"/>
        <w:rPr>
          <w:rFonts w:ascii="Arial" w:cs="Arial" w:eastAsia="Arial" w:hAnsi="Arial"/>
          <w:sz w:val="18"/>
          <w:szCs w:val="18"/>
          <w:color w:val="auto"/>
        </w:rPr>
      </w:pPr>
    </w:p>
    <w:p>
      <w:pPr>
        <w:ind w:left="1380" w:hanging="562"/>
        <w:spacing w:after="0"/>
        <w:tabs>
          <w:tab w:leader="none" w:pos="1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Repaid $12,000 on our original $60,000 fee reimbursement advance; and</w:t>
      </w:r>
    </w:p>
    <w:p>
      <w:pPr>
        <w:spacing w:after="0" w:line="225" w:lineRule="exact"/>
        <w:rPr>
          <w:rFonts w:ascii="Arial" w:cs="Arial" w:eastAsia="Arial" w:hAnsi="Arial"/>
          <w:sz w:val="18"/>
          <w:szCs w:val="18"/>
          <w:color w:val="auto"/>
        </w:rPr>
      </w:pPr>
    </w:p>
    <w:p>
      <w:pPr>
        <w:ind w:left="1380" w:hanging="562"/>
        <w:spacing w:after="0"/>
        <w:tabs>
          <w:tab w:leader="none" w:pos="1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Repaid $1,400 on our original $7,000 term note.</w:t>
      </w:r>
    </w:p>
    <w:p>
      <w:pPr>
        <w:spacing w:after="0" w:line="225" w:lineRule="exact"/>
        <w:rPr>
          <w:sz w:val="20"/>
          <w:szCs w:val="20"/>
          <w:color w:val="auto"/>
        </w:rPr>
      </w:pPr>
    </w:p>
    <w:p>
      <w:pPr>
        <w:ind w:right="60" w:firstLine="747"/>
        <w:spacing w:after="0" w:line="255" w:lineRule="auto"/>
        <w:rPr>
          <w:sz w:val="20"/>
          <w:szCs w:val="20"/>
          <w:color w:val="auto"/>
        </w:rPr>
      </w:pPr>
      <w:r>
        <w:rPr>
          <w:rFonts w:ascii="Arial" w:cs="Arial" w:eastAsia="Arial" w:hAnsi="Arial"/>
          <w:sz w:val="18"/>
          <w:szCs w:val="18"/>
          <w:color w:val="auto"/>
        </w:rPr>
        <w:t>Maximum borrowing capacity for match funded advances increased by $1,049,000 from $1,360,000 at December 31, 2009 to $2,409,000 at December 31, 2010. This increase is the result of our issuance of $1,011,000 of notes in connection with the financing of advances acquired as part of the HomEq Acquisition, our issuance of a $200,000 TALF note and our ability to renew and increase other advance facility notes before they entered their amortization period. These increases were partly offset by our termination in December 2010 of a $250,000 facility that was about to enter its amortization period. Despite an increase in advances and match funded advances of $1,140,356 that resulted primarily from o ur acquisition of the $22.4 billion HomEq Servicing portfolio and the $6.9 billion Saxon servicing portfolio, our unused advance borrowing capacity increased from $894,309 at December 31, 2009 to $926,471 at December 31, 2010.</w:t>
      </w:r>
    </w:p>
    <w:p>
      <w:pPr>
        <w:spacing w:after="0" w:line="189" w:lineRule="exact"/>
        <w:rPr>
          <w:sz w:val="20"/>
          <w:szCs w:val="20"/>
          <w:color w:val="auto"/>
        </w:rPr>
      </w:pPr>
    </w:p>
    <w:p>
      <w:pPr>
        <w:jc w:val="both"/>
        <w:ind w:firstLine="747"/>
        <w:spacing w:after="0" w:line="286" w:lineRule="auto"/>
        <w:rPr>
          <w:sz w:val="20"/>
          <w:szCs w:val="20"/>
          <w:color w:val="auto"/>
        </w:rPr>
      </w:pPr>
      <w:r>
        <w:rPr>
          <w:rFonts w:ascii="Arial" w:cs="Arial" w:eastAsia="Arial" w:hAnsi="Arial"/>
          <w:sz w:val="16"/>
          <w:szCs w:val="16"/>
          <w:color w:val="auto"/>
        </w:rPr>
        <w:t>Our ability to finance servicing advances is a significant factor that affects our liquidity. Two of our match funded advance facilities that are rated are subject to increases in the financing discount if deemed necessary by the rating agencies in order to maintain the minimum rating required for the facility. While Fitch has placed the notes under our Advance Receivable Backed Note Series on negative watch, we do not expect future advance rate changes to have a material effect on our liquidity. Our ability to continue to pledge collateral under each advance facility depends on the performance of the collateral.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Currently, the large majority of our collateral qualifies for financing under th e advance facility to which it is pledged.</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48" w:name="page49"/>
    <w:bookmarkEnd w:id="48"/>
    <w:p>
      <w:pPr>
        <w:ind w:firstLine="737"/>
        <w:spacing w:after="0" w:line="270" w:lineRule="auto"/>
        <w:rPr>
          <w:sz w:val="20"/>
          <w:szCs w:val="20"/>
          <w:color w:val="auto"/>
        </w:rPr>
      </w:pPr>
      <w:r>
        <w:rPr>
          <w:rFonts w:ascii="Arial" w:cs="Arial" w:eastAsia="Arial" w:hAnsi="Arial"/>
          <w:sz w:val="17"/>
          <w:szCs w:val="17"/>
          <w:color w:val="auto"/>
        </w:rPr>
        <w:t>As discussed in the “Business – Corporate Strategy and Outlook – Strategic Priorities,” recent inquiries into servicer foreclosure processes could result in actions by state or federal governmental bodies, regulators or the courts that could result in a further extension of foreclosure timelines. If this results in an increase in advances, the effect on liquidity will be lessened if Ocwen maintains its ability to utilize spare capacity on its advance facilities as approximately 75% of the increase in advances could be borrowed. Conversely, if foreclosure moratoria are issued in a manner that is undefined such that there is a question around whether advances on foreclos ed properties can be recovered in a timely manner, Ocwen may no longer be obligated to advance and may be able to recover existing advances in certain securitizations from pool-level collections which could cause advances to decrease. If any fines are assessed, this will reduce earnings and cash. One of our match funded advance facilities has provisions that limit new borrowing if average foreclosure timelines extend beyond a certain time period which under extreme circumstances could adversely affect liquidity by reducing our average effective advance rates. The extension of foreclosure timelines thus far has been more than offset by increases in other forms of resolution and advances have continued to decline. Absent more drastic foreclosure process changes, we expect advances to continue to decline.</w:t>
      </w:r>
    </w:p>
    <w:p>
      <w:pPr>
        <w:spacing w:after="0" w:line="178" w:lineRule="exact"/>
        <w:rPr>
          <w:sz w:val="20"/>
          <w:szCs w:val="20"/>
          <w:color w:val="auto"/>
        </w:rPr>
      </w:pPr>
    </w:p>
    <w:p>
      <w:pPr>
        <w:ind w:right="180" w:firstLine="747"/>
        <w:spacing w:after="0" w:line="259" w:lineRule="auto"/>
        <w:rPr>
          <w:sz w:val="20"/>
          <w:szCs w:val="20"/>
          <w:color w:val="auto"/>
        </w:rPr>
      </w:pPr>
      <w:r>
        <w:rPr>
          <w:rFonts w:ascii="Arial" w:cs="Arial" w:eastAsia="Arial" w:hAnsi="Arial"/>
          <w:sz w:val="18"/>
          <w:szCs w:val="18"/>
          <w:color w:val="auto"/>
        </w:rPr>
        <w:t>Some of our existing debt covenants limit our ability to incur additional debt in relation to our equity, require that we do not exceed maximum levels of delinquent loans and require that we maintain minimum levels of liquid assets and earnings. Failure to comply with these covenants could result in restrictions on new borrowings or the early termination of our borrowing facilities. We are currently in compliance with these covenants and do not expect them to restrict our activities.</w:t>
      </w:r>
    </w:p>
    <w:p>
      <w:pPr>
        <w:spacing w:after="0" w:line="187" w:lineRule="exact"/>
        <w:rPr>
          <w:sz w:val="20"/>
          <w:szCs w:val="20"/>
          <w:color w:val="auto"/>
        </w:rPr>
      </w:pPr>
    </w:p>
    <w:p>
      <w:pPr>
        <w:ind w:right="140" w:firstLine="747"/>
        <w:spacing w:after="0" w:line="257" w:lineRule="auto"/>
        <w:rPr>
          <w:sz w:val="20"/>
          <w:szCs w:val="20"/>
          <w:color w:val="auto"/>
        </w:rPr>
      </w:pPr>
      <w:r>
        <w:rPr>
          <w:rFonts w:ascii="Arial" w:cs="Arial" w:eastAsia="Arial" w:hAnsi="Arial"/>
          <w:sz w:val="18"/>
          <w:szCs w:val="18"/>
          <w:color w:val="auto"/>
        </w:rPr>
        <w:t>On January 8, 2011, we voluntarily repaid $67,500 of the senior secured term loan, and on February 9, 2011 we repaid an additional $95,000. We made these prepayments in order to absorb excess liquidity and to reduce interest expense. Following these payments, the remaining principal balance of the senior secured term loan is $35,000. By not repaying this facility in full and instead repaying the remaining balance as the next four mandatory repayments come due, we will keep this facility open through the end of 2011 which may enable us to utilize the “accordion” feature of the loan to fund additional servicing acquisitions should attractive opportunities arise.</w:t>
      </w:r>
    </w:p>
    <w:p>
      <w:pPr>
        <w:spacing w:after="0" w:line="184" w:lineRule="exact"/>
        <w:rPr>
          <w:sz w:val="20"/>
          <w:szCs w:val="20"/>
          <w:color w:val="auto"/>
        </w:rPr>
      </w:pPr>
    </w:p>
    <w:p>
      <w:pPr>
        <w:jc w:val="both"/>
        <w:ind w:right="40" w:firstLine="747"/>
        <w:spacing w:after="0" w:line="261" w:lineRule="auto"/>
        <w:rPr>
          <w:sz w:val="20"/>
          <w:szCs w:val="20"/>
          <w:color w:val="auto"/>
        </w:rPr>
      </w:pPr>
      <w:r>
        <w:rPr>
          <w:rFonts w:ascii="Arial" w:cs="Arial" w:eastAsia="Arial" w:hAnsi="Arial"/>
          <w:sz w:val="18"/>
          <w:szCs w:val="18"/>
          <w:b w:val="1"/>
          <w:bCs w:val="1"/>
          <w:color w:val="auto"/>
        </w:rPr>
        <w:t>Cash flows for the year ended December 31, 2010</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Our operating activities provided $727,544 of cash primarily due to our liquidation of auction</w:t>
      </w:r>
      <w:r>
        <w:rPr>
          <w:rFonts w:ascii="Arial" w:cs="Arial" w:eastAsia="Arial" w:hAnsi="Arial"/>
          <w:sz w:val="18"/>
          <w:szCs w:val="18"/>
          <w:b w:val="1"/>
          <w:bCs w:val="1"/>
          <w:color w:val="auto"/>
        </w:rPr>
        <w:t xml:space="preserve"> </w:t>
      </w:r>
      <w:r>
        <w:rPr>
          <w:rFonts w:ascii="Arial" w:cs="Arial" w:eastAsia="Arial" w:hAnsi="Arial"/>
          <w:sz w:val="18"/>
          <w:szCs w:val="18"/>
          <w:color w:val="auto"/>
        </w:rPr>
        <w:t>rate securities and net collections of servicing advances. Trading activities provided $239,555 of cash from sales, settlements and redemptions of auction rate securities. Excluding $1,588,370 paid to acquire advances in connection with the HomEq and Saxon acquisitions, total advances declined $447,219. Servicer liabilities declined by $36,180 in 2010.</w:t>
      </w:r>
    </w:p>
    <w:p>
      <w:pPr>
        <w:spacing w:after="0" w:line="184" w:lineRule="exact"/>
        <w:rPr>
          <w:sz w:val="20"/>
          <w:szCs w:val="20"/>
          <w:color w:val="auto"/>
        </w:rPr>
      </w:pPr>
    </w:p>
    <w:p>
      <w:pPr>
        <w:ind w:right="140" w:firstLine="747"/>
        <w:spacing w:after="0" w:line="302" w:lineRule="auto"/>
        <w:rPr>
          <w:sz w:val="20"/>
          <w:szCs w:val="20"/>
          <w:color w:val="auto"/>
        </w:rPr>
      </w:pPr>
      <w:r>
        <w:rPr>
          <w:rFonts w:ascii="Arial" w:cs="Arial" w:eastAsia="Arial" w:hAnsi="Arial"/>
          <w:sz w:val="16"/>
          <w:szCs w:val="16"/>
          <w:color w:val="auto"/>
        </w:rPr>
        <w:t>Our investing activities used $1,703,706 of cash during the year ended December 31, 2010. We paid $1,167,122 to acquire the HomEq Servicing business including $84,324 of MSRs and $1,063,180 of advances. We also paid $23,425 to purchase MSRs and acquired $528,882 of advances and other assets in connection with the acquisition of the Saxon servicing portfolio. During 2010, we also received proceeds of $6,036 from the sale of our 1% general partnership interests in three affordable housing properties and received $3,542 of distributions from our asset management entities.</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Our financing activities provided $1,013,039 of cash primarily consisting of $1,016,838 of net proceeds from match funded liabilities of our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Servicing business including $824,000 received in connection with the notes issued to finance the advances acquired as part of the HomEq Acquisition. We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also received proceeds of $343,000 from the issuance of a senior secured term loan. This was partially offset by our repayment of the investment line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$156,968, repayment of $152,500 of principal and $10,689 of debt issue costs on the senior secured term loan and repurchase of our Capital Trust Securities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a face value of $13,010 for $11,659. We also paid the first annual installment of $12,000 on our $60,000 fee reimbursement advance.</w:t>
      </w:r>
    </w:p>
    <w:p>
      <w:pPr>
        <w:spacing w:after="0" w:line="207" w:lineRule="exact"/>
        <w:rPr>
          <w:sz w:val="20"/>
          <w:szCs w:val="20"/>
          <w:color w:val="auto"/>
        </w:rPr>
      </w:pPr>
    </w:p>
    <w:p>
      <w:pPr>
        <w:ind w:right="80" w:firstLine="747"/>
        <w:spacing w:after="0" w:line="347" w:lineRule="auto"/>
        <w:rPr>
          <w:sz w:val="20"/>
          <w:szCs w:val="20"/>
          <w:color w:val="auto"/>
        </w:rPr>
      </w:pPr>
      <w:r>
        <w:rPr>
          <w:rFonts w:ascii="Arial" w:cs="Arial" w:eastAsia="Arial" w:hAnsi="Arial"/>
          <w:sz w:val="16"/>
          <w:szCs w:val="16"/>
          <w:b w:val="1"/>
          <w:bCs w:val="1"/>
          <w:color w:val="auto"/>
        </w:rPr>
        <w:t>Cash flows for the year ended December 31, 2009</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Our operating activities generated $206,646 of cash primarily due to lower investment in</w:t>
      </w:r>
      <w:r>
        <w:rPr>
          <w:rFonts w:ascii="Arial" w:cs="Arial" w:eastAsia="Arial" w:hAnsi="Arial"/>
          <w:sz w:val="16"/>
          <w:szCs w:val="16"/>
          <w:b w:val="1"/>
          <w:bCs w:val="1"/>
          <w:color w:val="auto"/>
        </w:rPr>
        <w:t xml:space="preserve"> </w:t>
      </w:r>
      <w:r>
        <w:rPr>
          <w:rFonts w:ascii="Arial" w:cs="Arial" w:eastAsia="Arial" w:hAnsi="Arial"/>
          <w:sz w:val="16"/>
          <w:szCs w:val="16"/>
          <w:color w:val="auto"/>
        </w:rPr>
        <w:t>trading activities, declining delinquencies and lower collections. Trading activities provided $3,700 of cash from redemptions of auction rate securities at par.</w:t>
      </w:r>
    </w:p>
    <w:p>
      <w:pPr>
        <w:spacing w:after="0" w:line="120" w:lineRule="exact"/>
        <w:rPr>
          <w:sz w:val="20"/>
          <w:szCs w:val="20"/>
          <w:color w:val="auto"/>
        </w:rPr>
      </w:pPr>
    </w:p>
    <w:p>
      <w:pPr>
        <w:ind w:right="580" w:firstLine="747"/>
        <w:spacing w:after="0" w:line="277" w:lineRule="auto"/>
        <w:rPr>
          <w:sz w:val="20"/>
          <w:szCs w:val="20"/>
          <w:color w:val="auto"/>
        </w:rPr>
      </w:pPr>
      <w:r>
        <w:rPr>
          <w:rFonts w:ascii="Arial" w:cs="Arial" w:eastAsia="Arial" w:hAnsi="Arial"/>
          <w:sz w:val="18"/>
          <w:szCs w:val="18"/>
          <w:color w:val="auto"/>
        </w:rPr>
        <w:t>Our investing activities used $3,161 cash primarily due to purchases of MSRs offset by lower distributions received from asset management vehicles and reduced proceeds from sales of real estate.</w:t>
      </w:r>
    </w:p>
    <w:p>
      <w:pPr>
        <w:spacing w:after="0" w:line="170" w:lineRule="exact"/>
        <w:rPr>
          <w:sz w:val="20"/>
          <w:szCs w:val="20"/>
          <w:color w:val="auto"/>
        </w:rPr>
      </w:pPr>
    </w:p>
    <w:p>
      <w:pPr>
        <w:jc w:val="both"/>
        <w:ind w:right="100" w:firstLine="747"/>
        <w:spacing w:after="0" w:line="264" w:lineRule="auto"/>
        <w:rPr>
          <w:sz w:val="20"/>
          <w:szCs w:val="20"/>
          <w:color w:val="auto"/>
        </w:rPr>
      </w:pPr>
      <w:r>
        <w:rPr>
          <w:rFonts w:ascii="Arial" w:cs="Arial" w:eastAsia="Arial" w:hAnsi="Arial"/>
          <w:sz w:val="18"/>
          <w:szCs w:val="18"/>
          <w:color w:val="auto"/>
        </w:rPr>
        <w:t>Our financing activities used $313,591 cash as we made net repayments of $585,037 on match funded liabilities, other secured borrowings and the investment line, repurchased debt securities for $37,289 and distributed $20,028 of cash in connection with the Separation, offset in part by $324,129 of net proceeds from the issuance and repurchase of common stock.</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9" w:name="page50"/>
    <w:bookmarkEnd w:id="49"/>
    <w:p>
      <w:pPr>
        <w:ind w:right="160" w:firstLine="747"/>
        <w:spacing w:after="0" w:line="266" w:lineRule="auto"/>
        <w:rPr>
          <w:sz w:val="20"/>
          <w:szCs w:val="20"/>
          <w:color w:val="auto"/>
        </w:rPr>
      </w:pPr>
      <w:r>
        <w:rPr>
          <w:rFonts w:ascii="Arial" w:cs="Arial" w:eastAsia="Arial" w:hAnsi="Arial"/>
          <w:sz w:val="18"/>
          <w:szCs w:val="18"/>
          <w:b w:val="1"/>
          <w:bCs w:val="1"/>
          <w:color w:val="auto"/>
        </w:rPr>
        <w:t xml:space="preserve">Cash flows for the year ended December 31, 2008. </w:t>
      </w:r>
      <w:r>
        <w:rPr>
          <w:rFonts w:ascii="Arial" w:cs="Arial" w:eastAsia="Arial" w:hAnsi="Arial"/>
          <w:sz w:val="18"/>
          <w:szCs w:val="18"/>
          <w:color w:val="auto"/>
        </w:rPr>
        <w:t>Our operating activities provided $123,091 reflecting increased investment in trading</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declining delinquencies and lower collections. Trading activities used $236,710 net cash reflecting our investment in auction rate securities, offset in part by the sale or maturity of CMOs and other short-term investment grade securities.</w:t>
      </w:r>
    </w:p>
    <w:p>
      <w:pPr>
        <w:spacing w:after="0" w:line="180" w:lineRule="exact"/>
        <w:rPr>
          <w:sz w:val="20"/>
          <w:szCs w:val="20"/>
          <w:color w:val="auto"/>
        </w:rPr>
      </w:pPr>
    </w:p>
    <w:p>
      <w:pPr>
        <w:ind w:right="80" w:firstLine="747"/>
        <w:spacing w:after="0" w:line="277" w:lineRule="auto"/>
        <w:rPr>
          <w:sz w:val="20"/>
          <w:szCs w:val="20"/>
          <w:color w:val="auto"/>
        </w:rPr>
      </w:pPr>
      <w:r>
        <w:rPr>
          <w:rFonts w:ascii="Arial" w:cs="Arial" w:eastAsia="Arial" w:hAnsi="Arial"/>
          <w:sz w:val="18"/>
          <w:szCs w:val="18"/>
          <w:color w:val="auto"/>
        </w:rPr>
        <w:t>Our investing activities provided $40,440 net cash due to distributions received from asset management vehicles, purchases of MSRs and proceeds from sales of real estate and commercial MSRs.</w:t>
      </w:r>
    </w:p>
    <w:p>
      <w:pPr>
        <w:spacing w:after="0" w:line="170" w:lineRule="exact"/>
        <w:rPr>
          <w:sz w:val="20"/>
          <w:szCs w:val="20"/>
          <w:color w:val="auto"/>
        </w:rPr>
      </w:pPr>
    </w:p>
    <w:p>
      <w:pPr>
        <w:ind w:right="220" w:firstLine="747"/>
        <w:spacing w:after="0" w:line="308" w:lineRule="auto"/>
        <w:rPr>
          <w:sz w:val="20"/>
          <w:szCs w:val="20"/>
          <w:color w:val="auto"/>
        </w:rPr>
      </w:pPr>
      <w:r>
        <w:rPr>
          <w:rFonts w:ascii="Arial" w:cs="Arial" w:eastAsia="Arial" w:hAnsi="Arial"/>
          <w:sz w:val="17"/>
          <w:szCs w:val="17"/>
          <w:color w:val="auto"/>
        </w:rPr>
        <w:t>Our financing activities used $76,749 cash as we made $262,960 of net repayments of borrowings under our match funded advance facilities and lines of credit, offset by $200,719 of net borrowing under the investment line to fund our investment in auction rate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 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sets forth certain information regarding amounts we owe to others under contractual obligations as of December 31, 2010: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2"/>
              </w:rPr>
              <w:t>After One</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2"/>
              </w:rPr>
              <w:t>Year</w:t>
            </w:r>
          </w:p>
        </w:tc>
        <w:tc>
          <w:tcPr>
            <w:tcW w:w="18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After Three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3"/>
              </w:rPr>
              <w:t>Through</w:t>
            </w:r>
          </w:p>
        </w:tc>
        <w:tc>
          <w:tcPr>
            <w:tcW w:w="18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Years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rPr>
              <w:t>Less Than One</w:t>
            </w:r>
          </w:p>
        </w:tc>
        <w:tc>
          <w:tcPr>
            <w:tcW w:w="220" w:type="dxa"/>
            <w:vAlign w:val="bottom"/>
          </w:tcPr>
          <w:p>
            <w:pPr>
              <w:spacing w:after="0"/>
              <w:rPr>
                <w:sz w:val="18"/>
                <w:szCs w:val="18"/>
                <w:color w:val="auto"/>
              </w:rPr>
            </w:pPr>
          </w:p>
        </w:tc>
        <w:tc>
          <w:tcPr>
            <w:tcW w:w="162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3"/>
              </w:rPr>
              <w:t>Three</w:t>
            </w:r>
          </w:p>
        </w:tc>
        <w:tc>
          <w:tcPr>
            <w:tcW w:w="18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Through</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After Five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Year</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Years</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Five Years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Years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AF9E8"/>
          </w:tcPr>
          <w:p>
            <w:pPr>
              <w:spacing w:after="0"/>
              <w:rPr>
                <w:sz w:val="20"/>
                <w:szCs w:val="20"/>
                <w:color w:val="auto"/>
              </w:rPr>
            </w:pPr>
            <w:r>
              <w:rPr>
                <w:rFonts w:ascii="Arial" w:cs="Arial" w:eastAsia="Arial" w:hAnsi="Arial"/>
                <w:sz w:val="18"/>
                <w:szCs w:val="18"/>
                <w:color w:val="auto"/>
              </w:rPr>
              <w:t>3.25% Convertible Notes (1)</w:t>
            </w:r>
          </w:p>
        </w:tc>
        <w:tc>
          <w:tcPr>
            <w:tcW w:w="24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jc w:val="right"/>
              <w:ind w:right="6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56,435</w:t>
            </w:r>
          </w:p>
        </w:tc>
        <w:tc>
          <w:tcPr>
            <w:tcW w:w="3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56,435</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10.875% Capital Trust Securities</w:t>
            </w:r>
          </w:p>
        </w:tc>
        <w:tc>
          <w:tcPr>
            <w:tcW w:w="24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26,119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26,119</w:t>
            </w:r>
          </w:p>
        </w:tc>
      </w:tr>
      <w:tr>
        <w:trPr>
          <w:trHeight w:val="202"/>
        </w:trPr>
        <w:tc>
          <w:tcPr>
            <w:tcW w:w="20" w:type="dxa"/>
            <w:vAlign w:val="bottom"/>
          </w:tcPr>
          <w:p>
            <w:pPr>
              <w:spacing w:after="0"/>
              <w:rPr>
                <w:sz w:val="17"/>
                <w:szCs w:val="17"/>
                <w:color w:val="auto"/>
              </w:rPr>
            </w:pPr>
          </w:p>
        </w:tc>
        <w:tc>
          <w:tcPr>
            <w:tcW w:w="342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Lines of credit and other secured</w:t>
            </w:r>
          </w:p>
        </w:tc>
        <w:tc>
          <w:tcPr>
            <w:tcW w:w="24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28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3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0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EAF9E8"/>
          </w:tcPr>
          <w:p>
            <w:pPr>
              <w:ind w:left="60"/>
              <w:spacing w:after="0"/>
              <w:rPr>
                <w:sz w:val="20"/>
                <w:szCs w:val="20"/>
                <w:color w:val="auto"/>
              </w:rPr>
            </w:pPr>
            <w:r>
              <w:rPr>
                <w:rFonts w:ascii="Arial" w:cs="Arial" w:eastAsia="Arial" w:hAnsi="Arial"/>
                <w:sz w:val="18"/>
                <w:szCs w:val="18"/>
                <w:color w:val="auto"/>
              </w:rPr>
              <w:t>borrowings (2) (3)</w:t>
            </w:r>
          </w:p>
        </w:tc>
        <w:tc>
          <w:tcPr>
            <w:tcW w:w="240" w:type="dxa"/>
            <w:vAlign w:val="bottom"/>
            <w:shd w:val="clear" w:color="auto" w:fill="EAF9E8"/>
          </w:tcPr>
          <w:p>
            <w:pPr>
              <w:spacing w:after="0"/>
              <w:rPr>
                <w:sz w:val="20"/>
                <w:szCs w:val="20"/>
                <w:color w:val="auto"/>
              </w:rPr>
            </w:pPr>
          </w:p>
        </w:tc>
        <w:tc>
          <w:tcPr>
            <w:tcW w:w="128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56,174</w:t>
            </w:r>
          </w:p>
        </w:tc>
        <w:tc>
          <w:tcPr>
            <w:tcW w:w="220" w:type="dxa"/>
            <w:vAlign w:val="bottom"/>
            <w:shd w:val="clear" w:color="auto" w:fill="EAF9E8"/>
          </w:tcPr>
          <w:p>
            <w:pPr>
              <w:spacing w:after="0"/>
              <w:rPr>
                <w:sz w:val="20"/>
                <w:szCs w:val="20"/>
                <w:color w:val="auto"/>
              </w:rPr>
            </w:pPr>
          </w:p>
        </w:tc>
        <w:tc>
          <w:tcPr>
            <w:tcW w:w="16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96,800</w:t>
            </w:r>
          </w:p>
        </w:tc>
        <w:tc>
          <w:tcPr>
            <w:tcW w:w="180" w:type="dxa"/>
            <w:vAlign w:val="bottom"/>
            <w:shd w:val="clear" w:color="auto" w:fill="EAF9E8"/>
          </w:tcPr>
          <w:p>
            <w:pPr>
              <w:spacing w:after="0"/>
              <w:rPr>
                <w:sz w:val="20"/>
                <w:szCs w:val="20"/>
                <w:color w:val="auto"/>
              </w:rPr>
            </w:pPr>
          </w:p>
        </w:tc>
        <w:tc>
          <w:tcPr>
            <w:tcW w:w="14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105,900</w:t>
            </w:r>
          </w:p>
        </w:tc>
        <w:tc>
          <w:tcPr>
            <w:tcW w:w="18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2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258,874</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Capital lease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215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r>
      <w:tr>
        <w:trPr>
          <w:trHeight w:val="216"/>
        </w:trPr>
        <w:tc>
          <w:tcPr>
            <w:tcW w:w="20" w:type="dxa"/>
            <w:vAlign w:val="bottom"/>
          </w:tcPr>
          <w:p>
            <w:pPr>
              <w:spacing w:after="0"/>
              <w:rPr>
                <w:sz w:val="18"/>
                <w:szCs w:val="18"/>
                <w:color w:val="auto"/>
              </w:rPr>
            </w:pPr>
          </w:p>
        </w:tc>
        <w:tc>
          <w:tcPr>
            <w:tcW w:w="3420" w:type="dxa"/>
            <w:vAlign w:val="bottom"/>
            <w:shd w:val="clear" w:color="auto" w:fill="EAF9E8"/>
          </w:tcPr>
          <w:p>
            <w:pPr>
              <w:spacing w:after="0"/>
              <w:rPr>
                <w:sz w:val="20"/>
                <w:szCs w:val="20"/>
                <w:color w:val="auto"/>
              </w:rPr>
            </w:pPr>
            <w:r>
              <w:rPr>
                <w:rFonts w:ascii="Arial" w:cs="Arial" w:eastAsia="Arial" w:hAnsi="Arial"/>
                <w:sz w:val="18"/>
                <w:szCs w:val="18"/>
                <w:color w:val="auto"/>
              </w:rPr>
              <w:t>Contractual interest payments (4)</w:t>
            </w:r>
          </w:p>
        </w:tc>
        <w:tc>
          <w:tcPr>
            <w:tcW w:w="24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21,754</w:t>
            </w:r>
          </w:p>
        </w:tc>
        <w:tc>
          <w:tcPr>
            <w:tcW w:w="220" w:type="dxa"/>
            <w:vAlign w:val="bottom"/>
            <w:shd w:val="clear" w:color="auto" w:fill="EAF9E8"/>
          </w:tcPr>
          <w:p>
            <w:pPr>
              <w:spacing w:after="0"/>
              <w:rPr>
                <w:sz w:val="18"/>
                <w:szCs w:val="18"/>
                <w:color w:val="auto"/>
              </w:rPr>
            </w:pPr>
          </w:p>
        </w:tc>
        <w:tc>
          <w:tcPr>
            <w:tcW w:w="16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34,223</w:t>
            </w:r>
          </w:p>
        </w:tc>
        <w:tc>
          <w:tcPr>
            <w:tcW w:w="180" w:type="dxa"/>
            <w:vAlign w:val="bottom"/>
            <w:shd w:val="clear" w:color="auto" w:fill="EAF9E8"/>
          </w:tcPr>
          <w:p>
            <w:pPr>
              <w:spacing w:after="0"/>
              <w:rPr>
                <w:sz w:val="18"/>
                <w:szCs w:val="18"/>
                <w:color w:val="auto"/>
              </w:rPr>
            </w:pPr>
          </w:p>
        </w:tc>
        <w:tc>
          <w:tcPr>
            <w:tcW w:w="14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19,203</w:t>
            </w: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34,582</w:t>
            </w:r>
          </w:p>
        </w:tc>
        <w:tc>
          <w:tcPr>
            <w:tcW w:w="1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109,762</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Operating leases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5,603</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9,397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1,475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1,605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18,080</w:t>
            </w:r>
          </w:p>
        </w:tc>
      </w:tr>
      <w:tr>
        <w:trPr>
          <w:trHeight w:val="27"/>
        </w:trPr>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42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83,600</w:t>
            </w:r>
          </w:p>
        </w:tc>
        <w:tc>
          <w:tcPr>
            <w:tcW w:w="360" w:type="dxa"/>
            <w:vAlign w:val="bottom"/>
            <w:shd w:val="clear" w:color="auto" w:fill="EAF9E8"/>
          </w:tcPr>
          <w:p>
            <w:pPr>
              <w:spacing w:after="0"/>
              <w:rPr>
                <w:sz w:val="20"/>
                <w:szCs w:val="20"/>
                <w:color w:val="auto"/>
              </w:rPr>
            </w:pPr>
          </w:p>
        </w:tc>
        <w:tc>
          <w:tcPr>
            <w:tcW w:w="220" w:type="dxa"/>
            <w:vAlign w:val="bottom"/>
            <w:shd w:val="clear" w:color="auto" w:fill="EAF9E8"/>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140,661</w:t>
            </w:r>
          </w:p>
        </w:tc>
        <w:tc>
          <w:tcPr>
            <w:tcW w:w="340" w:type="dxa"/>
            <w:vAlign w:val="bottom"/>
            <w:shd w:val="clear" w:color="auto" w:fill="EAF9E8"/>
          </w:tcPr>
          <w:p>
            <w:pPr>
              <w:spacing w:after="0"/>
              <w:rPr>
                <w:sz w:val="20"/>
                <w:szCs w:val="20"/>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183,228</w:t>
            </w:r>
          </w:p>
        </w:tc>
        <w:tc>
          <w:tcPr>
            <w:tcW w:w="3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62,306</w:t>
            </w:r>
          </w:p>
        </w:tc>
        <w:tc>
          <w:tcPr>
            <w:tcW w:w="3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469,795</w:t>
            </w: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02" w:lineRule="exact"/>
        <w:rPr>
          <w:sz w:val="20"/>
          <w:szCs w:val="20"/>
          <w:color w:val="auto"/>
        </w:rPr>
      </w:pPr>
    </w:p>
    <w:p>
      <w:pPr>
        <w:ind w:left="580" w:right="20" w:hanging="572"/>
        <w:spacing w:after="0" w:line="264"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Convertible Notes will mature on August 1, 2024. However, the table above reflects an expected maturity date of August 1, 2014 because holders may require that we repurchase all or a portion of their notes for cash on that date. See Note 18 to the Consolidated Financial Statements for additional information regarding the terms of the Convertible Notes.</w:t>
      </w:r>
    </w:p>
    <w:p>
      <w:pPr>
        <w:spacing w:after="0" w:line="181" w:lineRule="exact"/>
        <w:rPr>
          <w:rFonts w:ascii="Arial" w:cs="Arial" w:eastAsia="Arial" w:hAnsi="Arial"/>
          <w:sz w:val="18"/>
          <w:szCs w:val="18"/>
          <w:color w:val="auto"/>
        </w:rPr>
      </w:pPr>
    </w:p>
    <w:p>
      <w:pPr>
        <w:ind w:left="580" w:hanging="572"/>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Amounts are exclusive of any related discount.</w:t>
      </w:r>
    </w:p>
    <w:p>
      <w:pPr>
        <w:spacing w:after="0" w:line="225" w:lineRule="exact"/>
        <w:rPr>
          <w:rFonts w:ascii="Arial" w:cs="Arial" w:eastAsia="Arial" w:hAnsi="Arial"/>
          <w:sz w:val="18"/>
          <w:szCs w:val="18"/>
          <w:color w:val="auto"/>
        </w:rPr>
      </w:pPr>
    </w:p>
    <w:p>
      <w:pPr>
        <w:ind w:left="580" w:right="20" w:hanging="572"/>
        <w:spacing w:after="0" w:line="264"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During January and February 2011, we prepaid $162,500 of the $197,500 principal balance that was outstanding under the senior secured term loan at December 31, 2010. We are contractually required to repay the principal amount in consecutive quarterly installments of $8,750 commencing September 30, 2010, with the remaining balance becoming due on July 29, 2015.</w:t>
      </w:r>
    </w:p>
    <w:p>
      <w:pPr>
        <w:spacing w:after="0" w:line="181" w:lineRule="exact"/>
        <w:rPr>
          <w:rFonts w:ascii="Arial" w:cs="Arial" w:eastAsia="Arial" w:hAnsi="Arial"/>
          <w:sz w:val="18"/>
          <w:szCs w:val="18"/>
          <w:color w:val="auto"/>
        </w:rPr>
      </w:pPr>
    </w:p>
    <w:p>
      <w:pPr>
        <w:ind w:left="580" w:hanging="572"/>
        <w:spacing w:after="0"/>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Represents estimated future interest payments on borrowings, including capital leases, based on applicable interest rates as of December 31, 2010.</w:t>
      </w:r>
    </w:p>
    <w:p>
      <w:pPr>
        <w:spacing w:after="0" w:line="248" w:lineRule="exact"/>
        <w:rPr>
          <w:sz w:val="20"/>
          <w:szCs w:val="20"/>
          <w:color w:val="auto"/>
        </w:rPr>
      </w:pPr>
    </w:p>
    <w:p>
      <w:pPr>
        <w:ind w:right="40" w:firstLine="744"/>
        <w:spacing w:after="0" w:line="293" w:lineRule="auto"/>
        <w:rPr>
          <w:sz w:val="20"/>
          <w:szCs w:val="20"/>
          <w:color w:val="auto"/>
        </w:rPr>
      </w:pPr>
      <w:r>
        <w:rPr>
          <w:rFonts w:ascii="Arial" w:cs="Arial" w:eastAsia="Arial" w:hAnsi="Arial"/>
          <w:sz w:val="16"/>
          <w:szCs w:val="16"/>
          <w:color w:val="auto"/>
        </w:rPr>
        <w:t>We exclude Match funded liabilities from the contractual obligation table above because it represents non-recourse debt that has been collateralized by match funded advances which are not available to satisfy general claims against Ocwen. Except for a guarantee by OLS of payment by one of the SPEs, holders of the notes issued by the special purpose entities (SPEs) have no recourse against any assets other than the match funded advances that serve as collateral for the securitized debt. OLS’ liability under the guaranty is limited to 10% of the notes outstanding at the end of the revolving period of the related match funded financing facility. At December 31, 2010, the debt outstanding u nder that facility was $250,119. Actual interest on match funded liabilities was $61,656 in 2010. Future interest may vary depending on utilization, changes in LIBOR and spreads and the execution of hedging strategies.</w:t>
      </w:r>
    </w:p>
    <w:p>
      <w:pPr>
        <w:spacing w:after="0" w:line="165" w:lineRule="exact"/>
        <w:rPr>
          <w:sz w:val="20"/>
          <w:szCs w:val="20"/>
          <w:color w:val="auto"/>
        </w:rPr>
      </w:pPr>
    </w:p>
    <w:p>
      <w:pPr>
        <w:ind w:right="180" w:firstLine="744"/>
        <w:spacing w:after="0" w:line="264" w:lineRule="auto"/>
        <w:rPr>
          <w:sz w:val="20"/>
          <w:szCs w:val="20"/>
          <w:color w:val="auto"/>
        </w:rPr>
      </w:pPr>
      <w:r>
        <w:rPr>
          <w:rFonts w:ascii="Arial" w:cs="Arial" w:eastAsia="Arial" w:hAnsi="Arial"/>
          <w:sz w:val="18"/>
          <w:szCs w:val="18"/>
          <w:color w:val="auto"/>
        </w:rPr>
        <w:t>We also exclude Secured borrowings – owed to securitization investors from the table above. The creditors of the trusts can look only to the loans and other assets of the trusts themselves for satisfaction of the debt and have no recourse against the assets of Ocwen. See Note 1 to the Consolidated Financial Statements —Securitizations of Residential Mortgage Loans for additional information.</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40" w:firstLine="747"/>
        <w:spacing w:after="0" w:line="257" w:lineRule="auto"/>
        <w:rPr>
          <w:sz w:val="20"/>
          <w:szCs w:val="20"/>
          <w:color w:val="auto"/>
        </w:rPr>
      </w:pPr>
      <w:r>
        <w:rPr>
          <w:rFonts w:ascii="Arial" w:cs="Arial" w:eastAsia="Arial" w:hAnsi="Arial"/>
          <w:sz w:val="18"/>
          <w:szCs w:val="18"/>
          <w:color w:val="auto"/>
        </w:rPr>
        <w:t>In the normal course of business, we engage in transactions with a variety of financial institutions and other companies that are not reflected on our balance sheet. In addition, through our investment in subordinate and residual securities, we provide credit support to the senior classes of securities. We are subject to potential financial loss if the counterparties to our off-balance sheet transactions are unable to complete an agreed upon transaction. We seek to limit counterparty risk through financial analysis, dollar limits and other monitoring procedures. We have also entered into non-cancelable operating leases principally for our office facilities.</w:t>
      </w:r>
    </w:p>
    <w:p>
      <w:pPr>
        <w:spacing w:after="0" w:line="188" w:lineRule="exact"/>
        <w:rPr>
          <w:sz w:val="20"/>
          <w:szCs w:val="20"/>
          <w:color w:val="auto"/>
        </w:rPr>
      </w:pPr>
    </w:p>
    <w:p>
      <w:pPr>
        <w:ind w:firstLine="747"/>
        <w:spacing w:after="0" w:line="264"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We record all derivative transactions at fair value on our consolidated balance sheets. We use these derivatives primarily to manage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risk. The notional amounts of our derivative contracts do not reflect our exposure to credit loss. See Note 21 to our Consolidated Financial Statements for additional information regarding derivatives.</w:t>
      </w:r>
    </w:p>
    <w:p>
      <w:pPr>
        <w:spacing w:after="0" w:line="181" w:lineRule="exact"/>
        <w:rPr>
          <w:sz w:val="20"/>
          <w:szCs w:val="20"/>
          <w:color w:val="auto"/>
        </w:rPr>
      </w:pPr>
    </w:p>
    <w:p>
      <w:pPr>
        <w:ind w:right="20" w:firstLine="747"/>
        <w:spacing w:after="0" w:line="277" w:lineRule="auto"/>
        <w:rPr>
          <w:sz w:val="20"/>
          <w:szCs w:val="20"/>
          <w:color w:val="auto"/>
        </w:rPr>
      </w:pPr>
      <w:r>
        <w:rPr>
          <w:rFonts w:ascii="Arial" w:cs="Arial" w:eastAsia="Arial" w:hAnsi="Arial"/>
          <w:sz w:val="18"/>
          <w:szCs w:val="18"/>
          <w:i w:val="1"/>
          <w:iCs w:val="1"/>
          <w:color w:val="auto"/>
        </w:rPr>
        <w:t>Involvement with SPEs</w:t>
      </w:r>
      <w:r>
        <w:rPr>
          <w:rFonts w:ascii="Arial" w:cs="Arial" w:eastAsia="Arial" w:hAnsi="Arial"/>
          <w:sz w:val="18"/>
          <w:szCs w:val="18"/>
          <w:color w:val="auto"/>
        </w:rPr>
        <w:t>. We use SPEs for a variety of purposes but principally in the financing of our servicing advances and in the securitization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w:t>
      </w:r>
    </w:p>
    <w:p>
      <w:pPr>
        <w:spacing w:after="0" w:line="170" w:lineRule="exact"/>
        <w:rPr>
          <w:sz w:val="20"/>
          <w:szCs w:val="20"/>
          <w:color w:val="auto"/>
        </w:rPr>
      </w:pPr>
    </w:p>
    <w:p>
      <w:pPr>
        <w:ind w:right="40" w:firstLine="747"/>
        <w:spacing w:after="0" w:line="291" w:lineRule="auto"/>
        <w:rPr>
          <w:sz w:val="20"/>
          <w:szCs w:val="20"/>
          <w:color w:val="auto"/>
        </w:rPr>
      </w:pPr>
      <w:r>
        <w:rPr>
          <w:rFonts w:ascii="Arial" w:cs="Arial" w:eastAsia="Arial" w:hAnsi="Arial"/>
          <w:sz w:val="16"/>
          <w:szCs w:val="16"/>
          <w:color w:val="auto"/>
        </w:rPr>
        <w:t>Our securitizations of mortgage loans were structured as sales. The SPEs to which we transferred the mortgage loans were QSPEs and, therefore under previous accounting rules, were not subject to consolidation through 2009. We have retained both subordinated and residual interests in these SPEs. Where we are the servicer of the securitized loans, we generally have the right to repurchase the mortgage loans from the SPE when the costs exceed the benefits of servicing the remaining loans. As disclosed in the Recent Accounting Developments below, accounting standards were amended effective January 1, 2010 to eliminate the concept of a QSPE. We reevaluated these QSPEs as well as all other potentia lly significant interests in other unconsolidated entities to determine if we should include them in our consolidated financial statements. We determined that four of these loan securitization trusts are VIEs and that we are the primary beneficiary. We have included these four trusts in our Consolidated Financial Statements effective January 1, 2010.</w:t>
      </w:r>
    </w:p>
    <w:p>
      <w:pPr>
        <w:spacing w:after="0" w:line="167" w:lineRule="exact"/>
        <w:rPr>
          <w:sz w:val="20"/>
          <w:szCs w:val="20"/>
          <w:color w:val="auto"/>
        </w:rPr>
      </w:pPr>
    </w:p>
    <w:p>
      <w:pPr>
        <w:ind w:right="20" w:firstLine="744"/>
        <w:spacing w:after="0" w:line="255" w:lineRule="auto"/>
        <w:rPr>
          <w:sz w:val="20"/>
          <w:szCs w:val="20"/>
          <w:color w:val="auto"/>
        </w:rPr>
      </w:pPr>
      <w:r>
        <w:rPr>
          <w:rFonts w:ascii="Arial" w:cs="Arial" w:eastAsia="Arial" w:hAnsi="Arial"/>
          <w:sz w:val="18"/>
          <w:szCs w:val="18"/>
          <w:color w:val="auto"/>
        </w:rPr>
        <w:t>We generally use match funded securitization facilities to finance our servicing advances. The SPEs to which the advances are transferred in the securitization transaction are included in our consolidated financial statements either because the transfer did not qualify for sales accounting treatment, because we have the majority equity interest in the SPE, or because we are the primary beneficiary where the SPE is a VIE. The holders of the debt of these SPEs can look only to the assets of the SPEs for satisfaction of the debt and have no recourse against OCN. However, OLS has guaranteed the payment of the obligations of the issuer under one of our match funded facilities. The maximum amount p ayable under the guarantee is limited to 10% of the notes outstanding at the end of the facility’s revolving period.</w:t>
      </w:r>
    </w:p>
    <w:p>
      <w:pPr>
        <w:spacing w:after="0" w:line="193" w:lineRule="exact"/>
        <w:rPr>
          <w:sz w:val="20"/>
          <w:szCs w:val="20"/>
          <w:color w:val="auto"/>
        </w:rPr>
      </w:pPr>
    </w:p>
    <w:p>
      <w:pPr>
        <w:ind w:firstLine="747"/>
        <w:spacing w:after="0" w:line="277" w:lineRule="auto"/>
        <w:rPr>
          <w:sz w:val="20"/>
          <w:szCs w:val="20"/>
          <w:color w:val="auto"/>
        </w:rPr>
      </w:pPr>
      <w:r>
        <w:rPr>
          <w:rFonts w:ascii="Arial" w:cs="Arial" w:eastAsia="Arial" w:hAnsi="Arial"/>
          <w:sz w:val="18"/>
          <w:szCs w:val="18"/>
          <w:i w:val="1"/>
          <w:iCs w:val="1"/>
          <w:color w:val="auto"/>
        </w:rPr>
        <w:t>VIEs</w:t>
      </w:r>
      <w:r>
        <w:rPr>
          <w:rFonts w:ascii="Arial" w:cs="Arial" w:eastAsia="Arial" w:hAnsi="Arial"/>
          <w:sz w:val="18"/>
          <w:szCs w:val="18"/>
          <w:color w:val="auto"/>
        </w:rPr>
        <w:t>. In addition to certain of our financing SPEs, we have invested in several other VIEs primarily in connection with purchases of whole loans. If</w:t>
      </w:r>
      <w:r>
        <w:rPr>
          <w:rFonts w:ascii="Arial" w:cs="Arial" w:eastAsia="Arial" w:hAnsi="Arial"/>
          <w:sz w:val="18"/>
          <w:szCs w:val="18"/>
          <w:i w:val="1"/>
          <w:iCs w:val="1"/>
          <w:color w:val="auto"/>
        </w:rPr>
        <w:t xml:space="preserve"> </w:t>
      </w:r>
      <w:r>
        <w:rPr>
          <w:rFonts w:ascii="Arial" w:cs="Arial" w:eastAsia="Arial" w:hAnsi="Arial"/>
          <w:sz w:val="18"/>
          <w:szCs w:val="18"/>
          <w:color w:val="auto"/>
        </w:rPr>
        <w:t>we determine that we are the primary beneficiary of a VIE, we report the VIE in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Listed below are recent accounting pronouncements which did or are expected to have a significant impact upon adoption. For additional information regarding these and other recent accounting pronouncements, see Note 1 to our Consolidated Financial Statements.</w:t>
      </w:r>
    </w:p>
    <w:p>
      <w:pPr>
        <w:spacing w:after="0" w:line="170"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i w:val="1"/>
          <w:iCs w:val="1"/>
          <w:color w:val="auto"/>
        </w:rPr>
        <w:t xml:space="preserve">ASU 2009-16 (ASC 860, Transfers and Servicing). </w:t>
      </w:r>
      <w:r>
        <w:rPr>
          <w:rFonts w:ascii="Arial" w:cs="Arial" w:eastAsia="Arial" w:hAnsi="Arial"/>
          <w:sz w:val="17"/>
          <w:szCs w:val="17"/>
          <w:color w:val="auto"/>
        </w:rPr>
        <w:t>The amendments in this update eliminated the exceptions for QSPEs from the consolidation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(ASC 810, Consolidation) and clarified that the objective of the standard is to determine whether a transferor and all of the entities included in the transferor’s financial statements being presented have surrendered control over transferred financial assets. This statement modified the financial-components approach previously used and limits the circumstances in which a financial asset, or portion of a financial asset, should be derecognized when the transferor has not transferred the entire original financial asset to an entity that is not consolidated with the transferor in the financial statements being presented and/or when th e transferor has continuing involvement with the transferred financial asset.</w:t>
      </w:r>
    </w:p>
    <w:p>
      <w:pPr>
        <w:spacing w:after="0" w:line="178" w:lineRule="exact"/>
        <w:rPr>
          <w:sz w:val="20"/>
          <w:szCs w:val="20"/>
          <w:color w:val="auto"/>
        </w:rPr>
      </w:pPr>
    </w:p>
    <w:p>
      <w:pPr>
        <w:ind w:right="140" w:firstLine="360"/>
        <w:spacing w:after="0" w:line="312" w:lineRule="auto"/>
        <w:rPr>
          <w:sz w:val="20"/>
          <w:szCs w:val="20"/>
          <w:color w:val="auto"/>
        </w:rPr>
      </w:pPr>
      <w:r>
        <w:rPr>
          <w:rFonts w:ascii="Arial" w:cs="Arial" w:eastAsia="Arial" w:hAnsi="Arial"/>
          <w:sz w:val="16"/>
          <w:szCs w:val="16"/>
          <w:color w:val="auto"/>
        </w:rPr>
        <w:t>This statement requires that a transferor recognize and initially measure at fair value all assets obtained (including a transferor’s beneficial interest) and liabilities incurred as a result of a transfer of financial assets accounted for as a sale. Enhanced disclosures are required to provide financial statement users with greater transparency about transfers of financial assets and a transferor’s continuing involvement with transferred financial assets.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51" w:name="page52"/>
    <w:bookmarkEnd w:id="51"/>
    <w:p>
      <w:pPr>
        <w:ind w:right="60" w:firstLine="744"/>
        <w:spacing w:after="0" w:line="342" w:lineRule="auto"/>
        <w:rPr>
          <w:sz w:val="20"/>
          <w:szCs w:val="20"/>
          <w:color w:val="auto"/>
        </w:rPr>
      </w:pPr>
      <w:r>
        <w:rPr>
          <w:rFonts w:ascii="Arial" w:cs="Arial" w:eastAsia="Arial" w:hAnsi="Arial"/>
          <w:sz w:val="16"/>
          <w:szCs w:val="16"/>
          <w:color w:val="auto"/>
        </w:rPr>
        <w:t>We adopted this standard effective January 1, 2010 as a result of which, we reevaluated certain QSPEs with which we had ongoing relationships as further described under ASU 2009-17, below, and reassessed the adequacy of our disclosures with regard to our servicing assets and servicing liabilities.</w:t>
      </w:r>
    </w:p>
    <w:p>
      <w:pPr>
        <w:spacing w:after="0" w:line="124" w:lineRule="exact"/>
        <w:rPr>
          <w:sz w:val="20"/>
          <w:szCs w:val="20"/>
          <w:color w:val="auto"/>
        </w:rPr>
      </w:pPr>
    </w:p>
    <w:p>
      <w:pPr>
        <w:ind w:right="80" w:firstLine="744"/>
        <w:spacing w:after="0" w:line="257" w:lineRule="auto"/>
        <w:rPr>
          <w:sz w:val="20"/>
          <w:szCs w:val="20"/>
          <w:color w:val="auto"/>
        </w:rPr>
      </w:pPr>
      <w:r>
        <w:rPr>
          <w:rFonts w:ascii="Arial" w:cs="Arial" w:eastAsia="Arial" w:hAnsi="Arial"/>
          <w:sz w:val="18"/>
          <w:szCs w:val="18"/>
          <w:i w:val="1"/>
          <w:iCs w:val="1"/>
          <w:color w:val="auto"/>
        </w:rPr>
        <w:t xml:space="preserve">ASU 2009-17 (ASC 810, Consolidation). </w:t>
      </w:r>
      <w:r>
        <w:rPr>
          <w:rFonts w:ascii="Arial" w:cs="Arial" w:eastAsia="Arial" w:hAnsi="Arial"/>
          <w:sz w:val="18"/>
          <w:szCs w:val="18"/>
          <w:color w:val="auto"/>
        </w:rPr>
        <w:t>The amendments in this update require an enterprise to perform ongoing periodic assessments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whether the enterprise’s variable interest or interests give it a controlling financial interest in a VIE. We adopted this standard effective January 1, 2010. This analysis replaced the quantitative-based risks and rewards calculation for identifying the primary beneficiary of a VIE to an approach focused on identifying which enterprise the power to direct the activities of a VIE that most significantly impact the entity’s economic performance and the obligation to absorb losses of th e entity or the right to receive benefits from the entity.</w:t>
      </w:r>
    </w:p>
    <w:p>
      <w:pPr>
        <w:spacing w:after="0" w:line="188" w:lineRule="exact"/>
        <w:rPr>
          <w:sz w:val="20"/>
          <w:szCs w:val="20"/>
          <w:color w:val="auto"/>
        </w:rPr>
      </w:pPr>
    </w:p>
    <w:p>
      <w:pPr>
        <w:ind w:right="440" w:firstLine="747"/>
        <w:spacing w:after="0" w:line="302" w:lineRule="auto"/>
        <w:rPr>
          <w:sz w:val="20"/>
          <w:szCs w:val="20"/>
          <w:color w:val="auto"/>
        </w:rPr>
      </w:pPr>
      <w:r>
        <w:rPr>
          <w:rFonts w:ascii="Arial" w:cs="Arial" w:eastAsia="Arial" w:hAnsi="Arial"/>
          <w:sz w:val="16"/>
          <w:szCs w:val="16"/>
          <w:color w:val="auto"/>
        </w:rPr>
        <w:t>In addition to reintroducing the concept of control into the determination of the primary beneficiary of a VIE, this statement also amended the existing standards to require enhanced disclosures that provide users of financial statements with more transparent information about an enterprise’s involvement in a variable interest entity. The enhanced disclosures are required for any enterprise that holds a variable interest in a VIE. The additional disclosures required by this statement are included in Note 1 to the Consolidated Financial Statements—Principles of Consolidation.</w:t>
      </w:r>
    </w:p>
    <w:p>
      <w:pPr>
        <w:spacing w:after="0" w:line="154" w:lineRule="exact"/>
        <w:rPr>
          <w:sz w:val="20"/>
          <w:szCs w:val="20"/>
          <w:color w:val="auto"/>
        </w:rPr>
      </w:pPr>
    </w:p>
    <w:p>
      <w:pPr>
        <w:ind w:right="120" w:firstLine="737"/>
        <w:spacing w:after="0" w:line="297" w:lineRule="auto"/>
        <w:rPr>
          <w:sz w:val="20"/>
          <w:szCs w:val="20"/>
          <w:color w:val="auto"/>
        </w:rPr>
      </w:pPr>
      <w:r>
        <w:rPr>
          <w:rFonts w:ascii="Arial" w:cs="Arial" w:eastAsia="Arial" w:hAnsi="Arial"/>
          <w:sz w:val="16"/>
          <w:szCs w:val="16"/>
          <w:color w:val="auto"/>
        </w:rPr>
        <w:t>As disclosed in Note 1 to the Consolidated Financial Statements —Securitizations of Residential Mortgage Loans, we previously excluded certain loan securitization trusts from our consolidated financial statements because each was a QSPE. Effective January 1, 2010, we reevaluated these QSPEs as well as all other potentially significant interests in other unconsolidated entities to determine if we should include them in our consolidated financial statements. Upon adoption of ASU 2009-17 on January 1, 2010 we began consolidating four residential mortgage loan securitization trusts and recorded a $75,506 increase in total assets, a $73,232 increase in liabilities and a $2,274 increase in th e opening balance of retained earnings.</w:t>
      </w:r>
    </w:p>
    <w:p>
      <w:pPr>
        <w:spacing w:after="0" w:line="15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 (Dollars in thousands)</w:t>
      </w:r>
    </w:p>
    <w:p>
      <w:pPr>
        <w:spacing w:after="0" w:line="229" w:lineRule="exact"/>
        <w:rPr>
          <w:sz w:val="20"/>
          <w:szCs w:val="20"/>
          <w:color w:val="auto"/>
        </w:rPr>
      </w:pPr>
    </w:p>
    <w:p>
      <w:pPr>
        <w:ind w:firstLine="747"/>
        <w:spacing w:after="0" w:line="259" w:lineRule="auto"/>
        <w:rPr>
          <w:sz w:val="20"/>
          <w:szCs w:val="20"/>
          <w:color w:val="auto"/>
        </w:rPr>
      </w:pPr>
      <w:r>
        <w:rPr>
          <w:rFonts w:ascii="Arial" w:cs="Arial" w:eastAsia="Arial" w:hAnsi="Arial"/>
          <w:sz w:val="18"/>
          <w:szCs w:val="18"/>
          <w:color w:val="auto"/>
        </w:rPr>
        <w:t>Market risk includes liquidity risk, interest rate risk and foreign currency exchange rate risk. Market risk also reflects the risk of declines in the valuation of financial instruments and the collateral underlying loans. Our Investment Committee reviews significant transactions that may impact market risk and is authorized to utilize a wide variety of techniques and strategies to manage market risk including, in particular, interest rate and foreign currency exchange rate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29" w:lineRule="exact"/>
        <w:rPr>
          <w:sz w:val="20"/>
          <w:szCs w:val="20"/>
          <w:color w:val="auto"/>
        </w:rPr>
      </w:pPr>
    </w:p>
    <w:p>
      <w:pPr>
        <w:ind w:right="620" w:firstLine="744"/>
        <w:spacing w:after="0" w:line="286" w:lineRule="auto"/>
        <w:rPr>
          <w:sz w:val="20"/>
          <w:szCs w:val="20"/>
          <w:color w:val="auto"/>
        </w:rPr>
      </w:pPr>
      <w:r>
        <w:rPr>
          <w:rFonts w:ascii="Arial" w:cs="Arial" w:eastAsia="Arial" w:hAnsi="Arial"/>
          <w:sz w:val="17"/>
          <w:szCs w:val="17"/>
          <w:color w:val="auto"/>
        </w:rPr>
        <w:t>We are exposed to liquidity risk primarily because of the cash required to support the Servicing business including the requirement to make advances pursuant to servicing contracts. In general, we finance our operations through operating cash flow, match funding agreements and secured borrowings. See the Liquidity Summary and Liquidity and Capital Resources sections for additional discussion of liquidity.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20" w:firstLine="737"/>
        <w:spacing w:after="0" w:line="276" w:lineRule="auto"/>
        <w:rPr>
          <w:sz w:val="20"/>
          <w:szCs w:val="20"/>
          <w:color w:val="auto"/>
        </w:rPr>
      </w:pPr>
      <w:r>
        <w:rPr>
          <w:rFonts w:ascii="Arial" w:cs="Arial" w:eastAsia="Arial" w:hAnsi="Arial"/>
          <w:sz w:val="17"/>
          <w:szCs w:val="17"/>
          <w:color w:val="auto"/>
        </w:rPr>
        <w:t>As explained in the “Overview – Interest Rate Risk Summary” section, interest rate risk is a function of (i) the timing and (ii) the dollar amount of assets and liabilities that re-price at each point in time. If interest rates increase by 1% on our variable rate advance financing and interest earning cash and float balances, we estimate a net positive impact of approximately $2,068 resulting from an increase of $4,481 in annual interest income compared to an increase of $2,413 in annual interest expense based on December 31, 2010 balances. This outcome is due in large part to our hedging activities. See the tables below and Note 21 to our Consolidated Financial Stateme nts for additional information regarding our use of derivatives.</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52" w:name="page53"/>
    <w:bookmarkEnd w:id="52"/>
    <w:p>
      <w:pPr>
        <w:ind w:right="20" w:firstLine="744"/>
        <w:spacing w:after="0" w:line="273" w:lineRule="auto"/>
        <w:rPr>
          <w:sz w:val="20"/>
          <w:szCs w:val="20"/>
          <w:color w:val="auto"/>
        </w:rPr>
      </w:pPr>
      <w:r>
        <w:rPr>
          <w:rFonts w:ascii="Arial" w:cs="Arial" w:eastAsia="Arial" w:hAnsi="Arial"/>
          <w:sz w:val="17"/>
          <w:szCs w:val="17"/>
          <w:color w:val="auto"/>
        </w:rPr>
        <w:t>The tables below present the notional amounts of our financial instruments that are sensitive to changes in interest rates categorized by expected maturity and the related fair value of these instruments at December 31, 2010 and 2009. We use certain assumptions to estimate the expected maturity and fair value of these instruments. We base expected maturities upon contractual maturity and projected repayments and prepayments of principal based on our historical experience. The actual maturities of these instruments could vary substantially if future prepayments differ from our historical experience. Average interest rates are based on the contractual terms of the instrument and, in the case of variable rate instruments, reflect estimates of applicable forward rates as of December 31, 2010. The average presented is the weighted average.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9"/>
          </w:tcPr>
          <w:p>
            <w:pPr>
              <w:jc w:val="right"/>
              <w:ind w:right="28"/>
              <w:spacing w:after="0"/>
              <w:rPr>
                <w:sz w:val="20"/>
                <w:szCs w:val="20"/>
                <w:color w:val="auto"/>
              </w:rPr>
            </w:pPr>
            <w:r>
              <w:rPr>
                <w:rFonts w:ascii="Arial" w:cs="Arial" w:eastAsia="Arial" w:hAnsi="Arial"/>
                <w:sz w:val="14"/>
                <w:szCs w:val="14"/>
                <w:b w:val="1"/>
                <w:bCs w:val="1"/>
                <w:color w:val="auto"/>
              </w:rPr>
              <w:t>Expected Maturity Date at December 31, 2010</w:t>
            </w: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8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ind w:right="188"/>
              <w:spacing w:after="0" w:line="126" w:lineRule="exact"/>
              <w:rPr>
                <w:sz w:val="20"/>
                <w:szCs w:val="20"/>
                <w:color w:val="auto"/>
              </w:rPr>
            </w:pPr>
            <w:r>
              <w:rPr>
                <w:rFonts w:ascii="Arial" w:cs="Arial" w:eastAsia="Arial" w:hAnsi="Arial"/>
                <w:sz w:val="14"/>
                <w:szCs w:val="14"/>
                <w:b w:val="1"/>
                <w:bCs w:val="1"/>
                <w:color w:val="auto"/>
              </w:rPr>
              <w:t>There-</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after</w:t>
            </w:r>
          </w:p>
        </w:tc>
        <w:tc>
          <w:tcPr>
            <w:tcW w:w="140" w:type="dxa"/>
            <w:vAlign w:val="bottom"/>
          </w:tcPr>
          <w:p>
            <w:pPr>
              <w:spacing w:after="0"/>
              <w:rPr>
                <w:sz w:val="15"/>
                <w:szCs w:val="15"/>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Balance</w:t>
            </w:r>
          </w:p>
        </w:tc>
        <w:tc>
          <w:tcPr>
            <w:tcW w:w="140" w:type="dxa"/>
            <w:vAlign w:val="bottom"/>
          </w:tcPr>
          <w:p>
            <w:pPr>
              <w:spacing w:after="0"/>
              <w:rPr>
                <w:sz w:val="15"/>
                <w:szCs w:val="15"/>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9"/>
              </w:rPr>
              <w:t>Value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EAF9E8"/>
          </w:tcPr>
          <w:p>
            <w:pPr>
              <w:spacing w:after="0" w:line="149" w:lineRule="exact"/>
              <w:rPr>
                <w:sz w:val="20"/>
                <w:szCs w:val="20"/>
                <w:color w:val="auto"/>
              </w:rPr>
            </w:pPr>
            <w:r>
              <w:rPr>
                <w:rFonts w:ascii="Arial" w:cs="Arial" w:eastAsia="Arial" w:hAnsi="Arial"/>
                <w:sz w:val="14"/>
                <w:szCs w:val="14"/>
                <w:b w:val="1"/>
                <w:bCs w:val="1"/>
                <w:color w:val="auto"/>
              </w:rPr>
              <w:t>Rate-Sensitive Assets:</w:t>
            </w:r>
          </w:p>
        </w:tc>
        <w:tc>
          <w:tcPr>
            <w:tcW w:w="200" w:type="dxa"/>
            <w:vAlign w:val="bottom"/>
            <w:tcBorders>
              <w:top w:val="single" w:sz="8" w:color="auto"/>
            </w:tcBorders>
            <w:shd w:val="clear" w:color="auto" w:fill="EAF9E8"/>
          </w:tcPr>
          <w:p>
            <w:pPr>
              <w:spacing w:after="0"/>
              <w:rPr>
                <w:sz w:val="12"/>
                <w:szCs w:val="12"/>
                <w:color w:val="auto"/>
              </w:rPr>
            </w:pPr>
          </w:p>
        </w:tc>
        <w:tc>
          <w:tcPr>
            <w:tcW w:w="720" w:type="dxa"/>
            <w:vAlign w:val="bottom"/>
            <w:tcBorders>
              <w:top w:val="single" w:sz="8" w:color="auto"/>
            </w:tcBorders>
            <w:shd w:val="clear" w:color="auto" w:fill="EAF9E8"/>
          </w:tcPr>
          <w:p>
            <w:pPr>
              <w:spacing w:after="0"/>
              <w:rPr>
                <w:sz w:val="12"/>
                <w:szCs w:val="12"/>
                <w:color w:val="auto"/>
              </w:rPr>
            </w:pPr>
          </w:p>
        </w:tc>
        <w:tc>
          <w:tcPr>
            <w:tcW w:w="260" w:type="dxa"/>
            <w:vAlign w:val="bottom"/>
            <w:tcBorders>
              <w:right w:val="single" w:sz="8" w:color="EAF9E8"/>
            </w:tcBorders>
            <w:shd w:val="clear" w:color="auto" w:fill="EAF9E8"/>
          </w:tcPr>
          <w:p>
            <w:pPr>
              <w:spacing w:after="0"/>
              <w:rPr>
                <w:sz w:val="12"/>
                <w:szCs w:val="12"/>
                <w:color w:val="auto"/>
              </w:rPr>
            </w:pPr>
          </w:p>
        </w:tc>
        <w:tc>
          <w:tcPr>
            <w:tcW w:w="200" w:type="dxa"/>
            <w:vAlign w:val="bottom"/>
            <w:tcBorders>
              <w:top w:val="single" w:sz="8" w:color="auto"/>
            </w:tcBorders>
            <w:shd w:val="clear" w:color="auto" w:fill="EAF9E8"/>
          </w:tcPr>
          <w:p>
            <w:pPr>
              <w:spacing w:after="0"/>
              <w:rPr>
                <w:sz w:val="12"/>
                <w:szCs w:val="12"/>
                <w:color w:val="auto"/>
              </w:rPr>
            </w:pPr>
          </w:p>
        </w:tc>
        <w:tc>
          <w:tcPr>
            <w:tcW w:w="700" w:type="dxa"/>
            <w:vAlign w:val="bottom"/>
            <w:tcBorders>
              <w:top w:val="single" w:sz="8" w:color="auto"/>
            </w:tcBorders>
            <w:shd w:val="clear" w:color="auto" w:fill="EAF9E8"/>
          </w:tcPr>
          <w:p>
            <w:pPr>
              <w:spacing w:after="0"/>
              <w:rPr>
                <w:sz w:val="12"/>
                <w:szCs w:val="12"/>
                <w:color w:val="auto"/>
              </w:rPr>
            </w:pPr>
          </w:p>
        </w:tc>
        <w:tc>
          <w:tcPr>
            <w:tcW w:w="240" w:type="dxa"/>
            <w:vAlign w:val="bottom"/>
            <w:tcBorders>
              <w:right w:val="single" w:sz="8" w:color="EAF9E8"/>
            </w:tcBorders>
            <w:shd w:val="clear" w:color="auto" w:fill="EAF9E8"/>
          </w:tcPr>
          <w:p>
            <w:pPr>
              <w:spacing w:after="0"/>
              <w:rPr>
                <w:sz w:val="12"/>
                <w:szCs w:val="12"/>
                <w:color w:val="auto"/>
              </w:rPr>
            </w:pPr>
          </w:p>
        </w:tc>
        <w:tc>
          <w:tcPr>
            <w:tcW w:w="180" w:type="dxa"/>
            <w:vAlign w:val="bottom"/>
            <w:tcBorders>
              <w:top w:val="single" w:sz="8" w:color="auto"/>
            </w:tcBorders>
            <w:shd w:val="clear" w:color="auto" w:fill="EAF9E8"/>
          </w:tcPr>
          <w:p>
            <w:pPr>
              <w:spacing w:after="0"/>
              <w:rPr>
                <w:sz w:val="12"/>
                <w:szCs w:val="12"/>
                <w:color w:val="auto"/>
              </w:rPr>
            </w:pPr>
          </w:p>
        </w:tc>
        <w:tc>
          <w:tcPr>
            <w:tcW w:w="720" w:type="dxa"/>
            <w:vAlign w:val="bottom"/>
            <w:tcBorders>
              <w:top w:val="single" w:sz="8" w:color="auto"/>
            </w:tcBorders>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200" w:type="dxa"/>
            <w:vAlign w:val="bottom"/>
            <w:tcBorders>
              <w:top w:val="single" w:sz="8" w:color="auto"/>
            </w:tcBorders>
            <w:shd w:val="clear" w:color="auto" w:fill="EAF9E8"/>
          </w:tcPr>
          <w:p>
            <w:pPr>
              <w:spacing w:after="0"/>
              <w:rPr>
                <w:sz w:val="12"/>
                <w:szCs w:val="12"/>
                <w:color w:val="auto"/>
              </w:rPr>
            </w:pPr>
          </w:p>
        </w:tc>
        <w:tc>
          <w:tcPr>
            <w:tcW w:w="720" w:type="dxa"/>
            <w:vAlign w:val="bottom"/>
            <w:tcBorders>
              <w:top w:val="single" w:sz="8" w:color="auto"/>
            </w:tcBorders>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240" w:type="dxa"/>
            <w:vAlign w:val="bottom"/>
            <w:tcBorders>
              <w:top w:val="single" w:sz="8" w:color="auto"/>
            </w:tcBorders>
            <w:shd w:val="clear" w:color="auto" w:fill="EAF9E8"/>
          </w:tcPr>
          <w:p>
            <w:pPr>
              <w:spacing w:after="0"/>
              <w:rPr>
                <w:sz w:val="12"/>
                <w:szCs w:val="12"/>
                <w:color w:val="auto"/>
              </w:rPr>
            </w:pPr>
          </w:p>
        </w:tc>
        <w:tc>
          <w:tcPr>
            <w:tcW w:w="660" w:type="dxa"/>
            <w:vAlign w:val="bottom"/>
            <w:tcBorders>
              <w:top w:val="single" w:sz="8" w:color="auto"/>
            </w:tcBorders>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40" w:type="dxa"/>
            <w:vAlign w:val="bottom"/>
            <w:tcBorders>
              <w:top w:val="single" w:sz="8" w:color="auto"/>
            </w:tcBorders>
            <w:shd w:val="clear" w:color="auto" w:fill="EAF9E8"/>
          </w:tcPr>
          <w:p>
            <w:pPr>
              <w:spacing w:after="0"/>
              <w:rPr>
                <w:sz w:val="12"/>
                <w:szCs w:val="12"/>
                <w:color w:val="auto"/>
              </w:rPr>
            </w:pPr>
          </w:p>
        </w:tc>
        <w:tc>
          <w:tcPr>
            <w:tcW w:w="760" w:type="dxa"/>
            <w:vAlign w:val="bottom"/>
            <w:tcBorders>
              <w:top w:val="single" w:sz="8" w:color="auto"/>
            </w:tcBorders>
            <w:shd w:val="clear" w:color="auto" w:fill="EAF9E8"/>
          </w:tcPr>
          <w:p>
            <w:pPr>
              <w:spacing w:after="0"/>
              <w:rPr>
                <w:sz w:val="12"/>
                <w:szCs w:val="12"/>
                <w:color w:val="auto"/>
              </w:rPr>
            </w:pPr>
          </w:p>
        </w:tc>
        <w:tc>
          <w:tcPr>
            <w:tcW w:w="240" w:type="dxa"/>
            <w:vAlign w:val="bottom"/>
            <w:tcBorders>
              <w:right w:val="single" w:sz="8" w:color="EAF9E8"/>
            </w:tcBorders>
            <w:shd w:val="clear" w:color="auto" w:fill="EAF9E8"/>
          </w:tcPr>
          <w:p>
            <w:pPr>
              <w:spacing w:after="0"/>
              <w:rPr>
                <w:sz w:val="12"/>
                <w:szCs w:val="12"/>
                <w:color w:val="auto"/>
              </w:rPr>
            </w:pPr>
          </w:p>
        </w:tc>
        <w:tc>
          <w:tcPr>
            <w:tcW w:w="140" w:type="dxa"/>
            <w:vAlign w:val="bottom"/>
            <w:tcBorders>
              <w:top w:val="single" w:sz="8" w:color="auto"/>
            </w:tcBorders>
            <w:shd w:val="clear" w:color="auto" w:fill="EAF9E8"/>
          </w:tcPr>
          <w:p>
            <w:pPr>
              <w:spacing w:after="0"/>
              <w:rPr>
                <w:sz w:val="12"/>
                <w:szCs w:val="12"/>
                <w:color w:val="auto"/>
              </w:rPr>
            </w:pPr>
          </w:p>
        </w:tc>
        <w:tc>
          <w:tcPr>
            <w:tcW w:w="760" w:type="dxa"/>
            <w:vAlign w:val="bottom"/>
            <w:tcBorders>
              <w:top w:val="single" w:sz="8" w:color="auto"/>
            </w:tcBorders>
            <w:shd w:val="clear" w:color="auto" w:fill="EAF9E8"/>
          </w:tcPr>
          <w:p>
            <w:pPr>
              <w:spacing w:after="0"/>
              <w:rPr>
                <w:sz w:val="12"/>
                <w:szCs w:val="12"/>
                <w:color w:val="auto"/>
              </w:rPr>
            </w:pPr>
          </w:p>
        </w:tc>
        <w:tc>
          <w:tcPr>
            <w:tcW w:w="220" w:type="dxa"/>
            <w:vAlign w:val="bottom"/>
            <w:tcBorders>
              <w:right w:val="single" w:sz="8" w:color="EAF9E8"/>
            </w:tcBorders>
            <w:shd w:val="clear" w:color="auto" w:fill="EAF9E8"/>
          </w:tcPr>
          <w:p>
            <w:pPr>
              <w:spacing w:after="0"/>
              <w:rPr>
                <w:sz w:val="12"/>
                <w:szCs w:val="12"/>
                <w:color w:val="auto"/>
              </w:rPr>
            </w:pPr>
          </w:p>
        </w:tc>
        <w:tc>
          <w:tcPr>
            <w:tcW w:w="140" w:type="dxa"/>
            <w:vAlign w:val="bottom"/>
            <w:tcBorders>
              <w:top w:val="single" w:sz="8" w:color="auto"/>
            </w:tcBorders>
            <w:shd w:val="clear" w:color="auto" w:fill="EAF9E8"/>
          </w:tcPr>
          <w:p>
            <w:pPr>
              <w:spacing w:after="0"/>
              <w:rPr>
                <w:sz w:val="12"/>
                <w:szCs w:val="12"/>
                <w:color w:val="auto"/>
              </w:rPr>
            </w:pPr>
          </w:p>
        </w:tc>
        <w:tc>
          <w:tcPr>
            <w:tcW w:w="780" w:type="dxa"/>
            <w:vAlign w:val="bottom"/>
            <w:tcBorders>
              <w:top w:val="single" w:sz="8" w:color="auto"/>
            </w:tcBorders>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Interest-earning cash</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31,221</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31,221</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31,221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EAF9E8"/>
          </w:tcPr>
          <w:p>
            <w:pPr>
              <w:ind w:left="140"/>
              <w:spacing w:after="0" w:line="149" w:lineRule="exact"/>
              <w:rPr>
                <w:sz w:val="20"/>
                <w:szCs w:val="20"/>
                <w:color w:val="auto"/>
              </w:rPr>
            </w:pPr>
            <w:r>
              <w:rPr>
                <w:rFonts w:ascii="Arial" w:cs="Arial" w:eastAsia="Arial" w:hAnsi="Arial"/>
                <w:sz w:val="14"/>
                <w:szCs w:val="14"/>
                <w:i w:val="1"/>
                <w:iCs w:val="1"/>
                <w:color w:val="auto"/>
              </w:rPr>
              <w:t>Average interest rate</w:t>
            </w:r>
          </w:p>
        </w:tc>
        <w:tc>
          <w:tcPr>
            <w:tcW w:w="200" w:type="dxa"/>
            <w:vAlign w:val="bottom"/>
            <w:shd w:val="clear" w:color="auto" w:fill="EAF9E8"/>
          </w:tcPr>
          <w:p>
            <w:pPr>
              <w:spacing w:after="0"/>
              <w:rPr>
                <w:sz w:val="12"/>
                <w:szCs w:val="12"/>
                <w:color w:val="auto"/>
              </w:rPr>
            </w:pPr>
          </w:p>
        </w:tc>
        <w:tc>
          <w:tcPr>
            <w:tcW w:w="980" w:type="dxa"/>
            <w:vAlign w:val="bottom"/>
            <w:tcBorders>
              <w:right w:val="single" w:sz="8" w:color="EAF9E8"/>
            </w:tcBorders>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i w:val="1"/>
                <w:iCs w:val="1"/>
                <w:color w:val="auto"/>
              </w:rPr>
              <w:t>0.50%</w:t>
            </w:r>
          </w:p>
        </w:tc>
        <w:tc>
          <w:tcPr>
            <w:tcW w:w="200" w:type="dxa"/>
            <w:vAlign w:val="bottom"/>
            <w:shd w:val="clear" w:color="auto" w:fill="EAF9E8"/>
          </w:tcPr>
          <w:p>
            <w:pPr>
              <w:spacing w:after="0"/>
              <w:rPr>
                <w:sz w:val="12"/>
                <w:szCs w:val="12"/>
                <w:color w:val="auto"/>
              </w:rPr>
            </w:pPr>
          </w:p>
        </w:tc>
        <w:tc>
          <w:tcPr>
            <w:tcW w:w="940" w:type="dxa"/>
            <w:vAlign w:val="bottom"/>
            <w:tcBorders>
              <w:right w:val="single" w:sz="8" w:color="EAF9E8"/>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000" w:type="dxa"/>
            <w:vAlign w:val="bottom"/>
            <w:tcBorders>
              <w:right w:val="single" w:sz="8" w:color="EAF9E8"/>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980" w:type="dxa"/>
            <w:vAlign w:val="bottom"/>
            <w:tcBorders>
              <w:right w:val="single" w:sz="8" w:color="EAF9E8"/>
            </w:tcBorders>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i w:val="1"/>
                <w:iCs w:val="1"/>
                <w:color w:val="auto"/>
              </w:rPr>
              <w:t>0.50%</w:t>
            </w:r>
          </w:p>
        </w:tc>
        <w:tc>
          <w:tcPr>
            <w:tcW w:w="14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Loans held for resale (2)</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11,068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5,786</w:t>
            </w:r>
          </w:p>
        </w:tc>
        <w:tc>
          <w:tcPr>
            <w:tcW w:w="1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2,893</w:t>
            </w:r>
          </w:p>
        </w:tc>
        <w:tc>
          <w:tcPr>
            <w:tcW w:w="20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1,739</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1,131</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3,186</w:t>
            </w:r>
          </w:p>
        </w:tc>
        <w:tc>
          <w:tcPr>
            <w:tcW w:w="14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25,803</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25,803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EAF9E8"/>
          </w:tcPr>
          <w:p>
            <w:pPr>
              <w:ind w:left="140"/>
              <w:spacing w:after="0" w:line="149" w:lineRule="exact"/>
              <w:rPr>
                <w:sz w:val="20"/>
                <w:szCs w:val="20"/>
                <w:color w:val="auto"/>
              </w:rPr>
            </w:pPr>
            <w:r>
              <w:rPr>
                <w:rFonts w:ascii="Arial" w:cs="Arial" w:eastAsia="Arial" w:hAnsi="Arial"/>
                <w:sz w:val="14"/>
                <w:szCs w:val="14"/>
                <w:i w:val="1"/>
                <w:iCs w:val="1"/>
                <w:color w:val="auto"/>
              </w:rPr>
              <w:t>Average interest rate</w:t>
            </w:r>
          </w:p>
        </w:tc>
        <w:tc>
          <w:tcPr>
            <w:tcW w:w="200" w:type="dxa"/>
            <w:vAlign w:val="bottom"/>
            <w:shd w:val="clear" w:color="auto" w:fill="EAF9E8"/>
          </w:tcPr>
          <w:p>
            <w:pPr>
              <w:spacing w:after="0"/>
              <w:rPr>
                <w:sz w:val="12"/>
                <w:szCs w:val="12"/>
                <w:color w:val="auto"/>
              </w:rPr>
            </w:pPr>
          </w:p>
        </w:tc>
        <w:tc>
          <w:tcPr>
            <w:tcW w:w="980" w:type="dxa"/>
            <w:vAlign w:val="bottom"/>
            <w:tcBorders>
              <w:right w:val="single" w:sz="8" w:color="EAF9E8"/>
            </w:tcBorders>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i w:val="1"/>
                <w:iCs w:val="1"/>
                <w:color w:val="auto"/>
              </w:rPr>
              <w:t>8.56%</w:t>
            </w:r>
          </w:p>
        </w:tc>
        <w:tc>
          <w:tcPr>
            <w:tcW w:w="200" w:type="dxa"/>
            <w:vAlign w:val="bottom"/>
            <w:shd w:val="clear" w:color="auto" w:fill="EAF9E8"/>
          </w:tcPr>
          <w:p>
            <w:pPr>
              <w:spacing w:after="0"/>
              <w:rPr>
                <w:sz w:val="12"/>
                <w:szCs w:val="12"/>
                <w:color w:val="auto"/>
              </w:rPr>
            </w:pPr>
          </w:p>
        </w:tc>
        <w:tc>
          <w:tcPr>
            <w:tcW w:w="940" w:type="dxa"/>
            <w:vAlign w:val="bottom"/>
            <w:tcBorders>
              <w:right w:val="single" w:sz="8" w:color="EAF9E8"/>
            </w:tcBorders>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i w:val="1"/>
                <w:iCs w:val="1"/>
                <w:color w:val="auto"/>
              </w:rPr>
              <w:t>8.65%</w:t>
            </w:r>
          </w:p>
        </w:tc>
        <w:tc>
          <w:tcPr>
            <w:tcW w:w="18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i w:val="1"/>
                <w:iCs w:val="1"/>
                <w:color w:val="auto"/>
              </w:rPr>
              <w:t>8.08%</w:t>
            </w:r>
          </w:p>
        </w:tc>
        <w:tc>
          <w:tcPr>
            <w:tcW w:w="20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i w:val="1"/>
                <w:iCs w:val="1"/>
                <w:color w:val="auto"/>
              </w:rPr>
              <w:t>7.83%</w:t>
            </w:r>
          </w:p>
        </w:tc>
        <w:tc>
          <w:tcPr>
            <w:tcW w:w="24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i w:val="1"/>
                <w:iCs w:val="1"/>
                <w:color w:val="auto"/>
              </w:rPr>
              <w:t>7.83%</w:t>
            </w:r>
          </w:p>
        </w:tc>
        <w:tc>
          <w:tcPr>
            <w:tcW w:w="140" w:type="dxa"/>
            <w:vAlign w:val="bottom"/>
            <w:shd w:val="clear" w:color="auto" w:fill="EAF9E8"/>
          </w:tcPr>
          <w:p>
            <w:pPr>
              <w:spacing w:after="0"/>
              <w:rPr>
                <w:sz w:val="12"/>
                <w:szCs w:val="12"/>
                <w:color w:val="auto"/>
              </w:rPr>
            </w:pPr>
          </w:p>
        </w:tc>
        <w:tc>
          <w:tcPr>
            <w:tcW w:w="1000" w:type="dxa"/>
            <w:vAlign w:val="bottom"/>
            <w:tcBorders>
              <w:right w:val="single" w:sz="8" w:color="EAF9E8"/>
            </w:tcBorders>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i w:val="1"/>
                <w:iCs w:val="1"/>
                <w:color w:val="auto"/>
              </w:rPr>
              <w:t>7.83%</w:t>
            </w:r>
          </w:p>
        </w:tc>
        <w:tc>
          <w:tcPr>
            <w:tcW w:w="140" w:type="dxa"/>
            <w:vAlign w:val="bottom"/>
            <w:shd w:val="clear" w:color="auto" w:fill="EAF9E8"/>
          </w:tcPr>
          <w:p>
            <w:pPr>
              <w:spacing w:after="0"/>
              <w:rPr>
                <w:sz w:val="12"/>
                <w:szCs w:val="12"/>
                <w:color w:val="auto"/>
              </w:rPr>
            </w:pPr>
          </w:p>
        </w:tc>
        <w:tc>
          <w:tcPr>
            <w:tcW w:w="980" w:type="dxa"/>
            <w:vAlign w:val="bottom"/>
            <w:tcBorders>
              <w:right w:val="single" w:sz="8" w:color="EAF9E8"/>
            </w:tcBorders>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i w:val="1"/>
                <w:iCs w:val="1"/>
                <w:color w:val="auto"/>
              </w:rPr>
              <w:t>8.36%</w:t>
            </w:r>
          </w:p>
        </w:tc>
        <w:tc>
          <w:tcPr>
            <w:tcW w:w="14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tcPr>
          <w:p>
            <w:pPr>
              <w:spacing w:after="0" w:line="130" w:lineRule="exact"/>
              <w:rPr>
                <w:sz w:val="20"/>
                <w:szCs w:val="20"/>
                <w:color w:val="auto"/>
              </w:rPr>
            </w:pPr>
            <w:r>
              <w:rPr>
                <w:rFonts w:ascii="Arial" w:cs="Arial" w:eastAsia="Arial" w:hAnsi="Arial"/>
                <w:sz w:val="14"/>
                <w:szCs w:val="14"/>
                <w:color w:val="auto"/>
              </w:rPr>
              <w:t>Interest–earning collateral and debt</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tcPr>
          <w:p>
            <w:pPr>
              <w:ind w:left="60"/>
              <w:spacing w:after="0"/>
              <w:rPr>
                <w:sz w:val="20"/>
                <w:szCs w:val="20"/>
                <w:color w:val="auto"/>
              </w:rPr>
            </w:pPr>
            <w:r>
              <w:rPr>
                <w:rFonts w:ascii="Arial" w:cs="Arial" w:eastAsia="Arial" w:hAnsi="Arial"/>
                <w:sz w:val="14"/>
                <w:szCs w:val="14"/>
                <w:color w:val="auto"/>
              </w:rPr>
              <w:t>service deposits</w:t>
            </w:r>
          </w:p>
        </w:tc>
        <w:tc>
          <w:tcPr>
            <w:tcW w:w="20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111,972</w:t>
            </w:r>
          </w:p>
        </w:tc>
        <w:tc>
          <w:tcPr>
            <w:tcW w:w="2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111,972</w:t>
            </w:r>
          </w:p>
        </w:tc>
        <w:tc>
          <w:tcPr>
            <w:tcW w:w="14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111,972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EAF9E8"/>
          </w:tcPr>
          <w:p>
            <w:pPr>
              <w:ind w:left="140"/>
              <w:spacing w:after="0" w:line="149" w:lineRule="exact"/>
              <w:rPr>
                <w:sz w:val="20"/>
                <w:szCs w:val="20"/>
                <w:color w:val="auto"/>
              </w:rPr>
            </w:pPr>
            <w:r>
              <w:rPr>
                <w:rFonts w:ascii="Arial" w:cs="Arial" w:eastAsia="Arial" w:hAnsi="Arial"/>
                <w:sz w:val="14"/>
                <w:szCs w:val="14"/>
                <w:i w:val="1"/>
                <w:iCs w:val="1"/>
                <w:color w:val="auto"/>
              </w:rPr>
              <w:t>Average interest rate</w:t>
            </w:r>
          </w:p>
        </w:tc>
        <w:tc>
          <w:tcPr>
            <w:tcW w:w="200" w:type="dxa"/>
            <w:vAlign w:val="bottom"/>
            <w:shd w:val="clear" w:color="auto" w:fill="EAF9E8"/>
          </w:tcPr>
          <w:p>
            <w:pPr>
              <w:spacing w:after="0"/>
              <w:rPr>
                <w:sz w:val="12"/>
                <w:szCs w:val="12"/>
                <w:color w:val="auto"/>
              </w:rPr>
            </w:pPr>
          </w:p>
        </w:tc>
        <w:tc>
          <w:tcPr>
            <w:tcW w:w="980" w:type="dxa"/>
            <w:vAlign w:val="bottom"/>
            <w:tcBorders>
              <w:right w:val="single" w:sz="8" w:color="EAF9E8"/>
            </w:tcBorders>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i w:val="1"/>
                <w:iCs w:val="1"/>
                <w:color w:val="auto"/>
              </w:rPr>
              <w:t>0.17%</w:t>
            </w:r>
          </w:p>
        </w:tc>
        <w:tc>
          <w:tcPr>
            <w:tcW w:w="200" w:type="dxa"/>
            <w:vAlign w:val="bottom"/>
            <w:shd w:val="clear" w:color="auto" w:fill="EAF9E8"/>
          </w:tcPr>
          <w:p>
            <w:pPr>
              <w:spacing w:after="0"/>
              <w:rPr>
                <w:sz w:val="12"/>
                <w:szCs w:val="12"/>
                <w:color w:val="auto"/>
              </w:rPr>
            </w:pPr>
          </w:p>
        </w:tc>
        <w:tc>
          <w:tcPr>
            <w:tcW w:w="940" w:type="dxa"/>
            <w:vAlign w:val="bottom"/>
            <w:tcBorders>
              <w:right w:val="single" w:sz="8" w:color="EAF9E8"/>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000" w:type="dxa"/>
            <w:vAlign w:val="bottom"/>
            <w:tcBorders>
              <w:right w:val="single" w:sz="8" w:color="EAF9E8"/>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980" w:type="dxa"/>
            <w:vAlign w:val="bottom"/>
            <w:tcBorders>
              <w:right w:val="single" w:sz="8" w:color="EAF9E8"/>
            </w:tcBorders>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i w:val="1"/>
                <w:iCs w:val="1"/>
                <w:color w:val="auto"/>
              </w:rPr>
              <w:t>0.17%</w:t>
            </w:r>
          </w:p>
        </w:tc>
        <w:tc>
          <w:tcPr>
            <w:tcW w:w="14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Borders>
              <w:right w:val="single" w:sz="8" w:color="EAF9E8"/>
            </w:tcBorders>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Borders>
              <w:right w:val="single" w:sz="8" w:color="EAF9E8"/>
            </w:tcBorders>
            <w:shd w:val="clear" w:color="auto" w:fill="EAF9E8"/>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Borders>
              <w:right w:val="single" w:sz="8" w:color="EAF9E8"/>
            </w:tcBorders>
            <w:shd w:val="clear" w:color="auto" w:fill="EAF9E8"/>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Borders>
              <w:right w:val="single" w:sz="8" w:color="EAF9E8"/>
            </w:tcBorders>
            <w:shd w:val="clear" w:color="auto" w:fill="EAF9E8"/>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40"/>
              <w:spacing w:after="0" w:line="149" w:lineRule="exact"/>
              <w:rPr>
                <w:sz w:val="20"/>
                <w:szCs w:val="20"/>
                <w:color w:val="auto"/>
              </w:rPr>
            </w:pPr>
            <w:r>
              <w:rPr>
                <w:rFonts w:ascii="Arial" w:cs="Arial" w:eastAsia="Arial" w:hAnsi="Arial"/>
                <w:sz w:val="14"/>
                <w:szCs w:val="14"/>
                <w:color w:val="auto"/>
              </w:rPr>
              <w:t>Total rate-sensitive assets</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154,261</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5,786</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2,893</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1,739</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1,131</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3,186</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168,996</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168,996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shd w:val="clear" w:color="auto" w:fill="EAF9E8"/>
          </w:tcPr>
          <w:p>
            <w:pPr>
              <w:ind w:left="140"/>
              <w:spacing w:after="0" w:line="142" w:lineRule="exact"/>
              <w:rPr>
                <w:sz w:val="20"/>
                <w:szCs w:val="20"/>
                <w:color w:val="auto"/>
              </w:rPr>
            </w:pPr>
            <w:r>
              <w:rPr>
                <w:rFonts w:ascii="Arial" w:cs="Arial" w:eastAsia="Arial" w:hAnsi="Arial"/>
                <w:sz w:val="14"/>
                <w:szCs w:val="14"/>
                <w:i w:val="1"/>
                <w:iCs w:val="1"/>
                <w:color w:val="auto"/>
              </w:rPr>
              <w:t>Percent of total</w:t>
            </w:r>
          </w:p>
        </w:tc>
        <w:tc>
          <w:tcPr>
            <w:tcW w:w="200" w:type="dxa"/>
            <w:vAlign w:val="bottom"/>
            <w:shd w:val="clear" w:color="auto" w:fill="EAF9E8"/>
          </w:tcPr>
          <w:p>
            <w:pPr>
              <w:spacing w:after="0"/>
              <w:rPr>
                <w:sz w:val="12"/>
                <w:szCs w:val="12"/>
                <w:color w:val="auto"/>
              </w:rPr>
            </w:pPr>
          </w:p>
        </w:tc>
        <w:tc>
          <w:tcPr>
            <w:tcW w:w="980" w:type="dxa"/>
            <w:vAlign w:val="bottom"/>
            <w:tcBorders>
              <w:right w:val="single" w:sz="8" w:color="EAF9E8"/>
            </w:tcBorders>
            <w:gridSpan w:val="2"/>
            <w:shd w:val="clear" w:color="auto" w:fill="EAF9E8"/>
          </w:tcPr>
          <w:p>
            <w:pPr>
              <w:jc w:val="right"/>
              <w:ind w:right="140"/>
              <w:spacing w:after="0" w:line="142" w:lineRule="exact"/>
              <w:rPr>
                <w:sz w:val="20"/>
                <w:szCs w:val="20"/>
                <w:color w:val="auto"/>
              </w:rPr>
            </w:pPr>
            <w:r>
              <w:rPr>
                <w:rFonts w:ascii="Arial" w:cs="Arial" w:eastAsia="Arial" w:hAnsi="Arial"/>
                <w:sz w:val="14"/>
                <w:szCs w:val="14"/>
                <w:i w:val="1"/>
                <w:iCs w:val="1"/>
                <w:color w:val="auto"/>
              </w:rPr>
              <w:t>91.28%</w:t>
            </w:r>
          </w:p>
        </w:tc>
        <w:tc>
          <w:tcPr>
            <w:tcW w:w="200" w:type="dxa"/>
            <w:vAlign w:val="bottom"/>
            <w:shd w:val="clear" w:color="auto" w:fill="EAF9E8"/>
          </w:tcPr>
          <w:p>
            <w:pPr>
              <w:spacing w:after="0"/>
              <w:rPr>
                <w:sz w:val="12"/>
                <w:szCs w:val="12"/>
                <w:color w:val="auto"/>
              </w:rPr>
            </w:pPr>
          </w:p>
        </w:tc>
        <w:tc>
          <w:tcPr>
            <w:tcW w:w="940" w:type="dxa"/>
            <w:vAlign w:val="bottom"/>
            <w:tcBorders>
              <w:right w:val="single" w:sz="8" w:color="EAF9E8"/>
            </w:tcBorders>
            <w:gridSpan w:val="2"/>
            <w:shd w:val="clear" w:color="auto" w:fill="EAF9E8"/>
          </w:tcPr>
          <w:p>
            <w:pPr>
              <w:jc w:val="right"/>
              <w:ind w:right="120"/>
              <w:spacing w:after="0" w:line="142" w:lineRule="exact"/>
              <w:rPr>
                <w:sz w:val="20"/>
                <w:szCs w:val="20"/>
                <w:color w:val="auto"/>
              </w:rPr>
            </w:pPr>
            <w:r>
              <w:rPr>
                <w:rFonts w:ascii="Arial" w:cs="Arial" w:eastAsia="Arial" w:hAnsi="Arial"/>
                <w:sz w:val="14"/>
                <w:szCs w:val="14"/>
                <w:i w:val="1"/>
                <w:iCs w:val="1"/>
                <w:color w:val="auto"/>
              </w:rPr>
              <w:t>3.42%</w:t>
            </w:r>
          </w:p>
        </w:tc>
        <w:tc>
          <w:tcPr>
            <w:tcW w:w="18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100"/>
              <w:spacing w:after="0" w:line="142" w:lineRule="exact"/>
              <w:rPr>
                <w:sz w:val="20"/>
                <w:szCs w:val="20"/>
                <w:color w:val="auto"/>
              </w:rPr>
            </w:pPr>
            <w:r>
              <w:rPr>
                <w:rFonts w:ascii="Arial" w:cs="Arial" w:eastAsia="Arial" w:hAnsi="Arial"/>
                <w:sz w:val="14"/>
                <w:szCs w:val="14"/>
                <w:i w:val="1"/>
                <w:iCs w:val="1"/>
                <w:color w:val="auto"/>
              </w:rPr>
              <w:t>1.71%</w:t>
            </w:r>
          </w:p>
        </w:tc>
        <w:tc>
          <w:tcPr>
            <w:tcW w:w="20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100"/>
              <w:spacing w:after="0" w:line="142" w:lineRule="exact"/>
              <w:rPr>
                <w:sz w:val="20"/>
                <w:szCs w:val="20"/>
                <w:color w:val="auto"/>
              </w:rPr>
            </w:pPr>
            <w:r>
              <w:rPr>
                <w:rFonts w:ascii="Arial" w:cs="Arial" w:eastAsia="Arial" w:hAnsi="Arial"/>
                <w:sz w:val="14"/>
                <w:szCs w:val="14"/>
                <w:i w:val="1"/>
                <w:iCs w:val="1"/>
                <w:color w:val="auto"/>
              </w:rPr>
              <w:t>1.03%</w:t>
            </w:r>
          </w:p>
        </w:tc>
        <w:tc>
          <w:tcPr>
            <w:tcW w:w="24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120"/>
              <w:spacing w:after="0" w:line="142" w:lineRule="exact"/>
              <w:rPr>
                <w:sz w:val="20"/>
                <w:szCs w:val="20"/>
                <w:color w:val="auto"/>
              </w:rPr>
            </w:pPr>
            <w:r>
              <w:rPr>
                <w:rFonts w:ascii="Arial" w:cs="Arial" w:eastAsia="Arial" w:hAnsi="Arial"/>
                <w:sz w:val="14"/>
                <w:szCs w:val="14"/>
                <w:i w:val="1"/>
                <w:iCs w:val="1"/>
                <w:color w:val="auto"/>
              </w:rPr>
              <w:t>0.67%</w:t>
            </w:r>
          </w:p>
        </w:tc>
        <w:tc>
          <w:tcPr>
            <w:tcW w:w="140" w:type="dxa"/>
            <w:vAlign w:val="bottom"/>
            <w:shd w:val="clear" w:color="auto" w:fill="EAF9E8"/>
          </w:tcPr>
          <w:p>
            <w:pPr>
              <w:spacing w:after="0"/>
              <w:rPr>
                <w:sz w:val="12"/>
                <w:szCs w:val="12"/>
                <w:color w:val="auto"/>
              </w:rPr>
            </w:pPr>
          </w:p>
        </w:tc>
        <w:tc>
          <w:tcPr>
            <w:tcW w:w="1000" w:type="dxa"/>
            <w:vAlign w:val="bottom"/>
            <w:tcBorders>
              <w:right w:val="single" w:sz="8" w:color="EAF9E8"/>
            </w:tcBorders>
            <w:gridSpan w:val="2"/>
            <w:shd w:val="clear" w:color="auto" w:fill="EAF9E8"/>
          </w:tcPr>
          <w:p>
            <w:pPr>
              <w:jc w:val="right"/>
              <w:ind w:right="120"/>
              <w:spacing w:after="0" w:line="142" w:lineRule="exact"/>
              <w:rPr>
                <w:sz w:val="20"/>
                <w:szCs w:val="20"/>
                <w:color w:val="auto"/>
              </w:rPr>
            </w:pPr>
            <w:r>
              <w:rPr>
                <w:rFonts w:ascii="Arial" w:cs="Arial" w:eastAsia="Arial" w:hAnsi="Arial"/>
                <w:sz w:val="14"/>
                <w:szCs w:val="14"/>
                <w:i w:val="1"/>
                <w:iCs w:val="1"/>
                <w:color w:val="auto"/>
              </w:rPr>
              <w:t>1.89%</w:t>
            </w:r>
          </w:p>
        </w:tc>
        <w:tc>
          <w:tcPr>
            <w:tcW w:w="140" w:type="dxa"/>
            <w:vAlign w:val="bottom"/>
            <w:shd w:val="clear" w:color="auto" w:fill="EAF9E8"/>
          </w:tcPr>
          <w:p>
            <w:pPr>
              <w:spacing w:after="0"/>
              <w:rPr>
                <w:sz w:val="12"/>
                <w:szCs w:val="12"/>
                <w:color w:val="auto"/>
              </w:rPr>
            </w:pPr>
          </w:p>
        </w:tc>
        <w:tc>
          <w:tcPr>
            <w:tcW w:w="980" w:type="dxa"/>
            <w:vAlign w:val="bottom"/>
            <w:tcBorders>
              <w:right w:val="single" w:sz="8" w:color="EAF9E8"/>
            </w:tcBorders>
            <w:gridSpan w:val="2"/>
            <w:shd w:val="clear" w:color="auto" w:fill="EAF9E8"/>
          </w:tcPr>
          <w:p>
            <w:pPr>
              <w:jc w:val="right"/>
              <w:ind w:right="100"/>
              <w:spacing w:after="0" w:line="142" w:lineRule="exact"/>
              <w:rPr>
                <w:sz w:val="20"/>
                <w:szCs w:val="20"/>
                <w:color w:val="auto"/>
              </w:rPr>
            </w:pPr>
            <w:r>
              <w:rPr>
                <w:rFonts w:ascii="Arial" w:cs="Arial" w:eastAsia="Arial" w:hAnsi="Arial"/>
                <w:sz w:val="14"/>
                <w:szCs w:val="14"/>
                <w:i w:val="1"/>
                <w:iCs w:val="1"/>
                <w:color w:val="auto"/>
              </w:rPr>
              <w:t>100.00%</w:t>
            </w:r>
          </w:p>
        </w:tc>
        <w:tc>
          <w:tcPr>
            <w:tcW w:w="14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EAF9E8"/>
          </w:tcPr>
          <w:p>
            <w:pPr>
              <w:spacing w:after="0" w:line="149" w:lineRule="exact"/>
              <w:rPr>
                <w:sz w:val="20"/>
                <w:szCs w:val="20"/>
                <w:color w:val="auto"/>
              </w:rPr>
            </w:pPr>
            <w:r>
              <w:rPr>
                <w:rFonts w:ascii="Arial" w:cs="Arial" w:eastAsia="Arial" w:hAnsi="Arial"/>
                <w:sz w:val="14"/>
                <w:szCs w:val="14"/>
                <w:b w:val="1"/>
                <w:bCs w:val="1"/>
                <w:color w:val="auto"/>
              </w:rPr>
              <w:t>Rate-Sensitive Liabilities:</w:t>
            </w:r>
          </w:p>
        </w:tc>
        <w:tc>
          <w:tcPr>
            <w:tcW w:w="20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260" w:type="dxa"/>
            <w:vAlign w:val="bottom"/>
            <w:tcBorders>
              <w:right w:val="single" w:sz="8" w:color="EAF9E8"/>
            </w:tcBorders>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240" w:type="dxa"/>
            <w:vAlign w:val="bottom"/>
            <w:tcBorders>
              <w:right w:val="single" w:sz="8" w:color="EAF9E8"/>
            </w:tcBorders>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66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60" w:type="dxa"/>
            <w:vAlign w:val="bottom"/>
            <w:shd w:val="clear" w:color="auto" w:fill="EAF9E8"/>
          </w:tcPr>
          <w:p>
            <w:pPr>
              <w:spacing w:after="0"/>
              <w:rPr>
                <w:sz w:val="12"/>
                <w:szCs w:val="12"/>
                <w:color w:val="auto"/>
              </w:rPr>
            </w:pPr>
          </w:p>
        </w:tc>
        <w:tc>
          <w:tcPr>
            <w:tcW w:w="240" w:type="dxa"/>
            <w:vAlign w:val="bottom"/>
            <w:tcBorders>
              <w:right w:val="single" w:sz="8" w:color="EAF9E8"/>
            </w:tcBorders>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60" w:type="dxa"/>
            <w:vAlign w:val="bottom"/>
            <w:shd w:val="clear" w:color="auto" w:fill="EAF9E8"/>
          </w:tcPr>
          <w:p>
            <w:pPr>
              <w:spacing w:after="0"/>
              <w:rPr>
                <w:sz w:val="12"/>
                <w:szCs w:val="12"/>
                <w:color w:val="auto"/>
              </w:rPr>
            </w:pPr>
          </w:p>
        </w:tc>
        <w:tc>
          <w:tcPr>
            <w:tcW w:w="220" w:type="dxa"/>
            <w:vAlign w:val="bottom"/>
            <w:tcBorders>
              <w:right w:val="single" w:sz="8" w:color="EAF9E8"/>
            </w:tcBorders>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Match funded liabilities: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EAF9E8"/>
          </w:tcPr>
          <w:p>
            <w:pPr>
              <w:ind w:left="60"/>
              <w:spacing w:after="0" w:line="149" w:lineRule="exact"/>
              <w:rPr>
                <w:sz w:val="20"/>
                <w:szCs w:val="20"/>
                <w:color w:val="auto"/>
              </w:rPr>
            </w:pPr>
            <w:r>
              <w:rPr>
                <w:rFonts w:ascii="Arial" w:cs="Arial" w:eastAsia="Arial" w:hAnsi="Arial"/>
                <w:sz w:val="14"/>
                <w:szCs w:val="14"/>
                <w:color w:val="auto"/>
              </w:rPr>
              <w:t>Fixed rate</w:t>
            </w:r>
          </w:p>
        </w:tc>
        <w:tc>
          <w:tcPr>
            <w:tcW w:w="200" w:type="dxa"/>
            <w:vAlign w:val="bottom"/>
            <w:shd w:val="clear" w:color="auto" w:fill="EAF9E8"/>
          </w:tcPr>
          <w:p>
            <w:pPr>
              <w:jc w:val="right"/>
              <w:ind w:right="89"/>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EAF9E8"/>
            </w:tcBorders>
            <w:gridSpan w:val="2"/>
            <w:shd w:val="clear" w:color="auto" w:fill="EAF9E8"/>
          </w:tcPr>
          <w:p>
            <w:pPr>
              <w:jc w:val="right"/>
              <w:ind w:right="260"/>
              <w:spacing w:after="0" w:line="149" w:lineRule="exact"/>
              <w:rPr>
                <w:sz w:val="20"/>
                <w:szCs w:val="20"/>
                <w:color w:val="auto"/>
              </w:rPr>
            </w:pPr>
            <w:r>
              <w:rPr>
                <w:rFonts w:ascii="Arial" w:cs="Arial" w:eastAsia="Arial" w:hAnsi="Arial"/>
                <w:sz w:val="14"/>
                <w:szCs w:val="14"/>
                <w:color w:val="auto"/>
              </w:rPr>
              <w:t>160,000</w:t>
            </w:r>
          </w:p>
        </w:tc>
        <w:tc>
          <w:tcPr>
            <w:tcW w:w="200" w:type="dxa"/>
            <w:vAlign w:val="bottom"/>
            <w:shd w:val="clear" w:color="auto" w:fill="EAF9E8"/>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tcBorders>
              <w:right w:val="single" w:sz="8" w:color="EAF9E8"/>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190,000</w:t>
            </w:r>
          </w:p>
        </w:tc>
        <w:tc>
          <w:tcPr>
            <w:tcW w:w="180" w:type="dxa"/>
            <w:vAlign w:val="bottom"/>
            <w:shd w:val="clear" w:color="auto" w:fill="EAF9E8"/>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60,000</w:t>
            </w:r>
          </w:p>
        </w:tc>
        <w:tc>
          <w:tcPr>
            <w:tcW w:w="200" w:type="dxa"/>
            <w:vAlign w:val="bottom"/>
            <w:shd w:val="clear" w:color="auto" w:fill="EAF9E8"/>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EAF9E8"/>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EAF9E8"/>
            </w:tcBorders>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410,000</w:t>
            </w:r>
          </w:p>
        </w:tc>
        <w:tc>
          <w:tcPr>
            <w:tcW w:w="1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413,947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40"/>
              <w:spacing w:after="0" w:line="149" w:lineRule="exact"/>
              <w:rPr>
                <w:sz w:val="20"/>
                <w:szCs w:val="20"/>
                <w:color w:val="auto"/>
              </w:rPr>
            </w:pPr>
            <w:r>
              <w:rPr>
                <w:rFonts w:ascii="Arial" w:cs="Arial" w:eastAsia="Arial" w:hAnsi="Arial"/>
                <w:sz w:val="14"/>
                <w:szCs w:val="14"/>
                <w:i w:val="1"/>
                <w:iCs w:val="1"/>
                <w:color w:val="auto"/>
              </w:rPr>
              <w:t>Average interest rate</w:t>
            </w:r>
          </w:p>
        </w:tc>
        <w:tc>
          <w:tcPr>
            <w:tcW w:w="20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i w:val="1"/>
                <w:iCs w:val="1"/>
                <w:color w:val="auto"/>
              </w:rPr>
              <w:t>3.59%</w:t>
            </w:r>
          </w:p>
        </w:tc>
        <w:tc>
          <w:tcPr>
            <w:tcW w:w="2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4.02%</w:t>
            </w:r>
          </w:p>
        </w:tc>
        <w:tc>
          <w:tcPr>
            <w:tcW w:w="1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i w:val="1"/>
                <w:iCs w:val="1"/>
                <w:color w:val="auto"/>
              </w:rPr>
              <w:t>4.14%</w:t>
            </w:r>
          </w:p>
        </w:tc>
        <w:tc>
          <w:tcPr>
            <w:tcW w:w="20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i w:val="1"/>
                <w:iCs w:val="1"/>
                <w:color w:val="auto"/>
              </w:rPr>
              <w:t>3.87%</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EAF9E8"/>
          </w:tcPr>
          <w:p>
            <w:pPr>
              <w:ind w:left="60"/>
              <w:spacing w:after="0" w:line="149" w:lineRule="exact"/>
              <w:rPr>
                <w:sz w:val="20"/>
                <w:szCs w:val="20"/>
                <w:color w:val="auto"/>
              </w:rPr>
            </w:pPr>
            <w:r>
              <w:rPr>
                <w:rFonts w:ascii="Arial" w:cs="Arial" w:eastAsia="Arial" w:hAnsi="Arial"/>
                <w:sz w:val="14"/>
                <w:szCs w:val="14"/>
                <w:color w:val="auto"/>
              </w:rPr>
              <w:t>Variable interest rate</w:t>
            </w:r>
          </w:p>
        </w:tc>
        <w:tc>
          <w:tcPr>
            <w:tcW w:w="200" w:type="dxa"/>
            <w:vAlign w:val="bottom"/>
            <w:shd w:val="clear" w:color="auto" w:fill="EAF9E8"/>
          </w:tcPr>
          <w:p>
            <w:pPr>
              <w:spacing w:after="0"/>
              <w:rPr>
                <w:sz w:val="12"/>
                <w:szCs w:val="12"/>
                <w:color w:val="auto"/>
              </w:rPr>
            </w:pPr>
          </w:p>
        </w:tc>
        <w:tc>
          <w:tcPr>
            <w:tcW w:w="980" w:type="dxa"/>
            <w:vAlign w:val="bottom"/>
            <w:tcBorders>
              <w:right w:val="single" w:sz="8" w:color="EAF9E8"/>
            </w:tcBorders>
            <w:gridSpan w:val="2"/>
            <w:shd w:val="clear" w:color="auto" w:fill="EAF9E8"/>
          </w:tcPr>
          <w:p>
            <w:pPr>
              <w:jc w:val="right"/>
              <w:ind w:right="260"/>
              <w:spacing w:after="0" w:line="149" w:lineRule="exact"/>
              <w:rPr>
                <w:sz w:val="20"/>
                <w:szCs w:val="20"/>
                <w:color w:val="auto"/>
              </w:rPr>
            </w:pPr>
            <w:r>
              <w:rPr>
                <w:rFonts w:ascii="Arial" w:cs="Arial" w:eastAsia="Arial" w:hAnsi="Arial"/>
                <w:sz w:val="14"/>
                <w:szCs w:val="14"/>
                <w:color w:val="auto"/>
              </w:rPr>
              <w:t>261,529</w:t>
            </w:r>
          </w:p>
        </w:tc>
        <w:tc>
          <w:tcPr>
            <w:tcW w:w="200" w:type="dxa"/>
            <w:vAlign w:val="bottom"/>
            <w:shd w:val="clear" w:color="auto" w:fill="EAF9E8"/>
          </w:tcPr>
          <w:p>
            <w:pPr>
              <w:spacing w:after="0"/>
              <w:rPr>
                <w:sz w:val="12"/>
                <w:szCs w:val="12"/>
                <w:color w:val="auto"/>
              </w:rPr>
            </w:pPr>
          </w:p>
        </w:tc>
        <w:tc>
          <w:tcPr>
            <w:tcW w:w="940" w:type="dxa"/>
            <w:vAlign w:val="bottom"/>
            <w:tcBorders>
              <w:right w:val="single" w:sz="8" w:color="EAF9E8"/>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811,000</w:t>
            </w:r>
          </w:p>
        </w:tc>
        <w:tc>
          <w:tcPr>
            <w:tcW w:w="20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000" w:type="dxa"/>
            <w:vAlign w:val="bottom"/>
            <w:tcBorders>
              <w:right w:val="single" w:sz="8" w:color="EAF9E8"/>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980" w:type="dxa"/>
            <w:vAlign w:val="bottom"/>
            <w:tcBorders>
              <w:right w:val="single" w:sz="8" w:color="EAF9E8"/>
            </w:tcBorders>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1,072,529</w:t>
            </w:r>
          </w:p>
        </w:tc>
        <w:tc>
          <w:tcPr>
            <w:tcW w:w="14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1,072,529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40"/>
              <w:spacing w:after="0" w:line="149" w:lineRule="exact"/>
              <w:rPr>
                <w:sz w:val="20"/>
                <w:szCs w:val="20"/>
                <w:color w:val="auto"/>
              </w:rPr>
            </w:pPr>
            <w:r>
              <w:rPr>
                <w:rFonts w:ascii="Arial" w:cs="Arial" w:eastAsia="Arial" w:hAnsi="Arial"/>
                <w:sz w:val="14"/>
                <w:szCs w:val="14"/>
                <w:i w:val="1"/>
                <w:iCs w:val="1"/>
                <w:color w:val="auto"/>
              </w:rPr>
              <w:t>Average interest rate</w:t>
            </w:r>
          </w:p>
        </w:tc>
        <w:tc>
          <w:tcPr>
            <w:tcW w:w="20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i w:val="1"/>
                <w:iCs w:val="1"/>
                <w:color w:val="auto"/>
              </w:rPr>
              <w:t>2.34%</w:t>
            </w:r>
          </w:p>
        </w:tc>
        <w:tc>
          <w:tcPr>
            <w:tcW w:w="20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i w:val="1"/>
                <w:iCs w:val="1"/>
                <w:color w:val="auto"/>
              </w:rPr>
              <w:t>4.06%</w:t>
            </w:r>
          </w:p>
        </w:tc>
        <w:tc>
          <w:tcPr>
            <w:tcW w:w="20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i w:val="1"/>
                <w:iCs w:val="1"/>
                <w:color w:val="auto"/>
              </w:rPr>
              <w:t>3.64%</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rPr>
              <w:t>Lines of credit and other secured</w:t>
            </w:r>
          </w:p>
        </w:tc>
        <w:tc>
          <w:tcPr>
            <w:tcW w:w="20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260" w:type="dxa"/>
            <w:vAlign w:val="bottom"/>
            <w:tcBorders>
              <w:right w:val="single" w:sz="8" w:color="EAF9E8"/>
            </w:tcBorders>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240" w:type="dxa"/>
            <w:vAlign w:val="bottom"/>
            <w:tcBorders>
              <w:right w:val="single" w:sz="8" w:color="EAF9E8"/>
            </w:tcBorders>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66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760" w:type="dxa"/>
            <w:vAlign w:val="bottom"/>
            <w:shd w:val="clear" w:color="auto" w:fill="EAF9E8"/>
          </w:tcPr>
          <w:p>
            <w:pPr>
              <w:spacing w:after="0"/>
              <w:rPr>
                <w:sz w:val="11"/>
                <w:szCs w:val="11"/>
                <w:color w:val="auto"/>
              </w:rPr>
            </w:pPr>
          </w:p>
        </w:tc>
        <w:tc>
          <w:tcPr>
            <w:tcW w:w="240" w:type="dxa"/>
            <w:vAlign w:val="bottom"/>
            <w:tcBorders>
              <w:right w:val="single" w:sz="8" w:color="EAF9E8"/>
            </w:tcBorders>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760" w:type="dxa"/>
            <w:vAlign w:val="bottom"/>
            <w:shd w:val="clear" w:color="auto" w:fill="EAF9E8"/>
          </w:tcPr>
          <w:p>
            <w:pPr>
              <w:spacing w:after="0"/>
              <w:rPr>
                <w:sz w:val="11"/>
                <w:szCs w:val="11"/>
                <w:color w:val="auto"/>
              </w:rPr>
            </w:pPr>
          </w:p>
        </w:tc>
        <w:tc>
          <w:tcPr>
            <w:tcW w:w="220" w:type="dxa"/>
            <w:vAlign w:val="bottom"/>
            <w:tcBorders>
              <w:right w:val="single" w:sz="8" w:color="EAF9E8"/>
            </w:tcBorders>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7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EAF9E8"/>
          </w:tcPr>
          <w:p>
            <w:pPr>
              <w:ind w:left="60"/>
              <w:spacing w:after="0"/>
              <w:rPr>
                <w:sz w:val="20"/>
                <w:szCs w:val="20"/>
                <w:color w:val="auto"/>
              </w:rPr>
            </w:pPr>
            <w:r>
              <w:rPr>
                <w:rFonts w:ascii="Arial" w:cs="Arial" w:eastAsia="Arial" w:hAnsi="Arial"/>
                <w:sz w:val="14"/>
                <w:szCs w:val="14"/>
                <w:color w:val="auto"/>
              </w:rPr>
              <w:t>borrowings</w:t>
            </w:r>
          </w:p>
        </w:tc>
        <w:tc>
          <w:tcPr>
            <w:tcW w:w="200" w:type="dxa"/>
            <w:vAlign w:val="bottom"/>
            <w:shd w:val="clear" w:color="auto" w:fill="EAF9E8"/>
          </w:tcPr>
          <w:p>
            <w:pPr>
              <w:spacing w:after="0"/>
              <w:rPr>
                <w:sz w:val="14"/>
                <w:szCs w:val="14"/>
                <w:color w:val="auto"/>
              </w:rPr>
            </w:pPr>
          </w:p>
        </w:tc>
        <w:tc>
          <w:tcPr>
            <w:tcW w:w="980" w:type="dxa"/>
            <w:vAlign w:val="bottom"/>
            <w:tcBorders>
              <w:right w:val="single" w:sz="8" w:color="EAF9E8"/>
            </w:tcBorders>
            <w:gridSpan w:val="2"/>
            <w:shd w:val="clear" w:color="auto" w:fill="EAF9E8"/>
          </w:tcPr>
          <w:p>
            <w:pPr>
              <w:jc w:val="right"/>
              <w:ind w:right="260"/>
              <w:spacing w:after="0"/>
              <w:rPr>
                <w:sz w:val="20"/>
                <w:szCs w:val="20"/>
                <w:color w:val="auto"/>
              </w:rPr>
            </w:pPr>
            <w:r>
              <w:rPr>
                <w:rFonts w:ascii="Arial" w:cs="Arial" w:eastAsia="Arial" w:hAnsi="Arial"/>
                <w:sz w:val="14"/>
                <w:szCs w:val="14"/>
                <w:color w:val="auto"/>
              </w:rPr>
              <w:t>51,085</w:t>
            </w:r>
          </w:p>
        </w:tc>
        <w:tc>
          <w:tcPr>
            <w:tcW w:w="200" w:type="dxa"/>
            <w:vAlign w:val="bottom"/>
            <w:shd w:val="clear" w:color="auto" w:fill="EAF9E8"/>
          </w:tcPr>
          <w:p>
            <w:pPr>
              <w:spacing w:after="0"/>
              <w:rPr>
                <w:sz w:val="14"/>
                <w:szCs w:val="14"/>
                <w:color w:val="auto"/>
              </w:rPr>
            </w:pPr>
          </w:p>
        </w:tc>
        <w:tc>
          <w:tcPr>
            <w:tcW w:w="940" w:type="dxa"/>
            <w:vAlign w:val="bottom"/>
            <w:tcBorders>
              <w:right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44,554</w:t>
            </w:r>
          </w:p>
        </w:tc>
        <w:tc>
          <w:tcPr>
            <w:tcW w:w="180" w:type="dxa"/>
            <w:vAlign w:val="bottom"/>
            <w:shd w:val="clear" w:color="auto" w:fill="EAF9E8"/>
          </w:tcPr>
          <w:p>
            <w:pPr>
              <w:spacing w:after="0"/>
              <w:rPr>
                <w:sz w:val="14"/>
                <w:szCs w:val="14"/>
                <w:color w:val="auto"/>
              </w:rPr>
            </w:pPr>
          </w:p>
        </w:tc>
        <w:tc>
          <w:tcPr>
            <w:tcW w:w="9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45,886</w:t>
            </w:r>
          </w:p>
        </w:tc>
        <w:tc>
          <w:tcPr>
            <w:tcW w:w="200" w:type="dxa"/>
            <w:vAlign w:val="bottom"/>
            <w:shd w:val="clear" w:color="auto" w:fill="EAF9E8"/>
          </w:tcPr>
          <w:p>
            <w:pPr>
              <w:spacing w:after="0"/>
              <w:rPr>
                <w:sz w:val="14"/>
                <w:szCs w:val="14"/>
                <w:color w:val="auto"/>
              </w:rPr>
            </w:pPr>
          </w:p>
        </w:tc>
        <w:tc>
          <w:tcPr>
            <w:tcW w:w="9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47,318</w:t>
            </w:r>
          </w:p>
        </w:tc>
        <w:tc>
          <w:tcPr>
            <w:tcW w:w="240" w:type="dxa"/>
            <w:vAlign w:val="bottom"/>
            <w:shd w:val="clear" w:color="auto" w:fill="EAF9E8"/>
          </w:tcPr>
          <w:p>
            <w:pPr>
              <w:spacing w:after="0"/>
              <w:rPr>
                <w:sz w:val="14"/>
                <w:szCs w:val="14"/>
                <w:color w:val="auto"/>
              </w:rPr>
            </w:pP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57,230</w:t>
            </w:r>
          </w:p>
        </w:tc>
        <w:tc>
          <w:tcPr>
            <w:tcW w:w="140" w:type="dxa"/>
            <w:vAlign w:val="bottom"/>
            <w:shd w:val="clear" w:color="auto" w:fill="EAF9E8"/>
          </w:tcPr>
          <w:p>
            <w:pPr>
              <w:spacing w:after="0"/>
              <w:rPr>
                <w:sz w:val="14"/>
                <w:szCs w:val="14"/>
                <w:color w:val="auto"/>
              </w:rPr>
            </w:pPr>
          </w:p>
        </w:tc>
        <w:tc>
          <w:tcPr>
            <w:tcW w:w="1000" w:type="dxa"/>
            <w:vAlign w:val="bottom"/>
            <w:tcBorders>
              <w:right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4"/>
                <w:szCs w:val="14"/>
                <w:color w:val="auto"/>
              </w:rPr>
            </w:pPr>
          </w:p>
        </w:tc>
        <w:tc>
          <w:tcPr>
            <w:tcW w:w="980" w:type="dxa"/>
            <w:vAlign w:val="bottom"/>
            <w:tcBorders>
              <w:right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246,073</w:t>
            </w:r>
          </w:p>
        </w:tc>
        <w:tc>
          <w:tcPr>
            <w:tcW w:w="140" w:type="dxa"/>
            <w:vAlign w:val="bottom"/>
            <w:shd w:val="clear" w:color="auto" w:fill="EAF9E8"/>
          </w:tcPr>
          <w:p>
            <w:pPr>
              <w:spacing w:after="0"/>
              <w:rPr>
                <w:sz w:val="14"/>
                <w:szCs w:val="14"/>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252,722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40"/>
              <w:spacing w:after="0" w:line="149" w:lineRule="exact"/>
              <w:rPr>
                <w:sz w:val="20"/>
                <w:szCs w:val="20"/>
                <w:color w:val="auto"/>
              </w:rPr>
            </w:pPr>
            <w:r>
              <w:rPr>
                <w:rFonts w:ascii="Arial" w:cs="Arial" w:eastAsia="Arial" w:hAnsi="Arial"/>
                <w:sz w:val="14"/>
                <w:szCs w:val="14"/>
                <w:i w:val="1"/>
                <w:iCs w:val="1"/>
                <w:color w:val="auto"/>
              </w:rPr>
              <w:t>Average interest rate</w:t>
            </w:r>
          </w:p>
        </w:tc>
        <w:tc>
          <w:tcPr>
            <w:tcW w:w="20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i w:val="1"/>
                <w:iCs w:val="1"/>
                <w:color w:val="auto"/>
              </w:rPr>
              <w:t>8.07%</w:t>
            </w:r>
          </w:p>
        </w:tc>
        <w:tc>
          <w:tcPr>
            <w:tcW w:w="2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9.07%</w:t>
            </w:r>
          </w:p>
        </w:tc>
        <w:tc>
          <w:tcPr>
            <w:tcW w:w="1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i w:val="1"/>
                <w:iCs w:val="1"/>
                <w:color w:val="auto"/>
              </w:rPr>
              <w:t>9.10%</w:t>
            </w:r>
          </w:p>
        </w:tc>
        <w:tc>
          <w:tcPr>
            <w:tcW w:w="2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i w:val="1"/>
                <w:iCs w:val="1"/>
                <w:color w:val="auto"/>
              </w:rPr>
              <w:t>9.12%</w:t>
            </w:r>
          </w:p>
        </w:tc>
        <w:tc>
          <w:tcPr>
            <w:tcW w:w="2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9.00%</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i w:val="1"/>
                <w:iCs w:val="1"/>
                <w:color w:val="auto"/>
              </w:rPr>
              <w:t>8.90%</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Debt securities (3)</w:t>
            </w:r>
          </w:p>
        </w:tc>
        <w:tc>
          <w:tcPr>
            <w:tcW w:w="200" w:type="dxa"/>
            <w:vAlign w:val="bottom"/>
            <w:shd w:val="clear" w:color="auto" w:fill="EAF9E8"/>
          </w:tcPr>
          <w:p>
            <w:pPr>
              <w:spacing w:after="0"/>
              <w:rPr>
                <w:sz w:val="12"/>
                <w:szCs w:val="12"/>
                <w:color w:val="auto"/>
              </w:rPr>
            </w:pPr>
          </w:p>
        </w:tc>
        <w:tc>
          <w:tcPr>
            <w:tcW w:w="980" w:type="dxa"/>
            <w:vAlign w:val="bottom"/>
            <w:tcBorders>
              <w:right w:val="single" w:sz="8" w:color="EAF9E8"/>
            </w:tcBorders>
            <w:gridSpan w:val="2"/>
            <w:shd w:val="clear" w:color="auto" w:fill="EAF9E8"/>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AF9E8"/>
          </w:tcPr>
          <w:p>
            <w:pPr>
              <w:spacing w:after="0"/>
              <w:rPr>
                <w:sz w:val="12"/>
                <w:szCs w:val="12"/>
                <w:color w:val="auto"/>
              </w:rPr>
            </w:pPr>
          </w:p>
        </w:tc>
        <w:tc>
          <w:tcPr>
            <w:tcW w:w="940" w:type="dxa"/>
            <w:vAlign w:val="bottom"/>
            <w:tcBorders>
              <w:right w:val="single" w:sz="8" w:color="EAF9E8"/>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56,435</w:t>
            </w:r>
          </w:p>
        </w:tc>
        <w:tc>
          <w:tcPr>
            <w:tcW w:w="24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000" w:type="dxa"/>
            <w:vAlign w:val="bottom"/>
            <w:tcBorders>
              <w:right w:val="single" w:sz="8" w:color="EAF9E8"/>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26,119</w:t>
            </w:r>
          </w:p>
        </w:tc>
        <w:tc>
          <w:tcPr>
            <w:tcW w:w="140" w:type="dxa"/>
            <w:vAlign w:val="bottom"/>
            <w:shd w:val="clear" w:color="auto" w:fill="EAF9E8"/>
          </w:tcPr>
          <w:p>
            <w:pPr>
              <w:spacing w:after="0"/>
              <w:rPr>
                <w:sz w:val="12"/>
                <w:szCs w:val="12"/>
                <w:color w:val="auto"/>
              </w:rPr>
            </w:pPr>
          </w:p>
        </w:tc>
        <w:tc>
          <w:tcPr>
            <w:tcW w:w="980" w:type="dxa"/>
            <w:vAlign w:val="bottom"/>
            <w:tcBorders>
              <w:right w:val="single" w:sz="8" w:color="EAF9E8"/>
            </w:tcBorders>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82,554</w:t>
            </w:r>
          </w:p>
        </w:tc>
        <w:tc>
          <w:tcPr>
            <w:tcW w:w="14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75,325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40"/>
              <w:spacing w:after="0" w:line="149" w:lineRule="exact"/>
              <w:rPr>
                <w:sz w:val="20"/>
                <w:szCs w:val="20"/>
                <w:color w:val="auto"/>
              </w:rPr>
            </w:pPr>
            <w:r>
              <w:rPr>
                <w:rFonts w:ascii="Arial" w:cs="Arial" w:eastAsia="Arial" w:hAnsi="Arial"/>
                <w:sz w:val="14"/>
                <w:szCs w:val="14"/>
                <w:i w:val="1"/>
                <w:iCs w:val="1"/>
                <w:color w:val="auto"/>
              </w:rPr>
              <w:t>Average interest rate</w:t>
            </w:r>
          </w:p>
        </w:tc>
        <w:tc>
          <w:tcPr>
            <w:tcW w:w="20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i w:val="1"/>
                <w:iCs w:val="1"/>
                <w:color w:val="auto"/>
              </w:rPr>
              <w:t>3.25%</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10.88%</w:t>
            </w: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i w:val="1"/>
                <w:iCs w:val="1"/>
                <w:color w:val="auto"/>
              </w:rPr>
              <w:t>5.66%</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400" w:type="dxa"/>
            <w:vAlign w:val="bottom"/>
            <w:shd w:val="clear" w:color="auto" w:fill="EAF9E8"/>
          </w:tcPr>
          <w:p>
            <w:pPr>
              <w:ind w:left="140"/>
              <w:spacing w:after="0" w:line="149" w:lineRule="exact"/>
              <w:rPr>
                <w:sz w:val="20"/>
                <w:szCs w:val="20"/>
                <w:color w:val="auto"/>
              </w:rPr>
            </w:pPr>
            <w:r>
              <w:rPr>
                <w:rFonts w:ascii="Arial" w:cs="Arial" w:eastAsia="Arial" w:hAnsi="Arial"/>
                <w:sz w:val="14"/>
                <w:szCs w:val="14"/>
                <w:color w:val="auto"/>
              </w:rPr>
              <w:t>Total rate-sensitive liabilities</w:t>
            </w:r>
          </w:p>
        </w:tc>
        <w:tc>
          <w:tcPr>
            <w:tcW w:w="200" w:type="dxa"/>
            <w:vAlign w:val="bottom"/>
            <w:shd w:val="clear" w:color="auto" w:fill="EAF9E8"/>
          </w:tcPr>
          <w:p>
            <w:pPr>
              <w:jc w:val="right"/>
              <w:ind w:right="89"/>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EAF9E8"/>
            </w:tcBorders>
            <w:gridSpan w:val="2"/>
            <w:shd w:val="clear" w:color="auto" w:fill="EAF9E8"/>
          </w:tcPr>
          <w:p>
            <w:pPr>
              <w:jc w:val="right"/>
              <w:ind w:right="260"/>
              <w:spacing w:after="0" w:line="149" w:lineRule="exact"/>
              <w:rPr>
                <w:sz w:val="20"/>
                <w:szCs w:val="20"/>
                <w:color w:val="auto"/>
              </w:rPr>
            </w:pPr>
            <w:r>
              <w:rPr>
                <w:rFonts w:ascii="Arial" w:cs="Arial" w:eastAsia="Arial" w:hAnsi="Arial"/>
                <w:sz w:val="14"/>
                <w:szCs w:val="14"/>
                <w:color w:val="auto"/>
              </w:rPr>
              <w:t>472,614</w:t>
            </w:r>
          </w:p>
        </w:tc>
        <w:tc>
          <w:tcPr>
            <w:tcW w:w="200" w:type="dxa"/>
            <w:vAlign w:val="bottom"/>
            <w:shd w:val="clear" w:color="auto" w:fill="EAF9E8"/>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tcBorders>
              <w:right w:val="single" w:sz="8" w:color="EAF9E8"/>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234,554</w:t>
            </w:r>
          </w:p>
        </w:tc>
        <w:tc>
          <w:tcPr>
            <w:tcW w:w="180" w:type="dxa"/>
            <w:vAlign w:val="bottom"/>
            <w:shd w:val="clear" w:color="auto" w:fill="EAF9E8"/>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916,886</w:t>
            </w:r>
          </w:p>
        </w:tc>
        <w:tc>
          <w:tcPr>
            <w:tcW w:w="200" w:type="dxa"/>
            <w:vAlign w:val="bottom"/>
            <w:shd w:val="clear" w:color="auto" w:fill="EAF9E8"/>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103,753</w:t>
            </w:r>
          </w:p>
        </w:tc>
        <w:tc>
          <w:tcPr>
            <w:tcW w:w="240" w:type="dxa"/>
            <w:vAlign w:val="bottom"/>
            <w:shd w:val="clear" w:color="auto" w:fill="EAF9E8"/>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57,230</w:t>
            </w:r>
          </w:p>
        </w:tc>
        <w:tc>
          <w:tcPr>
            <w:tcW w:w="1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EAF9E8"/>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26,119</w:t>
            </w:r>
          </w:p>
        </w:tc>
        <w:tc>
          <w:tcPr>
            <w:tcW w:w="140" w:type="dxa"/>
            <w:vAlign w:val="bottom"/>
            <w:shd w:val="clear" w:color="auto" w:fill="EAF9E8"/>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EAF9E8"/>
            </w:tcBorders>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1,811,156</w:t>
            </w:r>
          </w:p>
        </w:tc>
        <w:tc>
          <w:tcPr>
            <w:tcW w:w="1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1,814,523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AF9E8"/>
              <w:right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right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right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right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ind w:left="140"/>
              <w:spacing w:after="0" w:line="142" w:lineRule="exact"/>
              <w:rPr>
                <w:sz w:val="20"/>
                <w:szCs w:val="20"/>
                <w:color w:val="auto"/>
              </w:rPr>
            </w:pPr>
            <w:r>
              <w:rPr>
                <w:rFonts w:ascii="Arial" w:cs="Arial" w:eastAsia="Arial" w:hAnsi="Arial"/>
                <w:sz w:val="14"/>
                <w:szCs w:val="14"/>
                <w:i w:val="1"/>
                <w:iCs w:val="1"/>
                <w:color w:val="auto"/>
              </w:rPr>
              <w:t>Percent of total</w:t>
            </w:r>
          </w:p>
        </w:tc>
        <w:tc>
          <w:tcPr>
            <w:tcW w:w="200" w:type="dxa"/>
            <w:vAlign w:val="bottom"/>
          </w:tcPr>
          <w:p>
            <w:pPr>
              <w:spacing w:after="0"/>
              <w:rPr>
                <w:sz w:val="12"/>
                <w:szCs w:val="12"/>
                <w:color w:val="auto"/>
              </w:rPr>
            </w:pPr>
          </w:p>
        </w:tc>
        <w:tc>
          <w:tcPr>
            <w:tcW w:w="980" w:type="dxa"/>
            <w:vAlign w:val="bottom"/>
            <w:gridSpan w:val="2"/>
          </w:tcPr>
          <w:p>
            <w:pPr>
              <w:jc w:val="right"/>
              <w:ind w:right="140"/>
              <w:spacing w:after="0" w:line="142" w:lineRule="exact"/>
              <w:rPr>
                <w:sz w:val="20"/>
                <w:szCs w:val="20"/>
                <w:color w:val="auto"/>
              </w:rPr>
            </w:pPr>
            <w:r>
              <w:rPr>
                <w:rFonts w:ascii="Arial" w:cs="Arial" w:eastAsia="Arial" w:hAnsi="Arial"/>
                <w:sz w:val="14"/>
                <w:szCs w:val="14"/>
                <w:i w:val="1"/>
                <w:iCs w:val="1"/>
                <w:color w:val="auto"/>
              </w:rPr>
              <w:t>26.09%</w:t>
            </w:r>
          </w:p>
        </w:tc>
        <w:tc>
          <w:tcPr>
            <w:tcW w:w="200" w:type="dxa"/>
            <w:vAlign w:val="bottom"/>
          </w:tcPr>
          <w:p>
            <w:pPr>
              <w:spacing w:after="0"/>
              <w:rPr>
                <w:sz w:val="12"/>
                <w:szCs w:val="12"/>
                <w:color w:val="auto"/>
              </w:rPr>
            </w:pPr>
          </w:p>
        </w:tc>
        <w:tc>
          <w:tcPr>
            <w:tcW w:w="940" w:type="dxa"/>
            <w:vAlign w:val="bottom"/>
            <w:gridSpan w:val="2"/>
          </w:tcPr>
          <w:p>
            <w:pPr>
              <w:jc w:val="right"/>
              <w:ind w:right="120"/>
              <w:spacing w:after="0" w:line="142" w:lineRule="exact"/>
              <w:rPr>
                <w:sz w:val="20"/>
                <w:szCs w:val="20"/>
                <w:color w:val="auto"/>
              </w:rPr>
            </w:pPr>
            <w:r>
              <w:rPr>
                <w:rFonts w:ascii="Arial" w:cs="Arial" w:eastAsia="Arial" w:hAnsi="Arial"/>
                <w:sz w:val="14"/>
                <w:szCs w:val="14"/>
                <w:i w:val="1"/>
                <w:iCs w:val="1"/>
                <w:color w:val="auto"/>
              </w:rPr>
              <w:t>12.95%</w:t>
            </w:r>
          </w:p>
        </w:tc>
        <w:tc>
          <w:tcPr>
            <w:tcW w:w="180" w:type="dxa"/>
            <w:vAlign w:val="bottom"/>
          </w:tcPr>
          <w:p>
            <w:pPr>
              <w:spacing w:after="0"/>
              <w:rPr>
                <w:sz w:val="12"/>
                <w:szCs w:val="12"/>
                <w:color w:val="auto"/>
              </w:rPr>
            </w:pPr>
          </w:p>
        </w:tc>
        <w:tc>
          <w:tcPr>
            <w:tcW w:w="940" w:type="dxa"/>
            <w:vAlign w:val="bottom"/>
            <w:gridSpan w:val="2"/>
          </w:tcPr>
          <w:p>
            <w:pPr>
              <w:jc w:val="right"/>
              <w:ind w:right="100"/>
              <w:spacing w:after="0" w:line="142" w:lineRule="exact"/>
              <w:rPr>
                <w:sz w:val="20"/>
                <w:szCs w:val="20"/>
                <w:color w:val="auto"/>
              </w:rPr>
            </w:pPr>
            <w:r>
              <w:rPr>
                <w:rFonts w:ascii="Arial" w:cs="Arial" w:eastAsia="Arial" w:hAnsi="Arial"/>
                <w:sz w:val="14"/>
                <w:szCs w:val="14"/>
                <w:i w:val="1"/>
                <w:iCs w:val="1"/>
                <w:color w:val="auto"/>
              </w:rPr>
              <w:t>50.62%</w:t>
            </w:r>
          </w:p>
        </w:tc>
        <w:tc>
          <w:tcPr>
            <w:tcW w:w="200" w:type="dxa"/>
            <w:vAlign w:val="bottom"/>
          </w:tcPr>
          <w:p>
            <w:pPr>
              <w:spacing w:after="0"/>
              <w:rPr>
                <w:sz w:val="12"/>
                <w:szCs w:val="12"/>
                <w:color w:val="auto"/>
              </w:rPr>
            </w:pPr>
          </w:p>
        </w:tc>
        <w:tc>
          <w:tcPr>
            <w:tcW w:w="940" w:type="dxa"/>
            <w:vAlign w:val="bottom"/>
            <w:gridSpan w:val="2"/>
          </w:tcPr>
          <w:p>
            <w:pPr>
              <w:jc w:val="right"/>
              <w:ind w:right="100"/>
              <w:spacing w:after="0" w:line="142" w:lineRule="exact"/>
              <w:rPr>
                <w:sz w:val="20"/>
                <w:szCs w:val="20"/>
                <w:color w:val="auto"/>
              </w:rPr>
            </w:pPr>
            <w:r>
              <w:rPr>
                <w:rFonts w:ascii="Arial" w:cs="Arial" w:eastAsia="Arial" w:hAnsi="Arial"/>
                <w:sz w:val="14"/>
                <w:szCs w:val="14"/>
                <w:i w:val="1"/>
                <w:iCs w:val="1"/>
                <w:color w:val="auto"/>
              </w:rPr>
              <w:t>5.73%</w:t>
            </w:r>
          </w:p>
        </w:tc>
        <w:tc>
          <w:tcPr>
            <w:tcW w:w="240" w:type="dxa"/>
            <w:vAlign w:val="bottom"/>
          </w:tcPr>
          <w:p>
            <w:pPr>
              <w:spacing w:after="0"/>
              <w:rPr>
                <w:sz w:val="12"/>
                <w:szCs w:val="12"/>
                <w:color w:val="auto"/>
              </w:rPr>
            </w:pPr>
          </w:p>
        </w:tc>
        <w:tc>
          <w:tcPr>
            <w:tcW w:w="900" w:type="dxa"/>
            <w:vAlign w:val="bottom"/>
            <w:gridSpan w:val="2"/>
          </w:tcPr>
          <w:p>
            <w:pPr>
              <w:jc w:val="right"/>
              <w:ind w:right="120"/>
              <w:spacing w:after="0" w:line="142" w:lineRule="exact"/>
              <w:rPr>
                <w:sz w:val="20"/>
                <w:szCs w:val="20"/>
                <w:color w:val="auto"/>
              </w:rPr>
            </w:pPr>
            <w:r>
              <w:rPr>
                <w:rFonts w:ascii="Arial" w:cs="Arial" w:eastAsia="Arial" w:hAnsi="Arial"/>
                <w:sz w:val="14"/>
                <w:szCs w:val="14"/>
                <w:i w:val="1"/>
                <w:iCs w:val="1"/>
                <w:color w:val="auto"/>
              </w:rPr>
              <w:t>3.16%</w:t>
            </w:r>
          </w:p>
        </w:tc>
        <w:tc>
          <w:tcPr>
            <w:tcW w:w="140" w:type="dxa"/>
            <w:vAlign w:val="bottom"/>
          </w:tcPr>
          <w:p>
            <w:pPr>
              <w:spacing w:after="0"/>
              <w:rPr>
                <w:sz w:val="12"/>
                <w:szCs w:val="12"/>
                <w:color w:val="auto"/>
              </w:rPr>
            </w:pPr>
          </w:p>
        </w:tc>
        <w:tc>
          <w:tcPr>
            <w:tcW w:w="1000" w:type="dxa"/>
            <w:vAlign w:val="bottom"/>
            <w:gridSpan w:val="2"/>
          </w:tcPr>
          <w:p>
            <w:pPr>
              <w:jc w:val="right"/>
              <w:ind w:right="120"/>
              <w:spacing w:after="0" w:line="142" w:lineRule="exact"/>
              <w:rPr>
                <w:sz w:val="20"/>
                <w:szCs w:val="20"/>
                <w:color w:val="auto"/>
              </w:rPr>
            </w:pPr>
            <w:r>
              <w:rPr>
                <w:rFonts w:ascii="Arial" w:cs="Arial" w:eastAsia="Arial" w:hAnsi="Arial"/>
                <w:sz w:val="14"/>
                <w:szCs w:val="14"/>
                <w:i w:val="1"/>
                <w:iCs w:val="1"/>
                <w:color w:val="auto"/>
              </w:rPr>
              <w:t>1.45%</w:t>
            </w: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2" w:lineRule="exact"/>
              <w:rPr>
                <w:sz w:val="20"/>
                <w:szCs w:val="20"/>
                <w:color w:val="auto"/>
              </w:rPr>
            </w:pPr>
            <w:r>
              <w:rPr>
                <w:rFonts w:ascii="Arial" w:cs="Arial" w:eastAsia="Arial" w:hAnsi="Arial"/>
                <w:sz w:val="14"/>
                <w:szCs w:val="14"/>
                <w:i w:val="1"/>
                <w:iCs w:val="1"/>
                <w:color w:val="auto"/>
              </w:rPr>
              <w:t>100.00%</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gridSpan w:val="3"/>
            <w:shd w:val="clear" w:color="auto" w:fill="EAF9E8"/>
          </w:tcPr>
          <w:p>
            <w:pPr>
              <w:spacing w:after="0"/>
              <w:rPr>
                <w:sz w:val="12"/>
                <w:szCs w:val="12"/>
                <w:color w:val="auto"/>
              </w:rPr>
            </w:pPr>
          </w:p>
        </w:tc>
        <w:tc>
          <w:tcPr>
            <w:tcW w:w="260" w:type="dxa"/>
            <w:vAlign w:val="bottom"/>
            <w:tcBorders>
              <w:right w:val="single" w:sz="8" w:color="EAF9E8"/>
            </w:tcBorders>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240" w:type="dxa"/>
            <w:vAlign w:val="bottom"/>
            <w:tcBorders>
              <w:right w:val="single" w:sz="8" w:color="EAF9E8"/>
            </w:tcBorders>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66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60" w:type="dxa"/>
            <w:vAlign w:val="bottom"/>
            <w:shd w:val="clear" w:color="auto" w:fill="EAF9E8"/>
          </w:tcPr>
          <w:p>
            <w:pPr>
              <w:spacing w:after="0"/>
              <w:rPr>
                <w:sz w:val="12"/>
                <w:szCs w:val="12"/>
                <w:color w:val="auto"/>
              </w:rPr>
            </w:pPr>
          </w:p>
        </w:tc>
        <w:tc>
          <w:tcPr>
            <w:tcW w:w="240" w:type="dxa"/>
            <w:vAlign w:val="bottom"/>
            <w:tcBorders>
              <w:right w:val="single" w:sz="8" w:color="EAF9E8"/>
            </w:tcBorders>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60" w:type="dxa"/>
            <w:vAlign w:val="bottom"/>
            <w:shd w:val="clear" w:color="auto" w:fill="EAF9E8"/>
          </w:tcPr>
          <w:p>
            <w:pPr>
              <w:spacing w:after="0"/>
              <w:rPr>
                <w:sz w:val="12"/>
                <w:szCs w:val="12"/>
                <w:color w:val="auto"/>
              </w:rPr>
            </w:pPr>
          </w:p>
        </w:tc>
        <w:tc>
          <w:tcPr>
            <w:tcW w:w="220" w:type="dxa"/>
            <w:vAlign w:val="bottom"/>
            <w:tcBorders>
              <w:right w:val="single" w:sz="8" w:color="EAF9E8"/>
            </w:tcBorders>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Rate-Sensitive Derivative Financial Instruments: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Interest rate swaps:</w:t>
            </w:r>
          </w:p>
        </w:tc>
        <w:tc>
          <w:tcPr>
            <w:tcW w:w="20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260" w:type="dxa"/>
            <w:vAlign w:val="bottom"/>
            <w:tcBorders>
              <w:right w:val="single" w:sz="8" w:color="EAF9E8"/>
            </w:tcBorders>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240" w:type="dxa"/>
            <w:vAlign w:val="bottom"/>
            <w:tcBorders>
              <w:right w:val="single" w:sz="8" w:color="EAF9E8"/>
            </w:tcBorders>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66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60" w:type="dxa"/>
            <w:vAlign w:val="bottom"/>
            <w:shd w:val="clear" w:color="auto" w:fill="EAF9E8"/>
          </w:tcPr>
          <w:p>
            <w:pPr>
              <w:spacing w:after="0"/>
              <w:rPr>
                <w:sz w:val="12"/>
                <w:szCs w:val="12"/>
                <w:color w:val="auto"/>
              </w:rPr>
            </w:pPr>
          </w:p>
        </w:tc>
        <w:tc>
          <w:tcPr>
            <w:tcW w:w="240" w:type="dxa"/>
            <w:vAlign w:val="bottom"/>
            <w:tcBorders>
              <w:right w:val="single" w:sz="8" w:color="EAF9E8"/>
            </w:tcBorders>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60" w:type="dxa"/>
            <w:vAlign w:val="bottom"/>
            <w:shd w:val="clear" w:color="auto" w:fill="EAF9E8"/>
          </w:tcPr>
          <w:p>
            <w:pPr>
              <w:spacing w:after="0"/>
              <w:rPr>
                <w:sz w:val="12"/>
                <w:szCs w:val="12"/>
                <w:color w:val="auto"/>
              </w:rPr>
            </w:pPr>
          </w:p>
        </w:tc>
        <w:tc>
          <w:tcPr>
            <w:tcW w:w="220" w:type="dxa"/>
            <w:vAlign w:val="bottom"/>
            <w:tcBorders>
              <w:right w:val="single" w:sz="8" w:color="EAF9E8"/>
            </w:tcBorders>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60"/>
              <w:spacing w:after="0" w:line="149" w:lineRule="exact"/>
              <w:rPr>
                <w:sz w:val="20"/>
                <w:szCs w:val="20"/>
                <w:color w:val="auto"/>
              </w:rPr>
            </w:pPr>
            <w:r>
              <w:rPr>
                <w:rFonts w:ascii="Arial" w:cs="Arial" w:eastAsia="Arial" w:hAnsi="Arial"/>
                <w:sz w:val="14"/>
                <w:szCs w:val="14"/>
                <w:color w:val="auto"/>
              </w:rPr>
              <w:t>Outstanding notional</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156,932</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118,296</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571,660</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846,888</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(15,670)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shd w:val="clear" w:color="auto" w:fill="EAF9E8"/>
          </w:tcPr>
          <w:p>
            <w:pPr>
              <w:ind w:left="60"/>
              <w:spacing w:after="0" w:line="142" w:lineRule="exact"/>
              <w:rPr>
                <w:sz w:val="20"/>
                <w:szCs w:val="20"/>
                <w:color w:val="auto"/>
              </w:rPr>
            </w:pPr>
            <w:r>
              <w:rPr>
                <w:rFonts w:ascii="Arial" w:cs="Arial" w:eastAsia="Arial" w:hAnsi="Arial"/>
                <w:sz w:val="14"/>
                <w:szCs w:val="14"/>
                <w:color w:val="auto"/>
              </w:rPr>
              <w:t>Average fixed rate (4)</w:t>
            </w:r>
          </w:p>
        </w:tc>
        <w:tc>
          <w:tcPr>
            <w:tcW w:w="200" w:type="dxa"/>
            <w:vAlign w:val="bottom"/>
            <w:shd w:val="clear" w:color="auto" w:fill="EAF9E8"/>
          </w:tcPr>
          <w:p>
            <w:pPr>
              <w:spacing w:after="0"/>
              <w:rPr>
                <w:sz w:val="12"/>
                <w:szCs w:val="12"/>
                <w:color w:val="auto"/>
              </w:rPr>
            </w:pPr>
          </w:p>
        </w:tc>
        <w:tc>
          <w:tcPr>
            <w:tcW w:w="980" w:type="dxa"/>
            <w:vAlign w:val="bottom"/>
            <w:tcBorders>
              <w:right w:val="single" w:sz="8" w:color="EAF9E8"/>
            </w:tcBorders>
            <w:gridSpan w:val="2"/>
            <w:shd w:val="clear" w:color="auto" w:fill="EAF9E8"/>
          </w:tcPr>
          <w:p>
            <w:pPr>
              <w:jc w:val="right"/>
              <w:ind w:right="140"/>
              <w:spacing w:after="0" w:line="142" w:lineRule="exact"/>
              <w:rPr>
                <w:sz w:val="20"/>
                <w:szCs w:val="20"/>
                <w:color w:val="auto"/>
              </w:rPr>
            </w:pPr>
            <w:r>
              <w:rPr>
                <w:rFonts w:ascii="Arial" w:cs="Arial" w:eastAsia="Arial" w:hAnsi="Arial"/>
                <w:sz w:val="14"/>
                <w:szCs w:val="14"/>
                <w:i w:val="1"/>
                <w:iCs w:val="1"/>
                <w:color w:val="auto"/>
              </w:rPr>
              <w:t>1.77%</w:t>
            </w:r>
          </w:p>
        </w:tc>
        <w:tc>
          <w:tcPr>
            <w:tcW w:w="200" w:type="dxa"/>
            <w:vAlign w:val="bottom"/>
            <w:shd w:val="clear" w:color="auto" w:fill="EAF9E8"/>
          </w:tcPr>
          <w:p>
            <w:pPr>
              <w:spacing w:after="0"/>
              <w:rPr>
                <w:sz w:val="12"/>
                <w:szCs w:val="12"/>
                <w:color w:val="auto"/>
              </w:rPr>
            </w:pPr>
          </w:p>
        </w:tc>
        <w:tc>
          <w:tcPr>
            <w:tcW w:w="940" w:type="dxa"/>
            <w:vAlign w:val="bottom"/>
            <w:tcBorders>
              <w:right w:val="single" w:sz="8" w:color="EAF9E8"/>
            </w:tcBorders>
            <w:gridSpan w:val="2"/>
            <w:shd w:val="clear" w:color="auto" w:fill="EAF9E8"/>
          </w:tcPr>
          <w:p>
            <w:pPr>
              <w:jc w:val="right"/>
              <w:ind w:right="120"/>
              <w:spacing w:after="0" w:line="142" w:lineRule="exact"/>
              <w:rPr>
                <w:sz w:val="20"/>
                <w:szCs w:val="20"/>
                <w:color w:val="auto"/>
              </w:rPr>
            </w:pPr>
            <w:r>
              <w:rPr>
                <w:rFonts w:ascii="Arial" w:cs="Arial" w:eastAsia="Arial" w:hAnsi="Arial"/>
                <w:sz w:val="14"/>
                <w:szCs w:val="14"/>
                <w:i w:val="1"/>
                <w:iCs w:val="1"/>
                <w:color w:val="auto"/>
              </w:rPr>
              <w:t>1.55%</w:t>
            </w:r>
          </w:p>
        </w:tc>
        <w:tc>
          <w:tcPr>
            <w:tcW w:w="18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100"/>
              <w:spacing w:after="0" w:line="142" w:lineRule="exact"/>
              <w:rPr>
                <w:sz w:val="20"/>
                <w:szCs w:val="20"/>
                <w:color w:val="auto"/>
              </w:rPr>
            </w:pPr>
            <w:r>
              <w:rPr>
                <w:rFonts w:ascii="Arial" w:cs="Arial" w:eastAsia="Arial" w:hAnsi="Arial"/>
                <w:sz w:val="14"/>
                <w:szCs w:val="14"/>
                <w:i w:val="1"/>
                <w:iCs w:val="1"/>
                <w:color w:val="auto"/>
              </w:rPr>
              <w:t>1.77%</w:t>
            </w:r>
          </w:p>
        </w:tc>
        <w:tc>
          <w:tcPr>
            <w:tcW w:w="20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240"/>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000" w:type="dxa"/>
            <w:vAlign w:val="bottom"/>
            <w:tcBorders>
              <w:right w:val="single" w:sz="8" w:color="EAF9E8"/>
            </w:tcBorders>
            <w:gridSpan w:val="2"/>
            <w:shd w:val="clear" w:color="auto" w:fill="EAF9E8"/>
          </w:tcPr>
          <w:p>
            <w:pPr>
              <w:jc w:val="right"/>
              <w:ind w:right="240"/>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980" w:type="dxa"/>
            <w:vAlign w:val="bottom"/>
            <w:tcBorders>
              <w:right w:val="single" w:sz="8" w:color="EAF9E8"/>
            </w:tcBorders>
            <w:gridSpan w:val="2"/>
            <w:shd w:val="clear" w:color="auto" w:fill="EAF9E8"/>
          </w:tcPr>
          <w:p>
            <w:pPr>
              <w:jc w:val="right"/>
              <w:ind w:right="100"/>
              <w:spacing w:after="0" w:line="142" w:lineRule="exact"/>
              <w:rPr>
                <w:sz w:val="20"/>
                <w:szCs w:val="20"/>
                <w:color w:val="auto"/>
              </w:rPr>
            </w:pPr>
            <w:r>
              <w:rPr>
                <w:rFonts w:ascii="Arial" w:cs="Arial" w:eastAsia="Arial" w:hAnsi="Arial"/>
                <w:sz w:val="14"/>
                <w:szCs w:val="14"/>
                <w:i w:val="1"/>
                <w:iCs w:val="1"/>
                <w:color w:val="auto"/>
              </w:rPr>
              <w:t>1.74%</w:t>
            </w:r>
          </w:p>
        </w:tc>
        <w:tc>
          <w:tcPr>
            <w:tcW w:w="14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400" w:type="dxa"/>
            <w:vAlign w:val="bottom"/>
          </w:tcPr>
          <w:p>
            <w:pPr>
              <w:ind w:left="60"/>
              <w:spacing w:after="0"/>
              <w:rPr>
                <w:sz w:val="20"/>
                <w:szCs w:val="20"/>
                <w:color w:val="auto"/>
              </w:rPr>
            </w:pPr>
            <w:r>
              <w:rPr>
                <w:rFonts w:ascii="Arial" w:cs="Arial" w:eastAsia="Arial" w:hAnsi="Arial"/>
                <w:sz w:val="14"/>
                <w:szCs w:val="14"/>
                <w:color w:val="auto"/>
              </w:rPr>
              <w:t>Forward LIBOR curve (4)</w:t>
            </w:r>
          </w:p>
        </w:tc>
        <w:tc>
          <w:tcPr>
            <w:tcW w:w="2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0.70%</w:t>
            </w: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1.72%</w:t>
            </w:r>
          </w:p>
        </w:tc>
        <w:tc>
          <w:tcPr>
            <w:tcW w:w="1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2.79%</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9"/>
          </w:tcPr>
          <w:p>
            <w:pPr>
              <w:jc w:val="right"/>
              <w:ind w:right="8"/>
              <w:spacing w:after="0"/>
              <w:rPr>
                <w:sz w:val="20"/>
                <w:szCs w:val="20"/>
                <w:color w:val="auto"/>
              </w:rPr>
            </w:pPr>
            <w:r>
              <w:rPr>
                <w:rFonts w:ascii="Arial" w:cs="Arial" w:eastAsia="Arial" w:hAnsi="Arial"/>
                <w:sz w:val="14"/>
                <w:szCs w:val="14"/>
                <w:b w:val="1"/>
                <w:bCs w:val="1"/>
                <w:color w:val="auto"/>
              </w:rPr>
              <w:t>Expected Maturity Date at December 31, 2009</w:t>
            </w: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ind w:right="188"/>
              <w:spacing w:after="0" w:line="126" w:lineRule="exact"/>
              <w:rPr>
                <w:sz w:val="20"/>
                <w:szCs w:val="20"/>
                <w:color w:val="auto"/>
              </w:rPr>
            </w:pPr>
            <w:r>
              <w:rPr>
                <w:rFonts w:ascii="Arial" w:cs="Arial" w:eastAsia="Arial" w:hAnsi="Arial"/>
                <w:sz w:val="14"/>
                <w:szCs w:val="14"/>
                <w:b w:val="1"/>
                <w:bCs w:val="1"/>
                <w:color w:val="auto"/>
              </w:rPr>
              <w:t>There-</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after</w:t>
            </w:r>
          </w:p>
        </w:tc>
        <w:tc>
          <w:tcPr>
            <w:tcW w:w="140" w:type="dxa"/>
            <w:vAlign w:val="bottom"/>
          </w:tcPr>
          <w:p>
            <w:pPr>
              <w:spacing w:after="0"/>
              <w:rPr>
                <w:sz w:val="15"/>
                <w:szCs w:val="15"/>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Balance</w:t>
            </w:r>
          </w:p>
        </w:tc>
        <w:tc>
          <w:tcPr>
            <w:tcW w:w="14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Value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AF9E8"/>
          </w:tcPr>
          <w:p>
            <w:pPr>
              <w:spacing w:after="0" w:line="149" w:lineRule="exact"/>
              <w:rPr>
                <w:sz w:val="20"/>
                <w:szCs w:val="20"/>
                <w:color w:val="auto"/>
              </w:rPr>
            </w:pPr>
            <w:r>
              <w:rPr>
                <w:rFonts w:ascii="Arial" w:cs="Arial" w:eastAsia="Arial" w:hAnsi="Arial"/>
                <w:sz w:val="14"/>
                <w:szCs w:val="14"/>
                <w:b w:val="1"/>
                <w:bCs w:val="1"/>
                <w:color w:val="auto"/>
              </w:rPr>
              <w:t>Rate-Sensitive Assets:</w:t>
            </w:r>
          </w:p>
        </w:tc>
        <w:tc>
          <w:tcPr>
            <w:tcW w:w="120" w:type="dxa"/>
            <w:vAlign w:val="bottom"/>
            <w:shd w:val="clear" w:color="auto" w:fill="EAF9E8"/>
          </w:tcPr>
          <w:p>
            <w:pPr>
              <w:spacing w:after="0"/>
              <w:rPr>
                <w:sz w:val="12"/>
                <w:szCs w:val="12"/>
                <w:color w:val="auto"/>
              </w:rPr>
            </w:pPr>
          </w:p>
        </w:tc>
        <w:tc>
          <w:tcPr>
            <w:tcW w:w="200" w:type="dxa"/>
            <w:vAlign w:val="bottom"/>
            <w:tcBorders>
              <w:top w:val="single" w:sz="8" w:color="auto"/>
            </w:tcBorders>
            <w:shd w:val="clear" w:color="auto" w:fill="EAF9E8"/>
          </w:tcPr>
          <w:p>
            <w:pPr>
              <w:spacing w:after="0"/>
              <w:rPr>
                <w:sz w:val="12"/>
                <w:szCs w:val="12"/>
                <w:color w:val="auto"/>
              </w:rPr>
            </w:pPr>
          </w:p>
        </w:tc>
        <w:tc>
          <w:tcPr>
            <w:tcW w:w="740" w:type="dxa"/>
            <w:vAlign w:val="bottom"/>
            <w:tcBorders>
              <w:top w:val="single" w:sz="8" w:color="auto"/>
            </w:tcBorders>
            <w:shd w:val="clear" w:color="auto" w:fill="EAF9E8"/>
          </w:tcPr>
          <w:p>
            <w:pPr>
              <w:spacing w:after="0"/>
              <w:rPr>
                <w:sz w:val="12"/>
                <w:szCs w:val="12"/>
                <w:color w:val="auto"/>
              </w:rPr>
            </w:pPr>
          </w:p>
        </w:tc>
        <w:tc>
          <w:tcPr>
            <w:tcW w:w="240" w:type="dxa"/>
            <w:vAlign w:val="bottom"/>
            <w:tcBorders>
              <w:right w:val="single" w:sz="8" w:color="EAF9E8"/>
            </w:tcBorders>
            <w:shd w:val="clear" w:color="auto" w:fill="EAF9E8"/>
          </w:tcPr>
          <w:p>
            <w:pPr>
              <w:spacing w:after="0"/>
              <w:rPr>
                <w:sz w:val="12"/>
                <w:szCs w:val="12"/>
                <w:color w:val="auto"/>
              </w:rPr>
            </w:pPr>
          </w:p>
        </w:tc>
        <w:tc>
          <w:tcPr>
            <w:tcW w:w="200" w:type="dxa"/>
            <w:vAlign w:val="bottom"/>
            <w:tcBorders>
              <w:top w:val="single" w:sz="8" w:color="auto"/>
            </w:tcBorders>
            <w:shd w:val="clear" w:color="auto" w:fill="EAF9E8"/>
          </w:tcPr>
          <w:p>
            <w:pPr>
              <w:spacing w:after="0"/>
              <w:rPr>
                <w:sz w:val="12"/>
                <w:szCs w:val="12"/>
                <w:color w:val="auto"/>
              </w:rPr>
            </w:pPr>
          </w:p>
        </w:tc>
        <w:tc>
          <w:tcPr>
            <w:tcW w:w="700" w:type="dxa"/>
            <w:vAlign w:val="bottom"/>
            <w:tcBorders>
              <w:top w:val="single" w:sz="8" w:color="auto"/>
            </w:tcBorders>
            <w:shd w:val="clear" w:color="auto" w:fill="EAF9E8"/>
          </w:tcPr>
          <w:p>
            <w:pPr>
              <w:spacing w:after="0"/>
              <w:rPr>
                <w:sz w:val="12"/>
                <w:szCs w:val="12"/>
                <w:color w:val="auto"/>
              </w:rPr>
            </w:pPr>
          </w:p>
        </w:tc>
        <w:tc>
          <w:tcPr>
            <w:tcW w:w="240" w:type="dxa"/>
            <w:vAlign w:val="bottom"/>
            <w:tcBorders>
              <w:right w:val="single" w:sz="8" w:color="EAF9E8"/>
            </w:tcBorders>
            <w:shd w:val="clear" w:color="auto" w:fill="EAF9E8"/>
          </w:tcPr>
          <w:p>
            <w:pPr>
              <w:spacing w:after="0"/>
              <w:rPr>
                <w:sz w:val="12"/>
                <w:szCs w:val="12"/>
                <w:color w:val="auto"/>
              </w:rPr>
            </w:pPr>
          </w:p>
        </w:tc>
        <w:tc>
          <w:tcPr>
            <w:tcW w:w="180" w:type="dxa"/>
            <w:vAlign w:val="bottom"/>
            <w:tcBorders>
              <w:top w:val="single" w:sz="8" w:color="auto"/>
            </w:tcBorders>
            <w:shd w:val="clear" w:color="auto" w:fill="EAF9E8"/>
          </w:tcPr>
          <w:p>
            <w:pPr>
              <w:spacing w:after="0"/>
              <w:rPr>
                <w:sz w:val="12"/>
                <w:szCs w:val="12"/>
                <w:color w:val="auto"/>
              </w:rPr>
            </w:pPr>
          </w:p>
        </w:tc>
        <w:tc>
          <w:tcPr>
            <w:tcW w:w="720" w:type="dxa"/>
            <w:vAlign w:val="bottom"/>
            <w:tcBorders>
              <w:top w:val="single" w:sz="8" w:color="auto"/>
            </w:tcBorders>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200" w:type="dxa"/>
            <w:vAlign w:val="bottom"/>
            <w:tcBorders>
              <w:top w:val="single" w:sz="8" w:color="auto"/>
            </w:tcBorders>
            <w:shd w:val="clear" w:color="auto" w:fill="EAF9E8"/>
          </w:tcPr>
          <w:p>
            <w:pPr>
              <w:spacing w:after="0"/>
              <w:rPr>
                <w:sz w:val="12"/>
                <w:szCs w:val="12"/>
                <w:color w:val="auto"/>
              </w:rPr>
            </w:pPr>
          </w:p>
        </w:tc>
        <w:tc>
          <w:tcPr>
            <w:tcW w:w="720" w:type="dxa"/>
            <w:vAlign w:val="bottom"/>
            <w:tcBorders>
              <w:top w:val="single" w:sz="8" w:color="auto"/>
            </w:tcBorders>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240" w:type="dxa"/>
            <w:vAlign w:val="bottom"/>
            <w:tcBorders>
              <w:top w:val="single" w:sz="8" w:color="auto"/>
            </w:tcBorders>
            <w:shd w:val="clear" w:color="auto" w:fill="EAF9E8"/>
          </w:tcPr>
          <w:p>
            <w:pPr>
              <w:spacing w:after="0"/>
              <w:rPr>
                <w:sz w:val="12"/>
                <w:szCs w:val="12"/>
                <w:color w:val="auto"/>
              </w:rPr>
            </w:pPr>
          </w:p>
        </w:tc>
        <w:tc>
          <w:tcPr>
            <w:tcW w:w="660" w:type="dxa"/>
            <w:vAlign w:val="bottom"/>
            <w:tcBorders>
              <w:top w:val="single" w:sz="8" w:color="auto"/>
            </w:tcBorders>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40" w:type="dxa"/>
            <w:vAlign w:val="bottom"/>
            <w:tcBorders>
              <w:top w:val="single" w:sz="8" w:color="auto"/>
            </w:tcBorders>
            <w:shd w:val="clear" w:color="auto" w:fill="EAF9E8"/>
          </w:tcPr>
          <w:p>
            <w:pPr>
              <w:spacing w:after="0"/>
              <w:rPr>
                <w:sz w:val="12"/>
                <w:szCs w:val="12"/>
                <w:color w:val="auto"/>
              </w:rPr>
            </w:pPr>
          </w:p>
        </w:tc>
        <w:tc>
          <w:tcPr>
            <w:tcW w:w="760" w:type="dxa"/>
            <w:vAlign w:val="bottom"/>
            <w:tcBorders>
              <w:top w:val="single" w:sz="8" w:color="auto"/>
            </w:tcBorders>
            <w:shd w:val="clear" w:color="auto" w:fill="EAF9E8"/>
          </w:tcPr>
          <w:p>
            <w:pPr>
              <w:spacing w:after="0"/>
              <w:rPr>
                <w:sz w:val="12"/>
                <w:szCs w:val="12"/>
                <w:color w:val="auto"/>
              </w:rPr>
            </w:pPr>
          </w:p>
        </w:tc>
        <w:tc>
          <w:tcPr>
            <w:tcW w:w="240" w:type="dxa"/>
            <w:vAlign w:val="bottom"/>
            <w:tcBorders>
              <w:right w:val="single" w:sz="8" w:color="EAF9E8"/>
            </w:tcBorders>
            <w:shd w:val="clear" w:color="auto" w:fill="EAF9E8"/>
          </w:tcPr>
          <w:p>
            <w:pPr>
              <w:spacing w:after="0"/>
              <w:rPr>
                <w:sz w:val="12"/>
                <w:szCs w:val="12"/>
                <w:color w:val="auto"/>
              </w:rPr>
            </w:pPr>
          </w:p>
        </w:tc>
        <w:tc>
          <w:tcPr>
            <w:tcW w:w="140" w:type="dxa"/>
            <w:vAlign w:val="bottom"/>
            <w:tcBorders>
              <w:top w:val="single" w:sz="8" w:color="auto"/>
            </w:tcBorders>
            <w:shd w:val="clear" w:color="auto" w:fill="EAF9E8"/>
          </w:tcPr>
          <w:p>
            <w:pPr>
              <w:spacing w:after="0"/>
              <w:rPr>
                <w:sz w:val="12"/>
                <w:szCs w:val="12"/>
                <w:color w:val="auto"/>
              </w:rPr>
            </w:pPr>
          </w:p>
        </w:tc>
        <w:tc>
          <w:tcPr>
            <w:tcW w:w="760" w:type="dxa"/>
            <w:vAlign w:val="bottom"/>
            <w:tcBorders>
              <w:top w:val="single" w:sz="8" w:color="auto"/>
            </w:tcBorders>
            <w:shd w:val="clear" w:color="auto" w:fill="EAF9E8"/>
          </w:tcPr>
          <w:p>
            <w:pPr>
              <w:spacing w:after="0"/>
              <w:rPr>
                <w:sz w:val="12"/>
                <w:szCs w:val="12"/>
                <w:color w:val="auto"/>
              </w:rPr>
            </w:pPr>
          </w:p>
        </w:tc>
        <w:tc>
          <w:tcPr>
            <w:tcW w:w="220" w:type="dxa"/>
            <w:vAlign w:val="bottom"/>
            <w:tcBorders>
              <w:right w:val="single" w:sz="8" w:color="EAF9E8"/>
            </w:tcBorders>
            <w:shd w:val="clear" w:color="auto" w:fill="EAF9E8"/>
          </w:tcPr>
          <w:p>
            <w:pPr>
              <w:spacing w:after="0"/>
              <w:rPr>
                <w:sz w:val="12"/>
                <w:szCs w:val="12"/>
                <w:color w:val="auto"/>
              </w:rPr>
            </w:pPr>
          </w:p>
        </w:tc>
        <w:tc>
          <w:tcPr>
            <w:tcW w:w="140" w:type="dxa"/>
            <w:vAlign w:val="bottom"/>
            <w:tcBorders>
              <w:top w:val="single" w:sz="8" w:color="auto"/>
            </w:tcBorders>
            <w:shd w:val="clear" w:color="auto" w:fill="EAF9E8"/>
          </w:tcPr>
          <w:p>
            <w:pPr>
              <w:spacing w:after="0"/>
              <w:rPr>
                <w:sz w:val="12"/>
                <w:szCs w:val="12"/>
                <w:color w:val="auto"/>
              </w:rPr>
            </w:pPr>
          </w:p>
        </w:tc>
        <w:tc>
          <w:tcPr>
            <w:tcW w:w="780" w:type="dxa"/>
            <w:vAlign w:val="bottom"/>
            <w:tcBorders>
              <w:top w:val="single" w:sz="8" w:color="auto"/>
            </w:tcBorders>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Interest-earning cash</w:t>
            </w:r>
          </w:p>
        </w:tc>
        <w:tc>
          <w:tcPr>
            <w:tcW w:w="3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50,373</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50,373</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50,373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AF9E8"/>
          </w:tcPr>
          <w:p>
            <w:pPr>
              <w:ind w:left="140"/>
              <w:spacing w:after="0" w:line="149" w:lineRule="exact"/>
              <w:rPr>
                <w:sz w:val="20"/>
                <w:szCs w:val="20"/>
                <w:color w:val="auto"/>
              </w:rPr>
            </w:pPr>
            <w:r>
              <w:rPr>
                <w:rFonts w:ascii="Arial" w:cs="Arial" w:eastAsia="Arial" w:hAnsi="Arial"/>
                <w:sz w:val="14"/>
                <w:szCs w:val="14"/>
                <w:i w:val="1"/>
                <w:iCs w:val="1"/>
                <w:color w:val="auto"/>
              </w:rPr>
              <w:t>Average interest rate</w:t>
            </w:r>
          </w:p>
        </w:tc>
        <w:tc>
          <w:tcPr>
            <w:tcW w:w="1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980" w:type="dxa"/>
            <w:vAlign w:val="bottom"/>
            <w:tcBorders>
              <w:right w:val="single" w:sz="8" w:color="EAF9E8"/>
            </w:tcBorders>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i w:val="1"/>
                <w:iCs w:val="1"/>
                <w:color w:val="auto"/>
              </w:rPr>
              <w:t>0.50%</w:t>
            </w:r>
          </w:p>
        </w:tc>
        <w:tc>
          <w:tcPr>
            <w:tcW w:w="200" w:type="dxa"/>
            <w:vAlign w:val="bottom"/>
            <w:shd w:val="clear" w:color="auto" w:fill="EAF9E8"/>
          </w:tcPr>
          <w:p>
            <w:pPr>
              <w:spacing w:after="0"/>
              <w:rPr>
                <w:sz w:val="12"/>
                <w:szCs w:val="12"/>
                <w:color w:val="auto"/>
              </w:rPr>
            </w:pPr>
          </w:p>
        </w:tc>
        <w:tc>
          <w:tcPr>
            <w:tcW w:w="940" w:type="dxa"/>
            <w:vAlign w:val="bottom"/>
            <w:tcBorders>
              <w:right w:val="single" w:sz="8" w:color="EAF9E8"/>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000" w:type="dxa"/>
            <w:vAlign w:val="bottom"/>
            <w:tcBorders>
              <w:right w:val="single" w:sz="8" w:color="EAF9E8"/>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980" w:type="dxa"/>
            <w:vAlign w:val="bottom"/>
            <w:tcBorders>
              <w:right w:val="single" w:sz="8" w:color="EAF9E8"/>
            </w:tcBorders>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i w:val="1"/>
                <w:iCs w:val="1"/>
                <w:color w:val="auto"/>
              </w:rPr>
              <w:t>0.50%</w:t>
            </w:r>
          </w:p>
        </w:tc>
        <w:tc>
          <w:tcPr>
            <w:tcW w:w="14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Trading securities: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AF9E8"/>
          </w:tcPr>
          <w:p>
            <w:pPr>
              <w:ind w:left="60"/>
              <w:spacing w:after="0" w:line="149" w:lineRule="exact"/>
              <w:rPr>
                <w:sz w:val="20"/>
                <w:szCs w:val="20"/>
                <w:color w:val="auto"/>
              </w:rPr>
            </w:pPr>
            <w:r>
              <w:rPr>
                <w:rFonts w:ascii="Arial" w:cs="Arial" w:eastAsia="Arial" w:hAnsi="Arial"/>
                <w:sz w:val="14"/>
                <w:szCs w:val="14"/>
                <w:color w:val="auto"/>
              </w:rPr>
              <w:t>Auction rate</w:t>
            </w:r>
          </w:p>
        </w:tc>
        <w:tc>
          <w:tcPr>
            <w:tcW w:w="1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980" w:type="dxa"/>
            <w:vAlign w:val="bottom"/>
            <w:tcBorders>
              <w:right w:val="single" w:sz="8" w:color="EAF9E8"/>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122,877</w:t>
            </w:r>
          </w:p>
        </w:tc>
        <w:tc>
          <w:tcPr>
            <w:tcW w:w="200" w:type="dxa"/>
            <w:vAlign w:val="bottom"/>
            <w:shd w:val="clear" w:color="auto" w:fill="EAF9E8"/>
          </w:tcPr>
          <w:p>
            <w:pPr>
              <w:spacing w:after="0"/>
              <w:rPr>
                <w:sz w:val="12"/>
                <w:szCs w:val="12"/>
                <w:color w:val="auto"/>
              </w:rPr>
            </w:pPr>
          </w:p>
        </w:tc>
        <w:tc>
          <w:tcPr>
            <w:tcW w:w="940" w:type="dxa"/>
            <w:vAlign w:val="bottom"/>
            <w:tcBorders>
              <w:right w:val="single" w:sz="8" w:color="EAF9E8"/>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124,587</w:t>
            </w:r>
          </w:p>
        </w:tc>
        <w:tc>
          <w:tcPr>
            <w:tcW w:w="18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000" w:type="dxa"/>
            <w:vAlign w:val="bottom"/>
            <w:tcBorders>
              <w:right w:val="single" w:sz="8" w:color="EAF9E8"/>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980" w:type="dxa"/>
            <w:vAlign w:val="bottom"/>
            <w:tcBorders>
              <w:right w:val="single" w:sz="8" w:color="EAF9E8"/>
            </w:tcBorders>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247,464</w:t>
            </w:r>
          </w:p>
        </w:tc>
        <w:tc>
          <w:tcPr>
            <w:tcW w:w="14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247,464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40"/>
              <w:spacing w:after="0" w:line="149" w:lineRule="exact"/>
              <w:rPr>
                <w:sz w:val="20"/>
                <w:szCs w:val="20"/>
                <w:color w:val="auto"/>
              </w:rPr>
            </w:pPr>
            <w:r>
              <w:rPr>
                <w:rFonts w:ascii="Arial" w:cs="Arial" w:eastAsia="Arial" w:hAnsi="Arial"/>
                <w:sz w:val="14"/>
                <w:szCs w:val="14"/>
                <w:i w:val="1"/>
                <w:iCs w:val="1"/>
                <w:color w:val="auto"/>
              </w:rPr>
              <w:t>Average interest rate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1.01%</w:t>
            </w:r>
          </w:p>
        </w:tc>
        <w:tc>
          <w:tcPr>
            <w:tcW w:w="2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1.59%</w:t>
            </w:r>
          </w:p>
        </w:tc>
        <w:tc>
          <w:tcPr>
            <w:tcW w:w="1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i w:val="1"/>
                <w:iCs w:val="1"/>
                <w:color w:val="auto"/>
              </w:rPr>
              <w:t>1.29%</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AF9E8"/>
          </w:tcPr>
          <w:p>
            <w:pPr>
              <w:ind w:left="60"/>
              <w:spacing w:after="0" w:line="149" w:lineRule="exact"/>
              <w:rPr>
                <w:sz w:val="20"/>
                <w:szCs w:val="20"/>
                <w:color w:val="auto"/>
              </w:rPr>
            </w:pPr>
            <w:r>
              <w:rPr>
                <w:rFonts w:ascii="Arial" w:cs="Arial" w:eastAsia="Arial" w:hAnsi="Arial"/>
                <w:sz w:val="14"/>
                <w:szCs w:val="14"/>
                <w:color w:val="auto"/>
              </w:rPr>
              <w:t>Subordinates and residuals</w:t>
            </w:r>
          </w:p>
        </w:tc>
        <w:tc>
          <w:tcPr>
            <w:tcW w:w="1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980" w:type="dxa"/>
            <w:vAlign w:val="bottom"/>
            <w:tcBorders>
              <w:right w:val="single" w:sz="8" w:color="EAF9E8"/>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593</w:t>
            </w:r>
          </w:p>
        </w:tc>
        <w:tc>
          <w:tcPr>
            <w:tcW w:w="200" w:type="dxa"/>
            <w:vAlign w:val="bottom"/>
            <w:shd w:val="clear" w:color="auto" w:fill="EAF9E8"/>
          </w:tcPr>
          <w:p>
            <w:pPr>
              <w:spacing w:after="0"/>
              <w:rPr>
                <w:sz w:val="12"/>
                <w:szCs w:val="12"/>
                <w:color w:val="auto"/>
              </w:rPr>
            </w:pPr>
          </w:p>
        </w:tc>
        <w:tc>
          <w:tcPr>
            <w:tcW w:w="940" w:type="dxa"/>
            <w:vAlign w:val="bottom"/>
            <w:tcBorders>
              <w:right w:val="single" w:sz="8" w:color="EAF9E8"/>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421</w:t>
            </w:r>
          </w:p>
        </w:tc>
        <w:tc>
          <w:tcPr>
            <w:tcW w:w="18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189</w:t>
            </w:r>
          </w:p>
        </w:tc>
        <w:tc>
          <w:tcPr>
            <w:tcW w:w="20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312</w:t>
            </w:r>
          </w:p>
        </w:tc>
        <w:tc>
          <w:tcPr>
            <w:tcW w:w="24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496</w:t>
            </w:r>
          </w:p>
        </w:tc>
        <w:tc>
          <w:tcPr>
            <w:tcW w:w="140" w:type="dxa"/>
            <w:vAlign w:val="bottom"/>
            <w:shd w:val="clear" w:color="auto" w:fill="EAF9E8"/>
          </w:tcPr>
          <w:p>
            <w:pPr>
              <w:spacing w:after="0"/>
              <w:rPr>
                <w:sz w:val="12"/>
                <w:szCs w:val="12"/>
                <w:color w:val="auto"/>
              </w:rPr>
            </w:pPr>
          </w:p>
        </w:tc>
        <w:tc>
          <w:tcPr>
            <w:tcW w:w="1000" w:type="dxa"/>
            <w:vAlign w:val="bottom"/>
            <w:tcBorders>
              <w:right w:val="single" w:sz="8" w:color="EAF9E8"/>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1,681</w:t>
            </w:r>
          </w:p>
        </w:tc>
        <w:tc>
          <w:tcPr>
            <w:tcW w:w="140" w:type="dxa"/>
            <w:vAlign w:val="bottom"/>
            <w:shd w:val="clear" w:color="auto" w:fill="EAF9E8"/>
          </w:tcPr>
          <w:p>
            <w:pPr>
              <w:spacing w:after="0"/>
              <w:rPr>
                <w:sz w:val="12"/>
                <w:szCs w:val="12"/>
                <w:color w:val="auto"/>
              </w:rPr>
            </w:pPr>
          </w:p>
        </w:tc>
        <w:tc>
          <w:tcPr>
            <w:tcW w:w="980" w:type="dxa"/>
            <w:vAlign w:val="bottom"/>
            <w:tcBorders>
              <w:right w:val="single" w:sz="8" w:color="EAF9E8"/>
            </w:tcBorders>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3,692</w:t>
            </w:r>
          </w:p>
        </w:tc>
        <w:tc>
          <w:tcPr>
            <w:tcW w:w="14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3,692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40"/>
              <w:spacing w:after="0" w:line="149" w:lineRule="exact"/>
              <w:rPr>
                <w:sz w:val="20"/>
                <w:szCs w:val="20"/>
                <w:color w:val="auto"/>
              </w:rPr>
            </w:pPr>
            <w:r>
              <w:rPr>
                <w:rFonts w:ascii="Arial" w:cs="Arial" w:eastAsia="Arial" w:hAnsi="Arial"/>
                <w:sz w:val="14"/>
                <w:szCs w:val="14"/>
                <w:i w:val="1"/>
                <w:iCs w:val="1"/>
                <w:color w:val="auto"/>
              </w:rPr>
              <w:t>Average interest rate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19.65%</w:t>
            </w:r>
          </w:p>
        </w:tc>
        <w:tc>
          <w:tcPr>
            <w:tcW w:w="2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19.68%</w:t>
            </w:r>
          </w:p>
        </w:tc>
        <w:tc>
          <w:tcPr>
            <w:tcW w:w="1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i w:val="1"/>
                <w:iCs w:val="1"/>
                <w:color w:val="auto"/>
              </w:rPr>
              <w:t>19.51%</w:t>
            </w:r>
          </w:p>
        </w:tc>
        <w:tc>
          <w:tcPr>
            <w:tcW w:w="2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i w:val="1"/>
                <w:iCs w:val="1"/>
                <w:color w:val="auto"/>
              </w:rPr>
              <w:t>18.79%</w:t>
            </w:r>
          </w:p>
        </w:tc>
        <w:tc>
          <w:tcPr>
            <w:tcW w:w="2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18.78%</w:t>
            </w:r>
          </w:p>
        </w:tc>
        <w:tc>
          <w:tcPr>
            <w:tcW w:w="14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18.73%</w:t>
            </w: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i w:val="1"/>
                <w:iCs w:val="1"/>
                <w:color w:val="auto"/>
              </w:rPr>
              <w:t>19.04%</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Loans held for resale (2)</w:t>
            </w:r>
          </w:p>
        </w:tc>
        <w:tc>
          <w:tcPr>
            <w:tcW w:w="1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980" w:type="dxa"/>
            <w:vAlign w:val="bottom"/>
            <w:tcBorders>
              <w:right w:val="single" w:sz="8" w:color="EAF9E8"/>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12,271</w:t>
            </w:r>
          </w:p>
        </w:tc>
        <w:tc>
          <w:tcPr>
            <w:tcW w:w="200" w:type="dxa"/>
            <w:vAlign w:val="bottom"/>
            <w:shd w:val="clear" w:color="auto" w:fill="EAF9E8"/>
          </w:tcPr>
          <w:p>
            <w:pPr>
              <w:spacing w:after="0"/>
              <w:rPr>
                <w:sz w:val="12"/>
                <w:szCs w:val="12"/>
                <w:color w:val="auto"/>
              </w:rPr>
            </w:pPr>
          </w:p>
        </w:tc>
        <w:tc>
          <w:tcPr>
            <w:tcW w:w="940" w:type="dxa"/>
            <w:vAlign w:val="bottom"/>
            <w:tcBorders>
              <w:right w:val="single" w:sz="8" w:color="EAF9E8"/>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12,024</w:t>
            </w:r>
          </w:p>
        </w:tc>
        <w:tc>
          <w:tcPr>
            <w:tcW w:w="18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3,631</w:t>
            </w:r>
          </w:p>
        </w:tc>
        <w:tc>
          <w:tcPr>
            <w:tcW w:w="20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1,698</w:t>
            </w:r>
          </w:p>
        </w:tc>
        <w:tc>
          <w:tcPr>
            <w:tcW w:w="24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1,049</w:t>
            </w:r>
          </w:p>
        </w:tc>
        <w:tc>
          <w:tcPr>
            <w:tcW w:w="140" w:type="dxa"/>
            <w:vAlign w:val="bottom"/>
            <w:shd w:val="clear" w:color="auto" w:fill="EAF9E8"/>
          </w:tcPr>
          <w:p>
            <w:pPr>
              <w:spacing w:after="0"/>
              <w:rPr>
                <w:sz w:val="12"/>
                <w:szCs w:val="12"/>
                <w:color w:val="auto"/>
              </w:rPr>
            </w:pPr>
          </w:p>
        </w:tc>
        <w:tc>
          <w:tcPr>
            <w:tcW w:w="1000" w:type="dxa"/>
            <w:vAlign w:val="bottom"/>
            <w:tcBorders>
              <w:right w:val="single" w:sz="8" w:color="EAF9E8"/>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2,524</w:t>
            </w:r>
          </w:p>
        </w:tc>
        <w:tc>
          <w:tcPr>
            <w:tcW w:w="140" w:type="dxa"/>
            <w:vAlign w:val="bottom"/>
            <w:shd w:val="clear" w:color="auto" w:fill="EAF9E8"/>
          </w:tcPr>
          <w:p>
            <w:pPr>
              <w:spacing w:after="0"/>
              <w:rPr>
                <w:sz w:val="12"/>
                <w:szCs w:val="12"/>
                <w:color w:val="auto"/>
              </w:rPr>
            </w:pPr>
          </w:p>
        </w:tc>
        <w:tc>
          <w:tcPr>
            <w:tcW w:w="980" w:type="dxa"/>
            <w:vAlign w:val="bottom"/>
            <w:tcBorders>
              <w:right w:val="single" w:sz="8" w:color="EAF9E8"/>
            </w:tcBorders>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33,197</w:t>
            </w:r>
          </w:p>
        </w:tc>
        <w:tc>
          <w:tcPr>
            <w:tcW w:w="14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33,197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40"/>
              <w:spacing w:after="0" w:line="149" w:lineRule="exact"/>
              <w:rPr>
                <w:sz w:val="20"/>
                <w:szCs w:val="20"/>
                <w:color w:val="auto"/>
              </w:rPr>
            </w:pPr>
            <w:r>
              <w:rPr>
                <w:rFonts w:ascii="Arial" w:cs="Arial" w:eastAsia="Arial" w:hAnsi="Arial"/>
                <w:sz w:val="14"/>
                <w:szCs w:val="14"/>
                <w:i w:val="1"/>
                <w:iCs w:val="1"/>
                <w:color w:val="auto"/>
              </w:rPr>
              <w:t>Average interest rate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9.74%</w:t>
            </w:r>
          </w:p>
        </w:tc>
        <w:tc>
          <w:tcPr>
            <w:tcW w:w="2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9.45%</w:t>
            </w:r>
          </w:p>
        </w:tc>
        <w:tc>
          <w:tcPr>
            <w:tcW w:w="1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i w:val="1"/>
                <w:iCs w:val="1"/>
                <w:color w:val="auto"/>
              </w:rPr>
              <w:t>8.76%</w:t>
            </w:r>
          </w:p>
        </w:tc>
        <w:tc>
          <w:tcPr>
            <w:tcW w:w="2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i w:val="1"/>
                <w:iCs w:val="1"/>
                <w:color w:val="auto"/>
              </w:rPr>
              <w:t>8.69%</w:t>
            </w:r>
          </w:p>
        </w:tc>
        <w:tc>
          <w:tcPr>
            <w:tcW w:w="2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8.63%</w:t>
            </w:r>
          </w:p>
        </w:tc>
        <w:tc>
          <w:tcPr>
            <w:tcW w:w="14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8.63%</w:t>
            </w: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i w:val="1"/>
                <w:iCs w:val="1"/>
                <w:color w:val="auto"/>
              </w:rPr>
              <w:t>9.35%</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rPr>
              <w:t>Interest–earning collateral and debt</w:t>
            </w:r>
          </w:p>
        </w:tc>
        <w:tc>
          <w:tcPr>
            <w:tcW w:w="12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740" w:type="dxa"/>
            <w:vAlign w:val="bottom"/>
            <w:shd w:val="clear" w:color="auto" w:fill="EAF9E8"/>
          </w:tcPr>
          <w:p>
            <w:pPr>
              <w:spacing w:after="0"/>
              <w:rPr>
                <w:sz w:val="11"/>
                <w:szCs w:val="11"/>
                <w:color w:val="auto"/>
              </w:rPr>
            </w:pPr>
          </w:p>
        </w:tc>
        <w:tc>
          <w:tcPr>
            <w:tcW w:w="240" w:type="dxa"/>
            <w:vAlign w:val="bottom"/>
            <w:tcBorders>
              <w:right w:val="single" w:sz="8" w:color="EAF9E8"/>
            </w:tcBorders>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240" w:type="dxa"/>
            <w:vAlign w:val="bottom"/>
            <w:tcBorders>
              <w:right w:val="single" w:sz="8" w:color="EAF9E8"/>
            </w:tcBorders>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66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760" w:type="dxa"/>
            <w:vAlign w:val="bottom"/>
            <w:shd w:val="clear" w:color="auto" w:fill="EAF9E8"/>
          </w:tcPr>
          <w:p>
            <w:pPr>
              <w:spacing w:after="0"/>
              <w:rPr>
                <w:sz w:val="11"/>
                <w:szCs w:val="11"/>
                <w:color w:val="auto"/>
              </w:rPr>
            </w:pPr>
          </w:p>
        </w:tc>
        <w:tc>
          <w:tcPr>
            <w:tcW w:w="240" w:type="dxa"/>
            <w:vAlign w:val="bottom"/>
            <w:tcBorders>
              <w:right w:val="single" w:sz="8" w:color="EAF9E8"/>
            </w:tcBorders>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760" w:type="dxa"/>
            <w:vAlign w:val="bottom"/>
            <w:shd w:val="clear" w:color="auto" w:fill="EAF9E8"/>
          </w:tcPr>
          <w:p>
            <w:pPr>
              <w:spacing w:after="0"/>
              <w:rPr>
                <w:sz w:val="11"/>
                <w:szCs w:val="11"/>
                <w:color w:val="auto"/>
              </w:rPr>
            </w:pPr>
          </w:p>
        </w:tc>
        <w:tc>
          <w:tcPr>
            <w:tcW w:w="220" w:type="dxa"/>
            <w:vAlign w:val="bottom"/>
            <w:tcBorders>
              <w:right w:val="single" w:sz="8" w:color="EAF9E8"/>
            </w:tcBorders>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7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EAF9E8"/>
          </w:tcPr>
          <w:p>
            <w:pPr>
              <w:ind w:left="60"/>
              <w:spacing w:after="0"/>
              <w:rPr>
                <w:sz w:val="20"/>
                <w:szCs w:val="20"/>
                <w:color w:val="auto"/>
              </w:rPr>
            </w:pPr>
            <w:r>
              <w:rPr>
                <w:rFonts w:ascii="Arial" w:cs="Arial" w:eastAsia="Arial" w:hAnsi="Arial"/>
                <w:sz w:val="14"/>
                <w:szCs w:val="14"/>
                <w:color w:val="auto"/>
              </w:rPr>
              <w:t>service deposits</w:t>
            </w:r>
          </w:p>
        </w:tc>
        <w:tc>
          <w:tcPr>
            <w:tcW w:w="120" w:type="dxa"/>
            <w:vAlign w:val="bottom"/>
            <w:shd w:val="clear" w:color="auto" w:fill="EAF9E8"/>
          </w:tcPr>
          <w:p>
            <w:pPr>
              <w:spacing w:after="0"/>
              <w:rPr>
                <w:sz w:val="14"/>
                <w:szCs w:val="14"/>
                <w:color w:val="auto"/>
              </w:rPr>
            </w:pPr>
          </w:p>
        </w:tc>
        <w:tc>
          <w:tcPr>
            <w:tcW w:w="200" w:type="dxa"/>
            <w:vAlign w:val="bottom"/>
            <w:shd w:val="clear" w:color="auto" w:fill="EAF9E8"/>
          </w:tcPr>
          <w:p>
            <w:pPr>
              <w:spacing w:after="0"/>
              <w:rPr>
                <w:sz w:val="14"/>
                <w:szCs w:val="14"/>
                <w:color w:val="auto"/>
              </w:rPr>
            </w:pPr>
          </w:p>
        </w:tc>
        <w:tc>
          <w:tcPr>
            <w:tcW w:w="980" w:type="dxa"/>
            <w:vAlign w:val="bottom"/>
            <w:tcBorders>
              <w:right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53,892</w:t>
            </w:r>
          </w:p>
        </w:tc>
        <w:tc>
          <w:tcPr>
            <w:tcW w:w="200" w:type="dxa"/>
            <w:vAlign w:val="bottom"/>
            <w:shd w:val="clear" w:color="auto" w:fill="EAF9E8"/>
          </w:tcPr>
          <w:p>
            <w:pPr>
              <w:spacing w:after="0"/>
              <w:rPr>
                <w:sz w:val="14"/>
                <w:szCs w:val="14"/>
                <w:color w:val="auto"/>
              </w:rPr>
            </w:pPr>
          </w:p>
        </w:tc>
        <w:tc>
          <w:tcPr>
            <w:tcW w:w="940" w:type="dxa"/>
            <w:vAlign w:val="bottom"/>
            <w:tcBorders>
              <w:right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5,000</w:t>
            </w:r>
          </w:p>
        </w:tc>
        <w:tc>
          <w:tcPr>
            <w:tcW w:w="180" w:type="dxa"/>
            <w:vAlign w:val="bottom"/>
            <w:shd w:val="clear" w:color="auto" w:fill="EAF9E8"/>
          </w:tcPr>
          <w:p>
            <w:pPr>
              <w:spacing w:after="0"/>
              <w:rPr>
                <w:sz w:val="14"/>
                <w:szCs w:val="14"/>
                <w:color w:val="auto"/>
              </w:rPr>
            </w:pPr>
          </w:p>
        </w:tc>
        <w:tc>
          <w:tcPr>
            <w:tcW w:w="9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EAF9E8"/>
          </w:tcPr>
          <w:p>
            <w:pPr>
              <w:spacing w:after="0"/>
              <w:rPr>
                <w:sz w:val="14"/>
                <w:szCs w:val="14"/>
                <w:color w:val="auto"/>
              </w:rPr>
            </w:pPr>
          </w:p>
        </w:tc>
        <w:tc>
          <w:tcPr>
            <w:tcW w:w="9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4"/>
                <w:szCs w:val="14"/>
                <w:color w:val="auto"/>
              </w:rPr>
            </w:pP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4"/>
                <w:szCs w:val="14"/>
                <w:color w:val="auto"/>
              </w:rPr>
            </w:pPr>
          </w:p>
        </w:tc>
        <w:tc>
          <w:tcPr>
            <w:tcW w:w="1000" w:type="dxa"/>
            <w:vAlign w:val="bottom"/>
            <w:tcBorders>
              <w:right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4"/>
                <w:szCs w:val="14"/>
                <w:color w:val="auto"/>
              </w:rPr>
            </w:pPr>
          </w:p>
        </w:tc>
        <w:tc>
          <w:tcPr>
            <w:tcW w:w="980" w:type="dxa"/>
            <w:vAlign w:val="bottom"/>
            <w:tcBorders>
              <w:right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58,892</w:t>
            </w:r>
          </w:p>
        </w:tc>
        <w:tc>
          <w:tcPr>
            <w:tcW w:w="140" w:type="dxa"/>
            <w:vAlign w:val="bottom"/>
            <w:shd w:val="clear" w:color="auto" w:fill="EAF9E8"/>
          </w:tcPr>
          <w:p>
            <w:pPr>
              <w:spacing w:after="0"/>
              <w:rPr>
                <w:sz w:val="14"/>
                <w:szCs w:val="14"/>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58,892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40"/>
              <w:spacing w:after="0" w:line="149" w:lineRule="exact"/>
              <w:rPr>
                <w:sz w:val="20"/>
                <w:szCs w:val="20"/>
                <w:color w:val="auto"/>
              </w:rPr>
            </w:pPr>
            <w:r>
              <w:rPr>
                <w:rFonts w:ascii="Arial" w:cs="Arial" w:eastAsia="Arial" w:hAnsi="Arial"/>
                <w:sz w:val="14"/>
                <w:szCs w:val="14"/>
                <w:i w:val="1"/>
                <w:iCs w:val="1"/>
                <w:color w:val="auto"/>
              </w:rPr>
              <w:t>Average interest rate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0.44%</w:t>
            </w:r>
          </w:p>
        </w:tc>
        <w:tc>
          <w:tcPr>
            <w:tcW w:w="2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0.10%</w:t>
            </w:r>
          </w:p>
        </w:tc>
        <w:tc>
          <w:tcPr>
            <w:tcW w:w="1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i w:val="1"/>
                <w:iCs w:val="1"/>
                <w:color w:val="auto"/>
              </w:rPr>
              <w:t>0.41%</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280" w:type="dxa"/>
            <w:vAlign w:val="bottom"/>
            <w:shd w:val="clear" w:color="auto" w:fill="EAF9E8"/>
          </w:tcPr>
          <w:p>
            <w:pPr>
              <w:ind w:left="140"/>
              <w:spacing w:after="0" w:line="149" w:lineRule="exact"/>
              <w:rPr>
                <w:sz w:val="20"/>
                <w:szCs w:val="20"/>
                <w:color w:val="auto"/>
              </w:rPr>
            </w:pPr>
            <w:r>
              <w:rPr>
                <w:rFonts w:ascii="Arial" w:cs="Arial" w:eastAsia="Arial" w:hAnsi="Arial"/>
                <w:sz w:val="14"/>
                <w:szCs w:val="14"/>
                <w:color w:val="auto"/>
              </w:rPr>
              <w:t>Total rate-sensitive assets</w:t>
            </w:r>
          </w:p>
        </w:tc>
        <w:tc>
          <w:tcPr>
            <w:tcW w:w="120" w:type="dxa"/>
            <w:vAlign w:val="bottom"/>
            <w:shd w:val="clear" w:color="auto" w:fill="EAF9E8"/>
          </w:tcPr>
          <w:p>
            <w:pPr>
              <w:spacing w:after="0"/>
              <w:rPr>
                <w:sz w:val="14"/>
                <w:szCs w:val="14"/>
                <w:color w:val="auto"/>
              </w:rPr>
            </w:pPr>
          </w:p>
        </w:tc>
        <w:tc>
          <w:tcPr>
            <w:tcW w:w="200" w:type="dxa"/>
            <w:vAlign w:val="bottom"/>
            <w:shd w:val="clear" w:color="auto" w:fill="EAF9E8"/>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240,006</w:t>
            </w:r>
          </w:p>
        </w:tc>
        <w:tc>
          <w:tcPr>
            <w:tcW w:w="240" w:type="dxa"/>
            <w:vAlign w:val="bottom"/>
            <w:tcBorders>
              <w:right w:val="single" w:sz="8" w:color="EAF9E8"/>
            </w:tcBorders>
            <w:shd w:val="clear" w:color="auto" w:fill="EAF9E8"/>
          </w:tcPr>
          <w:p>
            <w:pPr>
              <w:spacing w:after="0"/>
              <w:rPr>
                <w:sz w:val="14"/>
                <w:szCs w:val="14"/>
                <w:color w:val="auto"/>
              </w:rPr>
            </w:pPr>
          </w:p>
        </w:tc>
        <w:tc>
          <w:tcPr>
            <w:tcW w:w="200" w:type="dxa"/>
            <w:vAlign w:val="bottom"/>
            <w:shd w:val="clear" w:color="auto" w:fill="EAF9E8"/>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tcBorders>
              <w:right w:val="single" w:sz="8" w:color="EAF9E8"/>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142,032</w:t>
            </w:r>
          </w:p>
        </w:tc>
        <w:tc>
          <w:tcPr>
            <w:tcW w:w="180" w:type="dxa"/>
            <w:vAlign w:val="bottom"/>
            <w:shd w:val="clear" w:color="auto" w:fill="EAF9E8"/>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3,820</w:t>
            </w:r>
          </w:p>
        </w:tc>
        <w:tc>
          <w:tcPr>
            <w:tcW w:w="200" w:type="dxa"/>
            <w:vAlign w:val="bottom"/>
            <w:shd w:val="clear" w:color="auto" w:fill="EAF9E8"/>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2,010</w:t>
            </w:r>
          </w:p>
        </w:tc>
        <w:tc>
          <w:tcPr>
            <w:tcW w:w="240" w:type="dxa"/>
            <w:vAlign w:val="bottom"/>
            <w:shd w:val="clear" w:color="auto" w:fill="EAF9E8"/>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1,545</w:t>
            </w:r>
          </w:p>
        </w:tc>
        <w:tc>
          <w:tcPr>
            <w:tcW w:w="1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EAF9E8"/>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4,205</w:t>
            </w:r>
          </w:p>
        </w:tc>
        <w:tc>
          <w:tcPr>
            <w:tcW w:w="140" w:type="dxa"/>
            <w:vAlign w:val="bottom"/>
            <w:shd w:val="clear" w:color="auto" w:fill="EAF9E8"/>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EAF9E8"/>
            </w:tcBorders>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393,618</w:t>
            </w:r>
          </w:p>
        </w:tc>
        <w:tc>
          <w:tcPr>
            <w:tcW w:w="1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393,618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right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right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right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right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ind w:left="140"/>
              <w:spacing w:after="0" w:line="142" w:lineRule="exact"/>
              <w:rPr>
                <w:sz w:val="20"/>
                <w:szCs w:val="20"/>
                <w:color w:val="auto"/>
              </w:rPr>
            </w:pPr>
            <w:r>
              <w:rPr>
                <w:rFonts w:ascii="Arial" w:cs="Arial" w:eastAsia="Arial" w:hAnsi="Arial"/>
                <w:sz w:val="14"/>
                <w:szCs w:val="14"/>
                <w:i w:val="1"/>
                <w:iCs w:val="1"/>
                <w:color w:val="auto"/>
              </w:rPr>
              <w:t>Percent of total</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120"/>
              <w:spacing w:after="0" w:line="142" w:lineRule="exact"/>
              <w:rPr>
                <w:sz w:val="20"/>
                <w:szCs w:val="20"/>
                <w:color w:val="auto"/>
              </w:rPr>
            </w:pPr>
            <w:r>
              <w:rPr>
                <w:rFonts w:ascii="Arial" w:cs="Arial" w:eastAsia="Arial" w:hAnsi="Arial"/>
                <w:sz w:val="14"/>
                <w:szCs w:val="14"/>
                <w:i w:val="1"/>
                <w:iCs w:val="1"/>
                <w:color w:val="auto"/>
              </w:rPr>
              <w:t>60.97%</w:t>
            </w:r>
          </w:p>
        </w:tc>
        <w:tc>
          <w:tcPr>
            <w:tcW w:w="200" w:type="dxa"/>
            <w:vAlign w:val="bottom"/>
          </w:tcPr>
          <w:p>
            <w:pPr>
              <w:spacing w:after="0"/>
              <w:rPr>
                <w:sz w:val="12"/>
                <w:szCs w:val="12"/>
                <w:color w:val="auto"/>
              </w:rPr>
            </w:pPr>
          </w:p>
        </w:tc>
        <w:tc>
          <w:tcPr>
            <w:tcW w:w="940" w:type="dxa"/>
            <w:vAlign w:val="bottom"/>
            <w:gridSpan w:val="2"/>
          </w:tcPr>
          <w:p>
            <w:pPr>
              <w:jc w:val="right"/>
              <w:ind w:right="120"/>
              <w:spacing w:after="0" w:line="142" w:lineRule="exact"/>
              <w:rPr>
                <w:sz w:val="20"/>
                <w:szCs w:val="20"/>
                <w:color w:val="auto"/>
              </w:rPr>
            </w:pPr>
            <w:r>
              <w:rPr>
                <w:rFonts w:ascii="Arial" w:cs="Arial" w:eastAsia="Arial" w:hAnsi="Arial"/>
                <w:sz w:val="14"/>
                <w:szCs w:val="14"/>
                <w:i w:val="1"/>
                <w:iCs w:val="1"/>
                <w:color w:val="auto"/>
              </w:rPr>
              <w:t>36.08%</w:t>
            </w:r>
          </w:p>
        </w:tc>
        <w:tc>
          <w:tcPr>
            <w:tcW w:w="180" w:type="dxa"/>
            <w:vAlign w:val="bottom"/>
          </w:tcPr>
          <w:p>
            <w:pPr>
              <w:spacing w:after="0"/>
              <w:rPr>
                <w:sz w:val="12"/>
                <w:szCs w:val="12"/>
                <w:color w:val="auto"/>
              </w:rPr>
            </w:pPr>
          </w:p>
        </w:tc>
        <w:tc>
          <w:tcPr>
            <w:tcW w:w="940" w:type="dxa"/>
            <w:vAlign w:val="bottom"/>
            <w:gridSpan w:val="2"/>
          </w:tcPr>
          <w:p>
            <w:pPr>
              <w:jc w:val="right"/>
              <w:ind w:right="100"/>
              <w:spacing w:after="0" w:line="142" w:lineRule="exact"/>
              <w:rPr>
                <w:sz w:val="20"/>
                <w:szCs w:val="20"/>
                <w:color w:val="auto"/>
              </w:rPr>
            </w:pPr>
            <w:r>
              <w:rPr>
                <w:rFonts w:ascii="Arial" w:cs="Arial" w:eastAsia="Arial" w:hAnsi="Arial"/>
                <w:sz w:val="14"/>
                <w:szCs w:val="14"/>
                <w:i w:val="1"/>
                <w:iCs w:val="1"/>
                <w:color w:val="auto"/>
              </w:rPr>
              <w:t>0.97%</w:t>
            </w:r>
          </w:p>
        </w:tc>
        <w:tc>
          <w:tcPr>
            <w:tcW w:w="200" w:type="dxa"/>
            <w:vAlign w:val="bottom"/>
          </w:tcPr>
          <w:p>
            <w:pPr>
              <w:spacing w:after="0"/>
              <w:rPr>
                <w:sz w:val="12"/>
                <w:szCs w:val="12"/>
                <w:color w:val="auto"/>
              </w:rPr>
            </w:pPr>
          </w:p>
        </w:tc>
        <w:tc>
          <w:tcPr>
            <w:tcW w:w="940" w:type="dxa"/>
            <w:vAlign w:val="bottom"/>
            <w:gridSpan w:val="2"/>
          </w:tcPr>
          <w:p>
            <w:pPr>
              <w:jc w:val="right"/>
              <w:ind w:right="100"/>
              <w:spacing w:after="0" w:line="142" w:lineRule="exact"/>
              <w:rPr>
                <w:sz w:val="20"/>
                <w:szCs w:val="20"/>
                <w:color w:val="auto"/>
              </w:rPr>
            </w:pPr>
            <w:r>
              <w:rPr>
                <w:rFonts w:ascii="Arial" w:cs="Arial" w:eastAsia="Arial" w:hAnsi="Arial"/>
                <w:sz w:val="14"/>
                <w:szCs w:val="14"/>
                <w:i w:val="1"/>
                <w:iCs w:val="1"/>
                <w:color w:val="auto"/>
              </w:rPr>
              <w:t>0.51%</w:t>
            </w:r>
          </w:p>
        </w:tc>
        <w:tc>
          <w:tcPr>
            <w:tcW w:w="240" w:type="dxa"/>
            <w:vAlign w:val="bottom"/>
          </w:tcPr>
          <w:p>
            <w:pPr>
              <w:spacing w:after="0"/>
              <w:rPr>
                <w:sz w:val="12"/>
                <w:szCs w:val="12"/>
                <w:color w:val="auto"/>
              </w:rPr>
            </w:pPr>
          </w:p>
        </w:tc>
        <w:tc>
          <w:tcPr>
            <w:tcW w:w="900" w:type="dxa"/>
            <w:vAlign w:val="bottom"/>
            <w:gridSpan w:val="2"/>
          </w:tcPr>
          <w:p>
            <w:pPr>
              <w:jc w:val="right"/>
              <w:ind w:right="120"/>
              <w:spacing w:after="0" w:line="142" w:lineRule="exact"/>
              <w:rPr>
                <w:sz w:val="20"/>
                <w:szCs w:val="20"/>
                <w:color w:val="auto"/>
              </w:rPr>
            </w:pPr>
            <w:r>
              <w:rPr>
                <w:rFonts w:ascii="Arial" w:cs="Arial" w:eastAsia="Arial" w:hAnsi="Arial"/>
                <w:sz w:val="14"/>
                <w:szCs w:val="14"/>
                <w:i w:val="1"/>
                <w:iCs w:val="1"/>
                <w:color w:val="auto"/>
              </w:rPr>
              <w:t>0.39%</w:t>
            </w:r>
          </w:p>
        </w:tc>
        <w:tc>
          <w:tcPr>
            <w:tcW w:w="140" w:type="dxa"/>
            <w:vAlign w:val="bottom"/>
          </w:tcPr>
          <w:p>
            <w:pPr>
              <w:spacing w:after="0"/>
              <w:rPr>
                <w:sz w:val="12"/>
                <w:szCs w:val="12"/>
                <w:color w:val="auto"/>
              </w:rPr>
            </w:pPr>
          </w:p>
        </w:tc>
        <w:tc>
          <w:tcPr>
            <w:tcW w:w="1000" w:type="dxa"/>
            <w:vAlign w:val="bottom"/>
            <w:gridSpan w:val="2"/>
          </w:tcPr>
          <w:p>
            <w:pPr>
              <w:jc w:val="right"/>
              <w:ind w:right="120"/>
              <w:spacing w:after="0" w:line="142" w:lineRule="exact"/>
              <w:rPr>
                <w:sz w:val="20"/>
                <w:szCs w:val="20"/>
                <w:color w:val="auto"/>
              </w:rPr>
            </w:pPr>
            <w:r>
              <w:rPr>
                <w:rFonts w:ascii="Arial" w:cs="Arial" w:eastAsia="Arial" w:hAnsi="Arial"/>
                <w:sz w:val="14"/>
                <w:szCs w:val="14"/>
                <w:i w:val="1"/>
                <w:iCs w:val="1"/>
                <w:color w:val="auto"/>
              </w:rPr>
              <w:t>1.08%</w:t>
            </w: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2" w:lineRule="exact"/>
              <w:rPr>
                <w:sz w:val="20"/>
                <w:szCs w:val="20"/>
                <w:color w:val="auto"/>
              </w:rPr>
            </w:pPr>
            <w:r>
              <w:rPr>
                <w:rFonts w:ascii="Arial" w:cs="Arial" w:eastAsia="Arial" w:hAnsi="Arial"/>
                <w:sz w:val="14"/>
                <w:szCs w:val="14"/>
                <w:i w:val="1"/>
                <w:iCs w:val="1"/>
                <w:color w:val="auto"/>
              </w:rPr>
              <w:t>100.00%</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740" w:type="dxa"/>
            <w:vAlign w:val="bottom"/>
            <w:shd w:val="clear" w:color="auto" w:fill="EAF9E8"/>
          </w:tcPr>
          <w:p>
            <w:pPr>
              <w:spacing w:after="0"/>
              <w:rPr>
                <w:sz w:val="12"/>
                <w:szCs w:val="12"/>
                <w:color w:val="auto"/>
              </w:rPr>
            </w:pPr>
          </w:p>
        </w:tc>
        <w:tc>
          <w:tcPr>
            <w:tcW w:w="240" w:type="dxa"/>
            <w:vAlign w:val="bottom"/>
            <w:tcBorders>
              <w:right w:val="single" w:sz="8" w:color="EAF9E8"/>
            </w:tcBorders>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240" w:type="dxa"/>
            <w:vAlign w:val="bottom"/>
            <w:tcBorders>
              <w:right w:val="single" w:sz="8" w:color="EAF9E8"/>
            </w:tcBorders>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66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60" w:type="dxa"/>
            <w:vAlign w:val="bottom"/>
            <w:shd w:val="clear" w:color="auto" w:fill="EAF9E8"/>
          </w:tcPr>
          <w:p>
            <w:pPr>
              <w:spacing w:after="0"/>
              <w:rPr>
                <w:sz w:val="12"/>
                <w:szCs w:val="12"/>
                <w:color w:val="auto"/>
              </w:rPr>
            </w:pPr>
          </w:p>
        </w:tc>
        <w:tc>
          <w:tcPr>
            <w:tcW w:w="240" w:type="dxa"/>
            <w:vAlign w:val="bottom"/>
            <w:tcBorders>
              <w:right w:val="single" w:sz="8" w:color="EAF9E8"/>
            </w:tcBorders>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60" w:type="dxa"/>
            <w:vAlign w:val="bottom"/>
            <w:shd w:val="clear" w:color="auto" w:fill="EAF9E8"/>
          </w:tcPr>
          <w:p>
            <w:pPr>
              <w:spacing w:after="0"/>
              <w:rPr>
                <w:sz w:val="12"/>
                <w:szCs w:val="12"/>
                <w:color w:val="auto"/>
              </w:rPr>
            </w:pPr>
          </w:p>
        </w:tc>
        <w:tc>
          <w:tcPr>
            <w:tcW w:w="220" w:type="dxa"/>
            <w:vAlign w:val="bottom"/>
            <w:tcBorders>
              <w:right w:val="single" w:sz="8" w:color="EAF9E8"/>
            </w:tcBorders>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b w:val="1"/>
                <w:bCs w:val="1"/>
                <w:color w:val="auto"/>
              </w:rPr>
              <w:t>Rate-Sensitive Liabilities: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Match funded liabilities:</w:t>
            </w:r>
          </w:p>
        </w:tc>
        <w:tc>
          <w:tcPr>
            <w:tcW w:w="1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740" w:type="dxa"/>
            <w:vAlign w:val="bottom"/>
            <w:shd w:val="clear" w:color="auto" w:fill="EAF9E8"/>
          </w:tcPr>
          <w:p>
            <w:pPr>
              <w:spacing w:after="0"/>
              <w:rPr>
                <w:sz w:val="12"/>
                <w:szCs w:val="12"/>
                <w:color w:val="auto"/>
              </w:rPr>
            </w:pPr>
          </w:p>
        </w:tc>
        <w:tc>
          <w:tcPr>
            <w:tcW w:w="240" w:type="dxa"/>
            <w:vAlign w:val="bottom"/>
            <w:tcBorders>
              <w:right w:val="single" w:sz="8" w:color="EAF9E8"/>
            </w:tcBorders>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240" w:type="dxa"/>
            <w:vAlign w:val="bottom"/>
            <w:tcBorders>
              <w:right w:val="single" w:sz="8" w:color="EAF9E8"/>
            </w:tcBorders>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66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60" w:type="dxa"/>
            <w:vAlign w:val="bottom"/>
            <w:shd w:val="clear" w:color="auto" w:fill="EAF9E8"/>
          </w:tcPr>
          <w:p>
            <w:pPr>
              <w:spacing w:after="0"/>
              <w:rPr>
                <w:sz w:val="12"/>
                <w:szCs w:val="12"/>
                <w:color w:val="auto"/>
              </w:rPr>
            </w:pPr>
          </w:p>
        </w:tc>
        <w:tc>
          <w:tcPr>
            <w:tcW w:w="240" w:type="dxa"/>
            <w:vAlign w:val="bottom"/>
            <w:tcBorders>
              <w:right w:val="single" w:sz="8" w:color="EAF9E8"/>
            </w:tcBorders>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60" w:type="dxa"/>
            <w:vAlign w:val="bottom"/>
            <w:shd w:val="clear" w:color="auto" w:fill="EAF9E8"/>
          </w:tcPr>
          <w:p>
            <w:pPr>
              <w:spacing w:after="0"/>
              <w:rPr>
                <w:sz w:val="12"/>
                <w:szCs w:val="12"/>
                <w:color w:val="auto"/>
              </w:rPr>
            </w:pPr>
          </w:p>
        </w:tc>
        <w:tc>
          <w:tcPr>
            <w:tcW w:w="220" w:type="dxa"/>
            <w:vAlign w:val="bottom"/>
            <w:tcBorders>
              <w:right w:val="single" w:sz="8" w:color="EAF9E8"/>
            </w:tcBorders>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60"/>
              <w:spacing w:after="0" w:line="149" w:lineRule="exact"/>
              <w:rPr>
                <w:sz w:val="20"/>
                <w:szCs w:val="20"/>
                <w:color w:val="auto"/>
              </w:rPr>
            </w:pPr>
            <w:r>
              <w:rPr>
                <w:rFonts w:ascii="Arial" w:cs="Arial" w:eastAsia="Arial" w:hAnsi="Arial"/>
                <w:sz w:val="14"/>
                <w:szCs w:val="14"/>
                <w:color w:val="auto"/>
              </w:rPr>
              <w:t>Fixed rate</w:t>
            </w:r>
          </w:p>
        </w:tc>
        <w:tc>
          <w:tcPr>
            <w:tcW w:w="3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150,000</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60,000</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210,000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208,025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AF9E8"/>
          </w:tcPr>
          <w:p>
            <w:pPr>
              <w:ind w:left="140"/>
              <w:spacing w:after="0" w:line="149" w:lineRule="exact"/>
              <w:rPr>
                <w:sz w:val="20"/>
                <w:szCs w:val="20"/>
                <w:color w:val="auto"/>
              </w:rPr>
            </w:pPr>
            <w:r>
              <w:rPr>
                <w:rFonts w:ascii="Arial" w:cs="Arial" w:eastAsia="Arial" w:hAnsi="Arial"/>
                <w:sz w:val="14"/>
                <w:szCs w:val="14"/>
                <w:i w:val="1"/>
                <w:iCs w:val="1"/>
                <w:color w:val="auto"/>
              </w:rPr>
              <w:t>Average interest rate</w:t>
            </w:r>
          </w:p>
        </w:tc>
        <w:tc>
          <w:tcPr>
            <w:tcW w:w="1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980" w:type="dxa"/>
            <w:vAlign w:val="bottom"/>
            <w:tcBorders>
              <w:right w:val="single" w:sz="8" w:color="EAF9E8"/>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AF9E8"/>
          </w:tcPr>
          <w:p>
            <w:pPr>
              <w:spacing w:after="0"/>
              <w:rPr>
                <w:sz w:val="12"/>
                <w:szCs w:val="12"/>
                <w:color w:val="auto"/>
              </w:rPr>
            </w:pPr>
          </w:p>
        </w:tc>
        <w:tc>
          <w:tcPr>
            <w:tcW w:w="940" w:type="dxa"/>
            <w:vAlign w:val="bottom"/>
            <w:tcBorders>
              <w:right w:val="single" w:sz="8" w:color="EAF9E8"/>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i w:val="1"/>
                <w:iCs w:val="1"/>
                <w:color w:val="auto"/>
              </w:rPr>
              <w:t>4.14%</w:t>
            </w:r>
          </w:p>
        </w:tc>
        <w:tc>
          <w:tcPr>
            <w:tcW w:w="20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i w:val="1"/>
                <w:iCs w:val="1"/>
                <w:color w:val="auto"/>
              </w:rPr>
              <w:t>4.14%</w:t>
            </w:r>
          </w:p>
        </w:tc>
        <w:tc>
          <w:tcPr>
            <w:tcW w:w="24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000" w:type="dxa"/>
            <w:vAlign w:val="bottom"/>
            <w:tcBorders>
              <w:right w:val="single" w:sz="8" w:color="EAF9E8"/>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980" w:type="dxa"/>
            <w:vAlign w:val="bottom"/>
            <w:tcBorders>
              <w:right w:val="single" w:sz="8" w:color="EAF9E8"/>
            </w:tcBorders>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i w:val="1"/>
                <w:iCs w:val="1"/>
                <w:color w:val="auto"/>
              </w:rPr>
              <w:t>4.14%</w:t>
            </w:r>
          </w:p>
        </w:tc>
        <w:tc>
          <w:tcPr>
            <w:tcW w:w="14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60"/>
              <w:spacing w:after="0" w:line="149" w:lineRule="exact"/>
              <w:rPr>
                <w:sz w:val="20"/>
                <w:szCs w:val="20"/>
                <w:color w:val="auto"/>
              </w:rPr>
            </w:pPr>
            <w:r>
              <w:rPr>
                <w:rFonts w:ascii="Arial" w:cs="Arial" w:eastAsia="Arial" w:hAnsi="Arial"/>
                <w:sz w:val="14"/>
                <w:szCs w:val="14"/>
                <w:color w:val="auto"/>
              </w:rPr>
              <w:t>Variable interest rate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255,691</w:t>
            </w:r>
          </w:p>
        </w:tc>
        <w:tc>
          <w:tcPr>
            <w:tcW w:w="20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255,691</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255,691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AF9E8"/>
          </w:tcPr>
          <w:p>
            <w:pPr>
              <w:ind w:left="140"/>
              <w:spacing w:after="0" w:line="149" w:lineRule="exact"/>
              <w:rPr>
                <w:sz w:val="20"/>
                <w:szCs w:val="20"/>
                <w:color w:val="auto"/>
              </w:rPr>
            </w:pPr>
            <w:r>
              <w:rPr>
                <w:rFonts w:ascii="Arial" w:cs="Arial" w:eastAsia="Arial" w:hAnsi="Arial"/>
                <w:sz w:val="14"/>
                <w:szCs w:val="14"/>
                <w:i w:val="1"/>
                <w:iCs w:val="1"/>
                <w:color w:val="auto"/>
              </w:rPr>
              <w:t>Average interest rate</w:t>
            </w:r>
          </w:p>
        </w:tc>
        <w:tc>
          <w:tcPr>
            <w:tcW w:w="1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980" w:type="dxa"/>
            <w:vAlign w:val="bottom"/>
            <w:tcBorders>
              <w:right w:val="single" w:sz="8" w:color="EAF9E8"/>
            </w:tcBorders>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i w:val="1"/>
                <w:iCs w:val="1"/>
                <w:color w:val="auto"/>
              </w:rPr>
              <w:t>2.12%</w:t>
            </w:r>
          </w:p>
        </w:tc>
        <w:tc>
          <w:tcPr>
            <w:tcW w:w="200" w:type="dxa"/>
            <w:vAlign w:val="bottom"/>
            <w:shd w:val="clear" w:color="auto" w:fill="EAF9E8"/>
          </w:tcPr>
          <w:p>
            <w:pPr>
              <w:spacing w:after="0"/>
              <w:rPr>
                <w:sz w:val="12"/>
                <w:szCs w:val="12"/>
                <w:color w:val="auto"/>
              </w:rPr>
            </w:pPr>
          </w:p>
        </w:tc>
        <w:tc>
          <w:tcPr>
            <w:tcW w:w="940" w:type="dxa"/>
            <w:vAlign w:val="bottom"/>
            <w:tcBorders>
              <w:right w:val="single" w:sz="8" w:color="EAF9E8"/>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000" w:type="dxa"/>
            <w:vAlign w:val="bottom"/>
            <w:tcBorders>
              <w:right w:val="single" w:sz="8" w:color="EAF9E8"/>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980" w:type="dxa"/>
            <w:vAlign w:val="bottom"/>
            <w:tcBorders>
              <w:right w:val="single" w:sz="8" w:color="EAF9E8"/>
            </w:tcBorders>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i w:val="1"/>
                <w:iCs w:val="1"/>
                <w:color w:val="auto"/>
              </w:rPr>
              <w:t>2.12%</w:t>
            </w:r>
          </w:p>
        </w:tc>
        <w:tc>
          <w:tcPr>
            <w:tcW w:w="14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rPr>
              <w:t>Lines of credit and other secured</w:t>
            </w:r>
          </w:p>
        </w:tc>
        <w:tc>
          <w:tcPr>
            <w:tcW w:w="12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740" w:type="dxa"/>
            <w:vAlign w:val="bottom"/>
            <w:shd w:val="clear" w:color="auto" w:fill="EAF9E8"/>
          </w:tcPr>
          <w:p>
            <w:pPr>
              <w:spacing w:after="0"/>
              <w:rPr>
                <w:sz w:val="11"/>
                <w:szCs w:val="11"/>
                <w:color w:val="auto"/>
              </w:rPr>
            </w:pPr>
          </w:p>
        </w:tc>
        <w:tc>
          <w:tcPr>
            <w:tcW w:w="240" w:type="dxa"/>
            <w:vAlign w:val="bottom"/>
            <w:tcBorders>
              <w:right w:val="single" w:sz="8" w:color="EAF9E8"/>
            </w:tcBorders>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240" w:type="dxa"/>
            <w:vAlign w:val="bottom"/>
            <w:tcBorders>
              <w:right w:val="single" w:sz="8" w:color="EAF9E8"/>
            </w:tcBorders>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66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760" w:type="dxa"/>
            <w:vAlign w:val="bottom"/>
            <w:shd w:val="clear" w:color="auto" w:fill="EAF9E8"/>
          </w:tcPr>
          <w:p>
            <w:pPr>
              <w:spacing w:after="0"/>
              <w:rPr>
                <w:sz w:val="11"/>
                <w:szCs w:val="11"/>
                <w:color w:val="auto"/>
              </w:rPr>
            </w:pPr>
          </w:p>
        </w:tc>
        <w:tc>
          <w:tcPr>
            <w:tcW w:w="240" w:type="dxa"/>
            <w:vAlign w:val="bottom"/>
            <w:tcBorders>
              <w:right w:val="single" w:sz="8" w:color="EAF9E8"/>
            </w:tcBorders>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760" w:type="dxa"/>
            <w:vAlign w:val="bottom"/>
            <w:shd w:val="clear" w:color="auto" w:fill="EAF9E8"/>
          </w:tcPr>
          <w:p>
            <w:pPr>
              <w:spacing w:after="0"/>
              <w:rPr>
                <w:sz w:val="11"/>
                <w:szCs w:val="11"/>
                <w:color w:val="auto"/>
              </w:rPr>
            </w:pPr>
          </w:p>
        </w:tc>
        <w:tc>
          <w:tcPr>
            <w:tcW w:w="220" w:type="dxa"/>
            <w:vAlign w:val="bottom"/>
            <w:tcBorders>
              <w:right w:val="single" w:sz="8" w:color="EAF9E8"/>
            </w:tcBorders>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7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EAF9E8"/>
          </w:tcPr>
          <w:p>
            <w:pPr>
              <w:ind w:left="60"/>
              <w:spacing w:after="0"/>
              <w:rPr>
                <w:sz w:val="20"/>
                <w:szCs w:val="20"/>
                <w:color w:val="auto"/>
              </w:rPr>
            </w:pPr>
            <w:r>
              <w:rPr>
                <w:rFonts w:ascii="Arial" w:cs="Arial" w:eastAsia="Arial" w:hAnsi="Arial"/>
                <w:sz w:val="14"/>
                <w:szCs w:val="14"/>
                <w:color w:val="auto"/>
              </w:rPr>
              <w:t>borrowings</w:t>
            </w:r>
          </w:p>
        </w:tc>
        <w:tc>
          <w:tcPr>
            <w:tcW w:w="120" w:type="dxa"/>
            <w:vAlign w:val="bottom"/>
            <w:shd w:val="clear" w:color="auto" w:fill="EAF9E8"/>
          </w:tcPr>
          <w:p>
            <w:pPr>
              <w:spacing w:after="0"/>
              <w:rPr>
                <w:sz w:val="14"/>
                <w:szCs w:val="14"/>
                <w:color w:val="auto"/>
              </w:rPr>
            </w:pPr>
          </w:p>
        </w:tc>
        <w:tc>
          <w:tcPr>
            <w:tcW w:w="200" w:type="dxa"/>
            <w:vAlign w:val="bottom"/>
            <w:shd w:val="clear" w:color="auto" w:fill="EAF9E8"/>
          </w:tcPr>
          <w:p>
            <w:pPr>
              <w:spacing w:after="0"/>
              <w:rPr>
                <w:sz w:val="14"/>
                <w:szCs w:val="14"/>
                <w:color w:val="auto"/>
              </w:rPr>
            </w:pPr>
          </w:p>
        </w:tc>
        <w:tc>
          <w:tcPr>
            <w:tcW w:w="980" w:type="dxa"/>
            <w:vAlign w:val="bottom"/>
            <w:tcBorders>
              <w:right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7,979</w:t>
            </w:r>
          </w:p>
        </w:tc>
        <w:tc>
          <w:tcPr>
            <w:tcW w:w="200" w:type="dxa"/>
            <w:vAlign w:val="bottom"/>
            <w:shd w:val="clear" w:color="auto" w:fill="EAF9E8"/>
          </w:tcPr>
          <w:p>
            <w:pPr>
              <w:spacing w:after="0"/>
              <w:rPr>
                <w:sz w:val="14"/>
                <w:szCs w:val="14"/>
                <w:color w:val="auto"/>
              </w:rPr>
            </w:pPr>
          </w:p>
        </w:tc>
        <w:tc>
          <w:tcPr>
            <w:tcW w:w="940" w:type="dxa"/>
            <w:vAlign w:val="bottom"/>
            <w:tcBorders>
              <w:right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8,785</w:t>
            </w:r>
          </w:p>
        </w:tc>
        <w:tc>
          <w:tcPr>
            <w:tcW w:w="180" w:type="dxa"/>
            <w:vAlign w:val="bottom"/>
            <w:shd w:val="clear" w:color="auto" w:fill="EAF9E8"/>
          </w:tcPr>
          <w:p>
            <w:pPr>
              <w:spacing w:after="0"/>
              <w:rPr>
                <w:sz w:val="14"/>
                <w:szCs w:val="14"/>
                <w:color w:val="auto"/>
              </w:rPr>
            </w:pPr>
          </w:p>
        </w:tc>
        <w:tc>
          <w:tcPr>
            <w:tcW w:w="9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9,672</w:t>
            </w:r>
          </w:p>
        </w:tc>
        <w:tc>
          <w:tcPr>
            <w:tcW w:w="200" w:type="dxa"/>
            <w:vAlign w:val="bottom"/>
            <w:shd w:val="clear" w:color="auto" w:fill="EAF9E8"/>
          </w:tcPr>
          <w:p>
            <w:pPr>
              <w:spacing w:after="0"/>
              <w:rPr>
                <w:sz w:val="14"/>
                <w:szCs w:val="14"/>
                <w:color w:val="auto"/>
              </w:rPr>
            </w:pPr>
          </w:p>
        </w:tc>
        <w:tc>
          <w:tcPr>
            <w:tcW w:w="9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10,649</w:t>
            </w:r>
          </w:p>
        </w:tc>
        <w:tc>
          <w:tcPr>
            <w:tcW w:w="240" w:type="dxa"/>
            <w:vAlign w:val="bottom"/>
            <w:shd w:val="clear" w:color="auto" w:fill="EAF9E8"/>
          </w:tcPr>
          <w:p>
            <w:pPr>
              <w:spacing w:after="0"/>
              <w:rPr>
                <w:sz w:val="14"/>
                <w:szCs w:val="14"/>
                <w:color w:val="auto"/>
              </w:rPr>
            </w:pP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18,725</w:t>
            </w:r>
          </w:p>
        </w:tc>
        <w:tc>
          <w:tcPr>
            <w:tcW w:w="140" w:type="dxa"/>
            <w:vAlign w:val="bottom"/>
            <w:shd w:val="clear" w:color="auto" w:fill="EAF9E8"/>
          </w:tcPr>
          <w:p>
            <w:pPr>
              <w:spacing w:after="0"/>
              <w:rPr>
                <w:sz w:val="14"/>
                <w:szCs w:val="14"/>
                <w:color w:val="auto"/>
              </w:rPr>
            </w:pPr>
          </w:p>
        </w:tc>
        <w:tc>
          <w:tcPr>
            <w:tcW w:w="1000" w:type="dxa"/>
            <w:vAlign w:val="bottom"/>
            <w:tcBorders>
              <w:right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4"/>
                <w:szCs w:val="14"/>
                <w:color w:val="auto"/>
              </w:rPr>
            </w:pPr>
          </w:p>
        </w:tc>
        <w:tc>
          <w:tcPr>
            <w:tcW w:w="980" w:type="dxa"/>
            <w:vAlign w:val="bottom"/>
            <w:tcBorders>
              <w:right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55,810</w:t>
            </w:r>
          </w:p>
        </w:tc>
        <w:tc>
          <w:tcPr>
            <w:tcW w:w="140" w:type="dxa"/>
            <w:vAlign w:val="bottom"/>
            <w:shd w:val="clear" w:color="auto" w:fill="EAF9E8"/>
          </w:tcPr>
          <w:p>
            <w:pPr>
              <w:spacing w:after="0"/>
              <w:rPr>
                <w:sz w:val="14"/>
                <w:szCs w:val="14"/>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56,220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40"/>
              <w:spacing w:after="0" w:line="149" w:lineRule="exact"/>
              <w:rPr>
                <w:sz w:val="20"/>
                <w:szCs w:val="20"/>
                <w:color w:val="auto"/>
              </w:rPr>
            </w:pPr>
            <w:r>
              <w:rPr>
                <w:rFonts w:ascii="Arial" w:cs="Arial" w:eastAsia="Arial" w:hAnsi="Arial"/>
                <w:sz w:val="14"/>
                <w:szCs w:val="14"/>
                <w:i w:val="1"/>
                <w:iCs w:val="1"/>
                <w:color w:val="auto"/>
              </w:rPr>
              <w:t>Average interest rate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10.10%</w:t>
            </w:r>
          </w:p>
        </w:tc>
        <w:tc>
          <w:tcPr>
            <w:tcW w:w="2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10.10%</w:t>
            </w:r>
          </w:p>
        </w:tc>
        <w:tc>
          <w:tcPr>
            <w:tcW w:w="1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i w:val="1"/>
                <w:iCs w:val="1"/>
                <w:color w:val="auto"/>
              </w:rPr>
              <w:t>10.10%</w:t>
            </w:r>
          </w:p>
        </w:tc>
        <w:tc>
          <w:tcPr>
            <w:tcW w:w="2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i w:val="1"/>
                <w:iCs w:val="1"/>
                <w:color w:val="auto"/>
              </w:rPr>
              <w:t>10.10%</w:t>
            </w:r>
          </w:p>
        </w:tc>
        <w:tc>
          <w:tcPr>
            <w:tcW w:w="2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7.72%</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i w:val="1"/>
                <w:iCs w:val="1"/>
                <w:color w:val="auto"/>
              </w:rPr>
              <w:t>9.30%</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Investment Line</w:t>
            </w:r>
          </w:p>
        </w:tc>
        <w:tc>
          <w:tcPr>
            <w:tcW w:w="1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980" w:type="dxa"/>
            <w:vAlign w:val="bottom"/>
            <w:tcBorders>
              <w:right w:val="single" w:sz="8" w:color="EAF9E8"/>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156,968</w:t>
            </w:r>
          </w:p>
        </w:tc>
        <w:tc>
          <w:tcPr>
            <w:tcW w:w="200" w:type="dxa"/>
            <w:vAlign w:val="bottom"/>
            <w:shd w:val="clear" w:color="auto" w:fill="EAF9E8"/>
          </w:tcPr>
          <w:p>
            <w:pPr>
              <w:spacing w:after="0"/>
              <w:rPr>
                <w:sz w:val="12"/>
                <w:szCs w:val="12"/>
                <w:color w:val="auto"/>
              </w:rPr>
            </w:pPr>
          </w:p>
        </w:tc>
        <w:tc>
          <w:tcPr>
            <w:tcW w:w="940" w:type="dxa"/>
            <w:vAlign w:val="bottom"/>
            <w:tcBorders>
              <w:right w:val="single" w:sz="8" w:color="EAF9E8"/>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000" w:type="dxa"/>
            <w:vAlign w:val="bottom"/>
            <w:tcBorders>
              <w:right w:val="single" w:sz="8" w:color="EAF9E8"/>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980" w:type="dxa"/>
            <w:vAlign w:val="bottom"/>
            <w:tcBorders>
              <w:right w:val="single" w:sz="8" w:color="EAF9E8"/>
            </w:tcBorders>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156,968</w:t>
            </w:r>
          </w:p>
        </w:tc>
        <w:tc>
          <w:tcPr>
            <w:tcW w:w="14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156,968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60"/>
              <w:spacing w:after="0" w:line="149" w:lineRule="exact"/>
              <w:rPr>
                <w:sz w:val="20"/>
                <w:szCs w:val="20"/>
                <w:color w:val="auto"/>
              </w:rPr>
            </w:pPr>
            <w:r>
              <w:rPr>
                <w:rFonts w:ascii="Arial" w:cs="Arial" w:eastAsia="Arial" w:hAnsi="Arial"/>
                <w:sz w:val="14"/>
                <w:szCs w:val="14"/>
                <w:i w:val="1"/>
                <w:iCs w:val="1"/>
                <w:color w:val="auto"/>
              </w:rPr>
              <w:t>Average interest rate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0.35%</w:t>
            </w:r>
          </w:p>
        </w:tc>
        <w:tc>
          <w:tcPr>
            <w:tcW w:w="20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i w:val="1"/>
                <w:iCs w:val="1"/>
                <w:color w:val="auto"/>
              </w:rPr>
              <w:t>0.35%</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Debt securities (3)</w:t>
            </w:r>
          </w:p>
        </w:tc>
        <w:tc>
          <w:tcPr>
            <w:tcW w:w="1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980" w:type="dxa"/>
            <w:vAlign w:val="bottom"/>
            <w:tcBorders>
              <w:right w:val="single" w:sz="8" w:color="EAF9E8"/>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AF9E8"/>
          </w:tcPr>
          <w:p>
            <w:pPr>
              <w:spacing w:after="0"/>
              <w:rPr>
                <w:sz w:val="12"/>
                <w:szCs w:val="12"/>
                <w:color w:val="auto"/>
              </w:rPr>
            </w:pPr>
          </w:p>
        </w:tc>
        <w:tc>
          <w:tcPr>
            <w:tcW w:w="940" w:type="dxa"/>
            <w:vAlign w:val="bottom"/>
            <w:tcBorders>
              <w:right w:val="single" w:sz="8" w:color="EAF9E8"/>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56,435</w:t>
            </w:r>
          </w:p>
        </w:tc>
        <w:tc>
          <w:tcPr>
            <w:tcW w:w="140" w:type="dxa"/>
            <w:vAlign w:val="bottom"/>
            <w:shd w:val="clear" w:color="auto" w:fill="EAF9E8"/>
          </w:tcPr>
          <w:p>
            <w:pPr>
              <w:spacing w:after="0"/>
              <w:rPr>
                <w:sz w:val="12"/>
                <w:szCs w:val="12"/>
                <w:color w:val="auto"/>
              </w:rPr>
            </w:pPr>
          </w:p>
        </w:tc>
        <w:tc>
          <w:tcPr>
            <w:tcW w:w="1000" w:type="dxa"/>
            <w:vAlign w:val="bottom"/>
            <w:tcBorders>
              <w:right w:val="single" w:sz="8" w:color="EAF9E8"/>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39,129</w:t>
            </w:r>
          </w:p>
        </w:tc>
        <w:tc>
          <w:tcPr>
            <w:tcW w:w="140" w:type="dxa"/>
            <w:vAlign w:val="bottom"/>
            <w:shd w:val="clear" w:color="auto" w:fill="EAF9E8"/>
          </w:tcPr>
          <w:p>
            <w:pPr>
              <w:spacing w:after="0"/>
              <w:rPr>
                <w:sz w:val="12"/>
                <w:szCs w:val="12"/>
                <w:color w:val="auto"/>
              </w:rPr>
            </w:pPr>
          </w:p>
        </w:tc>
        <w:tc>
          <w:tcPr>
            <w:tcW w:w="980" w:type="dxa"/>
            <w:vAlign w:val="bottom"/>
            <w:tcBorders>
              <w:right w:val="single" w:sz="8" w:color="EAF9E8"/>
            </w:tcBorders>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95,564</w:t>
            </w:r>
          </w:p>
        </w:tc>
        <w:tc>
          <w:tcPr>
            <w:tcW w:w="14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84,551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60"/>
              <w:spacing w:after="0" w:line="149" w:lineRule="exact"/>
              <w:rPr>
                <w:sz w:val="20"/>
                <w:szCs w:val="20"/>
                <w:color w:val="auto"/>
              </w:rPr>
            </w:pPr>
            <w:r>
              <w:rPr>
                <w:rFonts w:ascii="Arial" w:cs="Arial" w:eastAsia="Arial" w:hAnsi="Arial"/>
                <w:sz w:val="14"/>
                <w:szCs w:val="14"/>
                <w:i w:val="1"/>
                <w:iCs w:val="1"/>
                <w:color w:val="auto"/>
              </w:rPr>
              <w:t>Average interest rate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3.25%</w:t>
            </w:r>
          </w:p>
        </w:tc>
        <w:tc>
          <w:tcPr>
            <w:tcW w:w="14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10.88%</w:t>
            </w: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i w:val="1"/>
                <w:iCs w:val="1"/>
                <w:color w:val="auto"/>
              </w:rPr>
              <w:t>6.37%</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280" w:type="dxa"/>
            <w:vAlign w:val="bottom"/>
            <w:shd w:val="clear" w:color="auto" w:fill="EAF9E8"/>
          </w:tcPr>
          <w:p>
            <w:pPr>
              <w:ind w:left="60"/>
              <w:spacing w:after="0" w:line="149" w:lineRule="exact"/>
              <w:rPr>
                <w:sz w:val="20"/>
                <w:szCs w:val="20"/>
                <w:color w:val="auto"/>
              </w:rPr>
            </w:pPr>
            <w:r>
              <w:rPr>
                <w:rFonts w:ascii="Arial" w:cs="Arial" w:eastAsia="Arial" w:hAnsi="Arial"/>
                <w:sz w:val="14"/>
                <w:szCs w:val="14"/>
                <w:color w:val="auto"/>
              </w:rPr>
              <w:t>Total rate-sensitive liabilities</w:t>
            </w:r>
          </w:p>
        </w:tc>
        <w:tc>
          <w:tcPr>
            <w:tcW w:w="120" w:type="dxa"/>
            <w:vAlign w:val="bottom"/>
            <w:shd w:val="clear" w:color="auto" w:fill="EAF9E8"/>
          </w:tcPr>
          <w:p>
            <w:pPr>
              <w:spacing w:after="0"/>
              <w:rPr>
                <w:sz w:val="14"/>
                <w:szCs w:val="14"/>
                <w:color w:val="auto"/>
              </w:rPr>
            </w:pPr>
          </w:p>
        </w:tc>
        <w:tc>
          <w:tcPr>
            <w:tcW w:w="200" w:type="dxa"/>
            <w:vAlign w:val="bottom"/>
            <w:shd w:val="clear" w:color="auto" w:fill="EAF9E8"/>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420,638</w:t>
            </w:r>
          </w:p>
        </w:tc>
        <w:tc>
          <w:tcPr>
            <w:tcW w:w="240" w:type="dxa"/>
            <w:vAlign w:val="bottom"/>
            <w:tcBorders>
              <w:right w:val="single" w:sz="8" w:color="EAF9E8"/>
            </w:tcBorders>
            <w:shd w:val="clear" w:color="auto" w:fill="EAF9E8"/>
          </w:tcPr>
          <w:p>
            <w:pPr>
              <w:spacing w:after="0"/>
              <w:rPr>
                <w:sz w:val="14"/>
                <w:szCs w:val="14"/>
                <w:color w:val="auto"/>
              </w:rPr>
            </w:pPr>
          </w:p>
        </w:tc>
        <w:tc>
          <w:tcPr>
            <w:tcW w:w="200" w:type="dxa"/>
            <w:vAlign w:val="bottom"/>
            <w:shd w:val="clear" w:color="auto" w:fill="EAF9E8"/>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tcBorders>
              <w:right w:val="single" w:sz="8" w:color="EAF9E8"/>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8,785</w:t>
            </w:r>
          </w:p>
        </w:tc>
        <w:tc>
          <w:tcPr>
            <w:tcW w:w="180" w:type="dxa"/>
            <w:vAlign w:val="bottom"/>
            <w:shd w:val="clear" w:color="auto" w:fill="EAF9E8"/>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159,672</w:t>
            </w:r>
          </w:p>
        </w:tc>
        <w:tc>
          <w:tcPr>
            <w:tcW w:w="200" w:type="dxa"/>
            <w:vAlign w:val="bottom"/>
            <w:shd w:val="clear" w:color="auto" w:fill="EAF9E8"/>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70,649</w:t>
            </w:r>
          </w:p>
        </w:tc>
        <w:tc>
          <w:tcPr>
            <w:tcW w:w="240" w:type="dxa"/>
            <w:vAlign w:val="bottom"/>
            <w:shd w:val="clear" w:color="auto" w:fill="EAF9E8"/>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75,160</w:t>
            </w:r>
          </w:p>
        </w:tc>
        <w:tc>
          <w:tcPr>
            <w:tcW w:w="1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EAF9E8"/>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39,129</w:t>
            </w:r>
          </w:p>
        </w:tc>
        <w:tc>
          <w:tcPr>
            <w:tcW w:w="140" w:type="dxa"/>
            <w:vAlign w:val="bottom"/>
            <w:shd w:val="clear" w:color="auto" w:fill="EAF9E8"/>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EAF9E8"/>
            </w:tcBorders>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774,033</w:t>
            </w:r>
          </w:p>
        </w:tc>
        <w:tc>
          <w:tcPr>
            <w:tcW w:w="1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761,455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right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right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right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right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ind w:left="60"/>
              <w:spacing w:after="0" w:line="142" w:lineRule="exact"/>
              <w:rPr>
                <w:sz w:val="20"/>
                <w:szCs w:val="20"/>
                <w:color w:val="auto"/>
              </w:rPr>
            </w:pPr>
            <w:r>
              <w:rPr>
                <w:rFonts w:ascii="Arial" w:cs="Arial" w:eastAsia="Arial" w:hAnsi="Arial"/>
                <w:sz w:val="14"/>
                <w:szCs w:val="14"/>
                <w:i w:val="1"/>
                <w:iCs w:val="1"/>
                <w:color w:val="auto"/>
              </w:rPr>
              <w:t>Percent of total</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120"/>
              <w:spacing w:after="0" w:line="142" w:lineRule="exact"/>
              <w:rPr>
                <w:sz w:val="20"/>
                <w:szCs w:val="20"/>
                <w:color w:val="auto"/>
              </w:rPr>
            </w:pPr>
            <w:r>
              <w:rPr>
                <w:rFonts w:ascii="Arial" w:cs="Arial" w:eastAsia="Arial" w:hAnsi="Arial"/>
                <w:sz w:val="14"/>
                <w:szCs w:val="14"/>
                <w:i w:val="1"/>
                <w:iCs w:val="1"/>
                <w:color w:val="auto"/>
              </w:rPr>
              <w:t>54.34%</w:t>
            </w:r>
          </w:p>
        </w:tc>
        <w:tc>
          <w:tcPr>
            <w:tcW w:w="200" w:type="dxa"/>
            <w:vAlign w:val="bottom"/>
          </w:tcPr>
          <w:p>
            <w:pPr>
              <w:spacing w:after="0"/>
              <w:rPr>
                <w:sz w:val="12"/>
                <w:szCs w:val="12"/>
                <w:color w:val="auto"/>
              </w:rPr>
            </w:pPr>
          </w:p>
        </w:tc>
        <w:tc>
          <w:tcPr>
            <w:tcW w:w="940" w:type="dxa"/>
            <w:vAlign w:val="bottom"/>
            <w:gridSpan w:val="2"/>
          </w:tcPr>
          <w:p>
            <w:pPr>
              <w:jc w:val="right"/>
              <w:ind w:right="120"/>
              <w:spacing w:after="0" w:line="142" w:lineRule="exact"/>
              <w:rPr>
                <w:sz w:val="20"/>
                <w:szCs w:val="20"/>
                <w:color w:val="auto"/>
              </w:rPr>
            </w:pPr>
            <w:r>
              <w:rPr>
                <w:rFonts w:ascii="Arial" w:cs="Arial" w:eastAsia="Arial" w:hAnsi="Arial"/>
                <w:sz w:val="14"/>
                <w:szCs w:val="14"/>
                <w:i w:val="1"/>
                <w:iCs w:val="1"/>
                <w:color w:val="auto"/>
              </w:rPr>
              <w:t>1.13%</w:t>
            </w:r>
          </w:p>
        </w:tc>
        <w:tc>
          <w:tcPr>
            <w:tcW w:w="180" w:type="dxa"/>
            <w:vAlign w:val="bottom"/>
          </w:tcPr>
          <w:p>
            <w:pPr>
              <w:spacing w:after="0"/>
              <w:rPr>
                <w:sz w:val="12"/>
                <w:szCs w:val="12"/>
                <w:color w:val="auto"/>
              </w:rPr>
            </w:pPr>
          </w:p>
        </w:tc>
        <w:tc>
          <w:tcPr>
            <w:tcW w:w="940" w:type="dxa"/>
            <w:vAlign w:val="bottom"/>
            <w:gridSpan w:val="2"/>
          </w:tcPr>
          <w:p>
            <w:pPr>
              <w:jc w:val="right"/>
              <w:ind w:right="100"/>
              <w:spacing w:after="0" w:line="142" w:lineRule="exact"/>
              <w:rPr>
                <w:sz w:val="20"/>
                <w:szCs w:val="20"/>
                <w:color w:val="auto"/>
              </w:rPr>
            </w:pPr>
            <w:r>
              <w:rPr>
                <w:rFonts w:ascii="Arial" w:cs="Arial" w:eastAsia="Arial" w:hAnsi="Arial"/>
                <w:sz w:val="14"/>
                <w:szCs w:val="14"/>
                <w:i w:val="1"/>
                <w:iCs w:val="1"/>
                <w:color w:val="auto"/>
              </w:rPr>
              <w:t>20.63%</w:t>
            </w:r>
          </w:p>
        </w:tc>
        <w:tc>
          <w:tcPr>
            <w:tcW w:w="200" w:type="dxa"/>
            <w:vAlign w:val="bottom"/>
          </w:tcPr>
          <w:p>
            <w:pPr>
              <w:spacing w:after="0"/>
              <w:rPr>
                <w:sz w:val="12"/>
                <w:szCs w:val="12"/>
                <w:color w:val="auto"/>
              </w:rPr>
            </w:pPr>
          </w:p>
        </w:tc>
        <w:tc>
          <w:tcPr>
            <w:tcW w:w="940" w:type="dxa"/>
            <w:vAlign w:val="bottom"/>
            <w:gridSpan w:val="2"/>
          </w:tcPr>
          <w:p>
            <w:pPr>
              <w:jc w:val="right"/>
              <w:ind w:right="100"/>
              <w:spacing w:after="0" w:line="142" w:lineRule="exact"/>
              <w:rPr>
                <w:sz w:val="20"/>
                <w:szCs w:val="20"/>
                <w:color w:val="auto"/>
              </w:rPr>
            </w:pPr>
            <w:r>
              <w:rPr>
                <w:rFonts w:ascii="Arial" w:cs="Arial" w:eastAsia="Arial" w:hAnsi="Arial"/>
                <w:sz w:val="14"/>
                <w:szCs w:val="14"/>
                <w:i w:val="1"/>
                <w:iCs w:val="1"/>
                <w:color w:val="auto"/>
              </w:rPr>
              <w:t>9.13%</w:t>
            </w:r>
          </w:p>
        </w:tc>
        <w:tc>
          <w:tcPr>
            <w:tcW w:w="240" w:type="dxa"/>
            <w:vAlign w:val="bottom"/>
          </w:tcPr>
          <w:p>
            <w:pPr>
              <w:spacing w:after="0"/>
              <w:rPr>
                <w:sz w:val="12"/>
                <w:szCs w:val="12"/>
                <w:color w:val="auto"/>
              </w:rPr>
            </w:pPr>
          </w:p>
        </w:tc>
        <w:tc>
          <w:tcPr>
            <w:tcW w:w="900" w:type="dxa"/>
            <w:vAlign w:val="bottom"/>
            <w:gridSpan w:val="2"/>
          </w:tcPr>
          <w:p>
            <w:pPr>
              <w:jc w:val="right"/>
              <w:ind w:right="120"/>
              <w:spacing w:after="0" w:line="142" w:lineRule="exact"/>
              <w:rPr>
                <w:sz w:val="20"/>
                <w:szCs w:val="20"/>
                <w:color w:val="auto"/>
              </w:rPr>
            </w:pPr>
            <w:r>
              <w:rPr>
                <w:rFonts w:ascii="Arial" w:cs="Arial" w:eastAsia="Arial" w:hAnsi="Arial"/>
                <w:sz w:val="14"/>
                <w:szCs w:val="14"/>
                <w:i w:val="1"/>
                <w:iCs w:val="1"/>
                <w:color w:val="auto"/>
              </w:rPr>
              <w:t>9.71%</w:t>
            </w:r>
          </w:p>
        </w:tc>
        <w:tc>
          <w:tcPr>
            <w:tcW w:w="140" w:type="dxa"/>
            <w:vAlign w:val="bottom"/>
          </w:tcPr>
          <w:p>
            <w:pPr>
              <w:spacing w:after="0"/>
              <w:rPr>
                <w:sz w:val="12"/>
                <w:szCs w:val="12"/>
                <w:color w:val="auto"/>
              </w:rPr>
            </w:pPr>
          </w:p>
        </w:tc>
        <w:tc>
          <w:tcPr>
            <w:tcW w:w="1000" w:type="dxa"/>
            <w:vAlign w:val="bottom"/>
            <w:gridSpan w:val="2"/>
          </w:tcPr>
          <w:p>
            <w:pPr>
              <w:jc w:val="right"/>
              <w:ind w:right="120"/>
              <w:spacing w:after="0" w:line="142" w:lineRule="exact"/>
              <w:rPr>
                <w:sz w:val="20"/>
                <w:szCs w:val="20"/>
                <w:color w:val="auto"/>
              </w:rPr>
            </w:pPr>
            <w:r>
              <w:rPr>
                <w:rFonts w:ascii="Arial" w:cs="Arial" w:eastAsia="Arial" w:hAnsi="Arial"/>
                <w:sz w:val="14"/>
                <w:szCs w:val="14"/>
                <w:i w:val="1"/>
                <w:iCs w:val="1"/>
                <w:color w:val="auto"/>
              </w:rPr>
              <w:t>5.06%</w:t>
            </w: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2" w:lineRule="exact"/>
              <w:rPr>
                <w:sz w:val="20"/>
                <w:szCs w:val="20"/>
                <w:color w:val="auto"/>
              </w:rPr>
            </w:pPr>
            <w:r>
              <w:rPr>
                <w:rFonts w:ascii="Arial" w:cs="Arial" w:eastAsia="Arial" w:hAnsi="Arial"/>
                <w:sz w:val="14"/>
                <w:szCs w:val="14"/>
                <w:i w:val="1"/>
                <w:iCs w:val="1"/>
                <w:color w:val="auto"/>
              </w:rPr>
              <w:t>100.00%</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740" w:type="dxa"/>
            <w:vAlign w:val="bottom"/>
            <w:shd w:val="clear" w:color="auto" w:fill="EAF9E8"/>
          </w:tcPr>
          <w:p>
            <w:pPr>
              <w:spacing w:after="0"/>
              <w:rPr>
                <w:sz w:val="12"/>
                <w:szCs w:val="12"/>
                <w:color w:val="auto"/>
              </w:rPr>
            </w:pPr>
          </w:p>
        </w:tc>
        <w:tc>
          <w:tcPr>
            <w:tcW w:w="240" w:type="dxa"/>
            <w:vAlign w:val="bottom"/>
            <w:tcBorders>
              <w:right w:val="single" w:sz="8" w:color="EAF9E8"/>
            </w:tcBorders>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240" w:type="dxa"/>
            <w:vAlign w:val="bottom"/>
            <w:tcBorders>
              <w:right w:val="single" w:sz="8" w:color="EAF9E8"/>
            </w:tcBorders>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66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60" w:type="dxa"/>
            <w:vAlign w:val="bottom"/>
            <w:shd w:val="clear" w:color="auto" w:fill="EAF9E8"/>
          </w:tcPr>
          <w:p>
            <w:pPr>
              <w:spacing w:after="0"/>
              <w:rPr>
                <w:sz w:val="12"/>
                <w:szCs w:val="12"/>
                <w:color w:val="auto"/>
              </w:rPr>
            </w:pPr>
          </w:p>
        </w:tc>
        <w:tc>
          <w:tcPr>
            <w:tcW w:w="240" w:type="dxa"/>
            <w:vAlign w:val="bottom"/>
            <w:tcBorders>
              <w:right w:val="single" w:sz="8" w:color="EAF9E8"/>
            </w:tcBorders>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60" w:type="dxa"/>
            <w:vAlign w:val="bottom"/>
            <w:shd w:val="clear" w:color="auto" w:fill="EAF9E8"/>
          </w:tcPr>
          <w:p>
            <w:pPr>
              <w:spacing w:after="0"/>
              <w:rPr>
                <w:sz w:val="12"/>
                <w:szCs w:val="12"/>
                <w:color w:val="auto"/>
              </w:rPr>
            </w:pPr>
          </w:p>
        </w:tc>
        <w:tc>
          <w:tcPr>
            <w:tcW w:w="220" w:type="dxa"/>
            <w:vAlign w:val="bottom"/>
            <w:tcBorders>
              <w:right w:val="single" w:sz="8" w:color="EAF9E8"/>
            </w:tcBorders>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280" w:type="dxa"/>
            <w:vAlign w:val="bottom"/>
          </w:tcPr>
          <w:p>
            <w:pPr>
              <w:spacing w:after="0" w:line="126" w:lineRule="exact"/>
              <w:rPr>
                <w:sz w:val="20"/>
                <w:szCs w:val="20"/>
                <w:color w:val="auto"/>
              </w:rPr>
            </w:pPr>
            <w:r>
              <w:rPr>
                <w:rFonts w:ascii="Arial" w:cs="Arial" w:eastAsia="Arial" w:hAnsi="Arial"/>
                <w:sz w:val="14"/>
                <w:szCs w:val="14"/>
                <w:b w:val="1"/>
                <w:bCs w:val="1"/>
                <w:color w:val="auto"/>
                <w:w w:val="97"/>
              </w:rPr>
              <w:t>Rate-Sensitive Derivative Financial</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ind w:left="60"/>
              <w:spacing w:after="0"/>
              <w:rPr>
                <w:sz w:val="20"/>
                <w:szCs w:val="20"/>
                <w:color w:val="auto"/>
              </w:rPr>
            </w:pPr>
            <w:r>
              <w:rPr>
                <w:rFonts w:ascii="Arial" w:cs="Arial" w:eastAsia="Arial" w:hAnsi="Arial"/>
                <w:sz w:val="14"/>
                <w:szCs w:val="14"/>
                <w:b w:val="1"/>
                <w:bCs w:val="1"/>
                <w:color w:val="auto"/>
              </w:rPr>
              <w:t>Instruments: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Interest rate caps:</w:t>
            </w:r>
          </w:p>
        </w:tc>
        <w:tc>
          <w:tcPr>
            <w:tcW w:w="1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740" w:type="dxa"/>
            <w:vAlign w:val="bottom"/>
            <w:shd w:val="clear" w:color="auto" w:fill="EAF9E8"/>
          </w:tcPr>
          <w:p>
            <w:pPr>
              <w:spacing w:after="0"/>
              <w:rPr>
                <w:sz w:val="12"/>
                <w:szCs w:val="12"/>
                <w:color w:val="auto"/>
              </w:rPr>
            </w:pPr>
          </w:p>
        </w:tc>
        <w:tc>
          <w:tcPr>
            <w:tcW w:w="240" w:type="dxa"/>
            <w:vAlign w:val="bottom"/>
            <w:tcBorders>
              <w:right w:val="single" w:sz="8" w:color="EAF9E8"/>
            </w:tcBorders>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240" w:type="dxa"/>
            <w:vAlign w:val="bottom"/>
            <w:tcBorders>
              <w:right w:val="single" w:sz="8" w:color="EAF9E8"/>
            </w:tcBorders>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66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60" w:type="dxa"/>
            <w:vAlign w:val="bottom"/>
            <w:shd w:val="clear" w:color="auto" w:fill="EAF9E8"/>
          </w:tcPr>
          <w:p>
            <w:pPr>
              <w:spacing w:after="0"/>
              <w:rPr>
                <w:sz w:val="12"/>
                <w:szCs w:val="12"/>
                <w:color w:val="auto"/>
              </w:rPr>
            </w:pPr>
          </w:p>
        </w:tc>
        <w:tc>
          <w:tcPr>
            <w:tcW w:w="240" w:type="dxa"/>
            <w:vAlign w:val="bottom"/>
            <w:tcBorders>
              <w:right w:val="single" w:sz="8" w:color="EAF9E8"/>
            </w:tcBorders>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60" w:type="dxa"/>
            <w:vAlign w:val="bottom"/>
            <w:shd w:val="clear" w:color="auto" w:fill="EAF9E8"/>
          </w:tcPr>
          <w:p>
            <w:pPr>
              <w:spacing w:after="0"/>
              <w:rPr>
                <w:sz w:val="12"/>
                <w:szCs w:val="12"/>
                <w:color w:val="auto"/>
              </w:rPr>
            </w:pPr>
          </w:p>
        </w:tc>
        <w:tc>
          <w:tcPr>
            <w:tcW w:w="220" w:type="dxa"/>
            <w:vAlign w:val="bottom"/>
            <w:tcBorders>
              <w:right w:val="single" w:sz="8" w:color="EAF9E8"/>
            </w:tcBorders>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60"/>
              <w:spacing w:after="0" w:line="149" w:lineRule="exact"/>
              <w:rPr>
                <w:sz w:val="20"/>
                <w:szCs w:val="20"/>
                <w:color w:val="auto"/>
              </w:rPr>
            </w:pPr>
            <w:r>
              <w:rPr>
                <w:rFonts w:ascii="Arial" w:cs="Arial" w:eastAsia="Arial" w:hAnsi="Arial"/>
                <w:sz w:val="14"/>
                <w:szCs w:val="14"/>
                <w:color w:val="auto"/>
              </w:rPr>
              <w:t>Outstanding notional</w:t>
            </w:r>
          </w:p>
        </w:tc>
        <w:tc>
          <w:tcPr>
            <w:tcW w:w="3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99,996</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91,665</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83,328</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83,344</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358,333</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shd w:val="clear" w:color="auto" w:fill="EAF9E8"/>
          </w:tcPr>
          <w:p>
            <w:pPr>
              <w:ind w:left="60"/>
              <w:spacing w:after="0" w:line="142" w:lineRule="exact"/>
              <w:rPr>
                <w:sz w:val="20"/>
                <w:szCs w:val="20"/>
                <w:color w:val="auto"/>
              </w:rPr>
            </w:pPr>
            <w:r>
              <w:rPr>
                <w:rFonts w:ascii="Arial" w:cs="Arial" w:eastAsia="Arial" w:hAnsi="Arial"/>
                <w:sz w:val="14"/>
                <w:szCs w:val="14"/>
                <w:color w:val="auto"/>
              </w:rPr>
              <w:t>Average strike rate (5)</w:t>
            </w:r>
          </w:p>
        </w:tc>
        <w:tc>
          <w:tcPr>
            <w:tcW w:w="1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980" w:type="dxa"/>
            <w:vAlign w:val="bottom"/>
            <w:tcBorders>
              <w:right w:val="single" w:sz="8" w:color="EAF9E8"/>
            </w:tcBorders>
            <w:gridSpan w:val="2"/>
            <w:shd w:val="clear" w:color="auto" w:fill="EAF9E8"/>
          </w:tcPr>
          <w:p>
            <w:pPr>
              <w:jc w:val="right"/>
              <w:ind w:right="120"/>
              <w:spacing w:after="0" w:line="142" w:lineRule="exact"/>
              <w:rPr>
                <w:sz w:val="20"/>
                <w:szCs w:val="20"/>
                <w:color w:val="auto"/>
              </w:rPr>
            </w:pPr>
            <w:r>
              <w:rPr>
                <w:rFonts w:ascii="Arial" w:cs="Arial" w:eastAsia="Arial" w:hAnsi="Arial"/>
                <w:sz w:val="14"/>
                <w:szCs w:val="14"/>
                <w:i w:val="1"/>
                <w:iCs w:val="1"/>
                <w:color w:val="auto"/>
              </w:rPr>
              <w:t>6.50%</w:t>
            </w:r>
          </w:p>
        </w:tc>
        <w:tc>
          <w:tcPr>
            <w:tcW w:w="200" w:type="dxa"/>
            <w:vAlign w:val="bottom"/>
            <w:shd w:val="clear" w:color="auto" w:fill="EAF9E8"/>
          </w:tcPr>
          <w:p>
            <w:pPr>
              <w:spacing w:after="0"/>
              <w:rPr>
                <w:sz w:val="12"/>
                <w:szCs w:val="12"/>
                <w:color w:val="auto"/>
              </w:rPr>
            </w:pPr>
          </w:p>
        </w:tc>
        <w:tc>
          <w:tcPr>
            <w:tcW w:w="940" w:type="dxa"/>
            <w:vAlign w:val="bottom"/>
            <w:tcBorders>
              <w:right w:val="single" w:sz="8" w:color="EAF9E8"/>
            </w:tcBorders>
            <w:gridSpan w:val="2"/>
            <w:shd w:val="clear" w:color="auto" w:fill="EAF9E8"/>
          </w:tcPr>
          <w:p>
            <w:pPr>
              <w:jc w:val="right"/>
              <w:ind w:right="120"/>
              <w:spacing w:after="0" w:line="142" w:lineRule="exact"/>
              <w:rPr>
                <w:sz w:val="20"/>
                <w:szCs w:val="20"/>
                <w:color w:val="auto"/>
              </w:rPr>
            </w:pPr>
            <w:r>
              <w:rPr>
                <w:rFonts w:ascii="Arial" w:cs="Arial" w:eastAsia="Arial" w:hAnsi="Arial"/>
                <w:sz w:val="14"/>
                <w:szCs w:val="14"/>
                <w:i w:val="1"/>
                <w:iCs w:val="1"/>
                <w:color w:val="auto"/>
              </w:rPr>
              <w:t>6.50%</w:t>
            </w:r>
          </w:p>
        </w:tc>
        <w:tc>
          <w:tcPr>
            <w:tcW w:w="18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100"/>
              <w:spacing w:after="0" w:line="142" w:lineRule="exact"/>
              <w:rPr>
                <w:sz w:val="20"/>
                <w:szCs w:val="20"/>
                <w:color w:val="auto"/>
              </w:rPr>
            </w:pPr>
            <w:r>
              <w:rPr>
                <w:rFonts w:ascii="Arial" w:cs="Arial" w:eastAsia="Arial" w:hAnsi="Arial"/>
                <w:sz w:val="14"/>
                <w:szCs w:val="14"/>
                <w:i w:val="1"/>
                <w:iCs w:val="1"/>
                <w:color w:val="auto"/>
              </w:rPr>
              <w:t>6.50%</w:t>
            </w:r>
          </w:p>
        </w:tc>
        <w:tc>
          <w:tcPr>
            <w:tcW w:w="20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100"/>
              <w:spacing w:after="0" w:line="142" w:lineRule="exact"/>
              <w:rPr>
                <w:sz w:val="20"/>
                <w:szCs w:val="20"/>
                <w:color w:val="auto"/>
              </w:rPr>
            </w:pPr>
            <w:r>
              <w:rPr>
                <w:rFonts w:ascii="Arial" w:cs="Arial" w:eastAsia="Arial" w:hAnsi="Arial"/>
                <w:sz w:val="14"/>
                <w:szCs w:val="14"/>
                <w:i w:val="1"/>
                <w:iCs w:val="1"/>
                <w:color w:val="auto"/>
              </w:rPr>
              <w:t>6.50%</w:t>
            </w:r>
          </w:p>
        </w:tc>
        <w:tc>
          <w:tcPr>
            <w:tcW w:w="24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240"/>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000" w:type="dxa"/>
            <w:vAlign w:val="bottom"/>
            <w:tcBorders>
              <w:right w:val="single" w:sz="8" w:color="EAF9E8"/>
            </w:tcBorders>
            <w:gridSpan w:val="2"/>
            <w:shd w:val="clear" w:color="auto" w:fill="EAF9E8"/>
          </w:tcPr>
          <w:p>
            <w:pPr>
              <w:jc w:val="right"/>
              <w:ind w:right="240"/>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980" w:type="dxa"/>
            <w:vAlign w:val="bottom"/>
            <w:tcBorders>
              <w:right w:val="single" w:sz="8" w:color="EAF9E8"/>
            </w:tcBorders>
            <w:gridSpan w:val="2"/>
            <w:shd w:val="clear" w:color="auto" w:fill="EAF9E8"/>
          </w:tcPr>
          <w:p>
            <w:pPr>
              <w:jc w:val="right"/>
              <w:ind w:right="100"/>
              <w:spacing w:after="0" w:line="142" w:lineRule="exact"/>
              <w:rPr>
                <w:sz w:val="20"/>
                <w:szCs w:val="20"/>
                <w:color w:val="auto"/>
              </w:rPr>
            </w:pPr>
            <w:r>
              <w:rPr>
                <w:rFonts w:ascii="Arial" w:cs="Arial" w:eastAsia="Arial" w:hAnsi="Arial"/>
                <w:sz w:val="14"/>
                <w:szCs w:val="14"/>
                <w:i w:val="1"/>
                <w:iCs w:val="1"/>
                <w:color w:val="auto"/>
              </w:rPr>
              <w:t>6.50%</w:t>
            </w:r>
          </w:p>
        </w:tc>
        <w:tc>
          <w:tcPr>
            <w:tcW w:w="14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280" w:type="dxa"/>
            <w:vAlign w:val="bottom"/>
          </w:tcPr>
          <w:p>
            <w:pPr>
              <w:ind w:left="60"/>
              <w:spacing w:after="0"/>
              <w:rPr>
                <w:sz w:val="20"/>
                <w:szCs w:val="20"/>
                <w:color w:val="auto"/>
              </w:rPr>
            </w:pPr>
            <w:r>
              <w:rPr>
                <w:rFonts w:ascii="Arial" w:cs="Arial" w:eastAsia="Arial" w:hAnsi="Arial"/>
                <w:sz w:val="14"/>
                <w:szCs w:val="14"/>
                <w:color w:val="auto"/>
              </w:rPr>
              <w:t>Forward LIBOR curve (5)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1.49%</w:t>
            </w: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2.88%</w:t>
            </w:r>
          </w:p>
        </w:tc>
        <w:tc>
          <w:tcPr>
            <w:tcW w:w="1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3.86%</w:t>
            </w: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4.32%</w:t>
            </w:r>
          </w:p>
        </w:tc>
        <w:tc>
          <w:tcPr>
            <w:tcW w:w="2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80" w:hanging="57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See Note 3 to our Consolidated Financial Statements for additional fair value information for financial instruments.</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Net of market valuation allowances and including non-performing loans.</w:t>
      </w:r>
    </w:p>
    <w:p>
      <w:pPr>
        <w:spacing w:after="0" w:line="225" w:lineRule="exact"/>
        <w:rPr>
          <w:rFonts w:ascii="Arial" w:cs="Arial" w:eastAsia="Arial" w:hAnsi="Arial"/>
          <w:sz w:val="18"/>
          <w:szCs w:val="18"/>
          <w:color w:val="auto"/>
        </w:rPr>
      </w:pPr>
    </w:p>
    <w:p>
      <w:pPr>
        <w:ind w:left="580" w:right="140" w:hanging="572"/>
        <w:spacing w:after="0" w:line="264"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Convertible Notes mature on August 1, 2024. However, the tables above reflect an expected maturity date of August 1, 2014 because holders may require that we repurchase all or a portion of their notes for cash on that date. See Note 18 our Consolidated Financial Statements for additional information regarding the terms of the Convertible Notes.</w:t>
      </w:r>
    </w:p>
    <w:p>
      <w:pPr>
        <w:spacing w:after="0" w:line="181" w:lineRule="exact"/>
        <w:rPr>
          <w:rFonts w:ascii="Arial" w:cs="Arial" w:eastAsia="Arial" w:hAnsi="Arial"/>
          <w:sz w:val="18"/>
          <w:szCs w:val="18"/>
          <w:color w:val="auto"/>
        </w:rPr>
      </w:pPr>
    </w:p>
    <w:p>
      <w:pPr>
        <w:ind w:left="580" w:right="220" w:hanging="572"/>
        <w:spacing w:after="0" w:line="308" w:lineRule="auto"/>
        <w:tabs>
          <w:tab w:leader="none" w:pos="5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Represents two interest rate swaps entered into to hedge our exposure to rising interest rates on two match funded liabilities. The average fixed rate presented is the weighted average rate being paid to the counterparties. Ocwen receives interest based on 1-Month LIBOR.</w:t>
      </w:r>
    </w:p>
    <w:p>
      <w:pPr>
        <w:spacing w:after="0" w:line="146" w:lineRule="exact"/>
        <w:rPr>
          <w:rFonts w:ascii="Arial" w:cs="Arial" w:eastAsia="Arial" w:hAnsi="Arial"/>
          <w:sz w:val="17"/>
          <w:szCs w:val="17"/>
          <w:color w:val="auto"/>
        </w:rPr>
      </w:pPr>
    </w:p>
    <w:p>
      <w:pPr>
        <w:ind w:left="580" w:right="100" w:hanging="572"/>
        <w:spacing w:after="0" w:line="264"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two interest rate caps purchased to hedge our exposure to rising interest rates on two match funded liabilities. The average interest rate presented is the weighted-average cap rate for these instruments. The strike rate is 1-month LIBOR. One cap began amortizing in February 2009. We terminated these caps in December 2010.</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54" w:name="page55"/>
    <w:bookmarkEnd w:id="54"/>
    <w:p>
      <w:pPr>
        <w:ind w:right="80" w:firstLine="744"/>
        <w:spacing w:after="0" w:line="273" w:lineRule="auto"/>
        <w:rPr>
          <w:sz w:val="20"/>
          <w:szCs w:val="20"/>
          <w:color w:val="auto"/>
        </w:rPr>
      </w:pPr>
      <w:r>
        <w:rPr>
          <w:rFonts w:ascii="Arial" w:cs="Arial" w:eastAsia="Arial" w:hAnsi="Arial"/>
          <w:sz w:val="17"/>
          <w:szCs w:val="17"/>
          <w:color w:val="auto"/>
        </w:rPr>
        <w:t>We exclude Loans – restricted for securitization investors and Secured borrowings – owed to securitization investors from the analysis of rate-sensitive asset and liabilities, above. The interest rate sensitive assets and liabilities of the consolidated trusts do not represent an interest rate risk for Ocwen. Ocwen has no obligation to provide financial support to the trusts. The creditors of the trusts can look only to the assets of the trusts themselves for satisfaction of the debt and have no recourse against the assets of Ocwen. Similarly, the general creditors of Ocwen have no claim on the assets of the trusts. Our exposure to loss is limited to the carrying values of our inv estments in the residual and subordinate securities of the trusts. See Note 1 our Consolidated Financial Statements—Securitizations of Residential Mortgage Loans for additional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firstLine="744"/>
        <w:spacing w:after="0" w:line="276" w:lineRule="auto"/>
        <w:rPr>
          <w:sz w:val="20"/>
          <w:szCs w:val="20"/>
          <w:color w:val="auto"/>
        </w:rPr>
      </w:pPr>
      <w:r>
        <w:rPr>
          <w:rFonts w:ascii="Arial" w:cs="Arial" w:eastAsia="Arial" w:hAnsi="Arial"/>
          <w:sz w:val="17"/>
          <w:szCs w:val="17"/>
          <w:color w:val="auto"/>
        </w:rPr>
        <w:t>We are exposed to foreign currency exchange rate risk in connection with our investment in non-U.S. dollar functional currency operations to the extent that our foreign exchange positions remain unhedged. Our operations in Uruguay and India expose us to foreign currency exchange rate risk, but we do not consider this risk significant. During the second quarter of 2010, we entered into foreign exchange forward contracts to hedge against the effect of changes in the value of the India Rupee on recurring amounts payable to our subsidiary in India, OFSPL, for services rendered to U.S. affiliates. The notional balance of these contracts was $10,100 at December 31, 2010. We did not designate these contracts as hedges.</w:t>
      </w:r>
    </w:p>
    <w:p>
      <w:pPr>
        <w:spacing w:after="0" w:line="16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ind w:right="420" w:firstLine="744"/>
        <w:spacing w:after="0" w:line="277" w:lineRule="auto"/>
        <w:rPr>
          <w:sz w:val="20"/>
          <w:szCs w:val="20"/>
          <w:color w:val="auto"/>
        </w:rPr>
      </w:pPr>
      <w:r>
        <w:rPr>
          <w:rFonts w:ascii="Arial" w:cs="Arial" w:eastAsia="Arial" w:hAnsi="Arial"/>
          <w:sz w:val="18"/>
          <w:szCs w:val="18"/>
          <w:color w:val="auto"/>
        </w:rPr>
        <w:t>The information required by this section is contained in the Consolidated Financial Statements of Ocwen Financial Corporation and Report of Deloitte &amp; Touche LLP, Independent Registered Certified Public Accounting Firm, beginning on Page F-1.</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right="80" w:firstLine="747"/>
        <w:spacing w:after="0" w:line="302" w:lineRule="auto"/>
        <w:rPr>
          <w:sz w:val="20"/>
          <w:szCs w:val="20"/>
          <w:color w:val="auto"/>
        </w:rPr>
      </w:pPr>
      <w:r>
        <w:rPr>
          <w:rFonts w:ascii="Arial" w:cs="Arial" w:eastAsia="Arial" w:hAnsi="Arial"/>
          <w:sz w:val="16"/>
          <w:szCs w:val="16"/>
          <w:color w:val="auto"/>
        </w:rPr>
        <w:t>Our management, under the supervision of and with the participation of our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Annual Report. Based on such evaluation, our Chief Executive Officer and Chief Financial Officer have concluded that, as of the end of such period, our disclosure controls and procedures are effective.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560" w:firstLine="747"/>
        <w:spacing w:after="0" w:line="27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that term is defined in Exchange Act Rules 13a-15(f) and 15d-15(f).</w:t>
      </w:r>
    </w:p>
    <w:p>
      <w:pPr>
        <w:spacing w:after="0" w:line="170" w:lineRule="exact"/>
        <w:rPr>
          <w:sz w:val="20"/>
          <w:szCs w:val="20"/>
          <w:color w:val="auto"/>
        </w:rPr>
      </w:pPr>
    </w:p>
    <w:p>
      <w:pPr>
        <w:ind w:firstLine="747"/>
        <w:spacing w:after="0" w:line="257" w:lineRule="auto"/>
        <w:rPr>
          <w:sz w:val="20"/>
          <w:szCs w:val="20"/>
          <w:color w:val="auto"/>
        </w:rPr>
      </w:pPr>
      <w:r>
        <w:rPr>
          <w:rFonts w:ascii="Arial" w:cs="Arial" w:eastAsia="Arial" w:hAnsi="Arial"/>
          <w:sz w:val="18"/>
          <w:szCs w:val="18"/>
          <w:color w:val="auto"/>
        </w:rPr>
        <w:t>Under the supervision of and with the participation of our management, including our Chief Executive Officer and Chief Financial Officer, we have conducted an evaluation of our internal control over financial reporting as of December 31, 2010, based on the framework set forth by the Committee of Sponsoring Organizations of the Treadway Commission (COSO) in Internal Control—Integrated Framework. Based on that evaluation, our management concluded that, as of December 31, 2010, internal control over financial reporting is effective based on criteria established in Internal Control—Integrated Framework issued by the COSO.</w:t>
      </w:r>
    </w:p>
    <w:p>
      <w:pPr>
        <w:spacing w:after="0" w:line="188" w:lineRule="exact"/>
        <w:rPr>
          <w:sz w:val="20"/>
          <w:szCs w:val="20"/>
          <w:color w:val="auto"/>
        </w:rPr>
      </w:pPr>
    </w:p>
    <w:p>
      <w:pPr>
        <w:ind w:right="440" w:firstLine="744"/>
        <w:spacing w:after="0" w:line="277" w:lineRule="auto"/>
        <w:rPr>
          <w:sz w:val="20"/>
          <w:szCs w:val="20"/>
          <w:color w:val="auto"/>
        </w:rPr>
      </w:pPr>
      <w:r>
        <w:rPr>
          <w:rFonts w:ascii="Arial" w:cs="Arial" w:eastAsia="Arial" w:hAnsi="Arial"/>
          <w:sz w:val="18"/>
          <w:szCs w:val="18"/>
          <w:color w:val="auto"/>
        </w:rPr>
        <w:t>The effectiveness of OCN’s internal control over financial reporting as of December 31, 2010 has been audited by Deloitte &amp; Touche LLP, an independent registered certified public accounting firm, as stated in their report that appears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9" w:lineRule="exact"/>
        <w:rPr>
          <w:sz w:val="20"/>
          <w:szCs w:val="20"/>
          <w:color w:val="auto"/>
        </w:rPr>
      </w:pPr>
    </w:p>
    <w:p>
      <w:pPr>
        <w:ind w:firstLine="737"/>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 l statements in accordance with accounting principles generally accepted in the United States of America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55" w:name="page56"/>
    <w:bookmarkEnd w:id="55"/>
    <w:p>
      <w:pPr>
        <w:jc w:val="both"/>
        <w:ind w:firstLine="747"/>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40" w:firstLine="744"/>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our fiscal quarter ended December 31, 2010 that have materially affected, or are reasonably likely to materially affect, our internal control over financial reporting.</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There was no information required to be reported on Form 8-K during the fourth quarter of the year covered by this Form 10-K that was not so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reported.</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ind w:firstLine="744"/>
        <w:spacing w:after="0" w:line="257" w:lineRule="auto"/>
        <w:rPr>
          <w:sz w:val="20"/>
          <w:szCs w:val="20"/>
          <w:color w:val="auto"/>
        </w:rPr>
      </w:pPr>
      <w:r>
        <w:rPr>
          <w:rFonts w:ascii="Arial" w:cs="Arial" w:eastAsia="Arial" w:hAnsi="Arial"/>
          <w:sz w:val="18"/>
          <w:szCs w:val="18"/>
          <w:color w:val="auto"/>
        </w:rPr>
        <w:t>The information contained in our definitive Proxy Statement with respect to our Annual Meeting of Shareholders to be held on May 12, 2011 and as filed with the SEC on or about March 31, 2011 (the 2011 Proxy Statement) under the captions “Election of Directors—Nominees for Director,” “Executive Officers Who Are Not Directors,” “Board of Directors and Corporate Governance—Committees of the Board of Directors—Audit committee”, “Security Ownership of Certain Beneficial Owners and Related Shareholder Matters—Section 16(a) Beneficial Ownership Reporting Compliance” and “Board of Directors and Corporate Governance—Co de of Ethics” is incorporated herein by reference.</w:t>
      </w:r>
    </w:p>
    <w:p>
      <w:pPr>
        <w:spacing w:after="0" w:line="18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120" w:firstLine="744"/>
        <w:spacing w:after="0" w:line="277" w:lineRule="auto"/>
        <w:rPr>
          <w:sz w:val="20"/>
          <w:szCs w:val="20"/>
          <w:color w:val="auto"/>
        </w:rPr>
      </w:pPr>
      <w:r>
        <w:rPr>
          <w:rFonts w:ascii="Arial" w:cs="Arial" w:eastAsia="Arial" w:hAnsi="Arial"/>
          <w:sz w:val="18"/>
          <w:szCs w:val="18"/>
          <w:color w:val="auto"/>
        </w:rPr>
        <w:t>The information contained in our 2011 Proxy Statement under the captions “Executive Compensation” and “Board of Directors Compensation” is incorporated herein by reference.</w:t>
      </w:r>
    </w:p>
    <w:p>
      <w:pPr>
        <w:spacing w:after="0" w:line="166" w:lineRule="exact"/>
        <w:rPr>
          <w:sz w:val="20"/>
          <w:szCs w:val="20"/>
          <w:color w:val="auto"/>
        </w:rPr>
      </w:pPr>
    </w:p>
    <w:p>
      <w:pPr>
        <w:ind w:left="1380" w:right="100" w:hanging="1377"/>
        <w:spacing w:after="0" w:line="282" w:lineRule="auto"/>
        <w:tabs>
          <w:tab w:leader="none" w:pos="13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ind w:right="620" w:firstLine="744"/>
        <w:spacing w:after="0" w:line="342" w:lineRule="auto"/>
        <w:rPr>
          <w:sz w:val="20"/>
          <w:szCs w:val="20"/>
          <w:color w:val="auto"/>
        </w:rPr>
      </w:pPr>
      <w:r>
        <w:rPr>
          <w:rFonts w:ascii="Arial" w:cs="Arial" w:eastAsia="Arial" w:hAnsi="Arial"/>
          <w:sz w:val="16"/>
          <w:szCs w:val="16"/>
          <w:color w:val="auto"/>
        </w:rPr>
        <w:t>The information contained in our 2011 Proxy Statement under the captions “Security Ownership of Certain Beneficial Owners and Related Shareholder Matters—Beneficial Ownership of Common Stock” and “Equity Compensation Plan Information” is incorporated herein by reference.</w:t>
      </w:r>
    </w:p>
    <w:p>
      <w:pPr>
        <w:spacing w:after="0" w:line="12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ind w:right="400" w:firstLine="744"/>
        <w:spacing w:after="0" w:line="277" w:lineRule="auto"/>
        <w:rPr>
          <w:sz w:val="20"/>
          <w:szCs w:val="20"/>
          <w:color w:val="auto"/>
        </w:rPr>
      </w:pPr>
      <w:r>
        <w:rPr>
          <w:rFonts w:ascii="Arial" w:cs="Arial" w:eastAsia="Arial" w:hAnsi="Arial"/>
          <w:sz w:val="18"/>
          <w:szCs w:val="18"/>
          <w:color w:val="auto"/>
        </w:rPr>
        <w:t>The information contained in our 2011 Proxy Statement under the captions “Board of Directors and Corporate Governance—Independence of Directors” and “Business Relationships and Related Transactions” is incorporated herein by reference.</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right="380" w:firstLine="744"/>
        <w:spacing w:after="0" w:line="277" w:lineRule="auto"/>
        <w:rPr>
          <w:sz w:val="20"/>
          <w:szCs w:val="20"/>
          <w:color w:val="auto"/>
        </w:rPr>
      </w:pPr>
      <w:r>
        <w:rPr>
          <w:rFonts w:ascii="Arial" w:cs="Arial" w:eastAsia="Arial" w:hAnsi="Arial"/>
          <w:sz w:val="18"/>
          <w:szCs w:val="18"/>
          <w:color w:val="auto"/>
        </w:rPr>
        <w:t>The information required by this item is included in our 2011 Proxy Statement under the caption “Ratification of Appointment of Independent Registered Public Accounting Firm” and is incorporated herein by reference.</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225" w:lineRule="exact"/>
        <w:rPr>
          <w:sz w:val="20"/>
          <w:szCs w:val="20"/>
          <w:color w:val="auto"/>
        </w:rPr>
      </w:pPr>
    </w:p>
    <w:p>
      <w:pPr>
        <w:ind w:right="120" w:firstLine="8"/>
        <w:spacing w:after="0" w:line="313" w:lineRule="auto"/>
        <w:tabs>
          <w:tab w:leader="none" w:pos="255"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and (2) Financial Statements and Schedules. </w:t>
      </w:r>
      <w:r>
        <w:rPr>
          <w:rFonts w:ascii="Arial" w:cs="Arial" w:eastAsia="Arial" w:hAnsi="Arial"/>
          <w:sz w:val="17"/>
          <w:szCs w:val="17"/>
          <w:color w:val="auto"/>
        </w:rPr>
        <w:t>The information required by this section is contained in the Consolidated Financial Statements of Ocwen</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Corporation and Report of Deloitte &amp; Touche LLP, Independent Registered Certified Public Accounting Firm, beginning on Page F-1.</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56" w:name="page57"/>
    <w:bookmarkEnd w:id="56"/>
    <w:p>
      <w:pPr>
        <w:ind w:left="640" w:hanging="632"/>
        <w:spacing w:after="0"/>
        <w:tabs>
          <w:tab w:leader="none" w:pos="6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r>
        <w:rPr>
          <w:rFonts w:ascii="Arial" w:cs="Arial" w:eastAsia="Arial" w:hAnsi="Arial"/>
          <w:sz w:val="16"/>
          <w:szCs w:val="16"/>
          <w:color w:val="auto"/>
        </w:rPr>
        <w:t>(Exhibits marked with a “ * “ denote management contracts or compensatory plans or agreements)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tcPr>
          <w:p>
            <w:pPr>
              <w:jc w:val="right"/>
              <w:ind w:right="350"/>
              <w:spacing w:after="0"/>
              <w:rPr>
                <w:sz w:val="20"/>
                <w:szCs w:val="20"/>
                <w:color w:val="auto"/>
              </w:rPr>
            </w:pPr>
            <w:r>
              <w:rPr>
                <w:rFonts w:ascii="Arial" w:cs="Arial" w:eastAsia="Arial" w:hAnsi="Arial"/>
                <w:sz w:val="18"/>
                <w:szCs w:val="18"/>
                <w:color w:val="auto"/>
              </w:rPr>
              <w:t>2.1</w:t>
            </w:r>
          </w:p>
        </w:tc>
        <w:tc>
          <w:tcPr>
            <w:tcW w:w="9840" w:type="dxa"/>
            <w:vAlign w:val="bottom"/>
          </w:tcPr>
          <w:p>
            <w:pPr>
              <w:ind w:left="360"/>
              <w:spacing w:after="0"/>
              <w:rPr>
                <w:sz w:val="20"/>
                <w:szCs w:val="20"/>
                <w:color w:val="auto"/>
              </w:rPr>
            </w:pPr>
            <w:r>
              <w:rPr>
                <w:rFonts w:ascii="Arial" w:cs="Arial" w:eastAsia="Arial" w:hAnsi="Arial"/>
                <w:sz w:val="18"/>
                <w:szCs w:val="18"/>
                <w:color w:val="auto"/>
                <w:w w:val="92"/>
              </w:rPr>
              <w:t>Agreement of Merger dated as of July 25, 1999 among Ocwen Financial Corporation, Ocwen Asset Investment Corp. and Ocwen</w:t>
            </w:r>
          </w:p>
        </w:tc>
      </w:tr>
      <w:tr>
        <w:trPr>
          <w:trHeight w:val="216"/>
        </w:trPr>
        <w:tc>
          <w:tcPr>
            <w:tcW w:w="1600" w:type="dxa"/>
            <w:vAlign w:val="bottom"/>
          </w:tcPr>
          <w:p>
            <w:pPr>
              <w:spacing w:after="0"/>
              <w:rPr>
                <w:sz w:val="18"/>
                <w:szCs w:val="18"/>
                <w:color w:val="auto"/>
              </w:rPr>
            </w:pPr>
          </w:p>
        </w:tc>
        <w:tc>
          <w:tcPr>
            <w:tcW w:w="9840" w:type="dxa"/>
            <w:vAlign w:val="bottom"/>
          </w:tcPr>
          <w:p>
            <w:pPr>
              <w:ind w:left="360"/>
              <w:spacing w:after="0"/>
              <w:rPr>
                <w:sz w:val="20"/>
                <w:szCs w:val="20"/>
                <w:color w:val="auto"/>
              </w:rPr>
            </w:pPr>
            <w:r>
              <w:rPr>
                <w:rFonts w:ascii="Arial" w:cs="Arial" w:eastAsia="Arial" w:hAnsi="Arial"/>
                <w:sz w:val="18"/>
                <w:szCs w:val="18"/>
                <w:color w:val="auto"/>
              </w:rPr>
              <w:t>Acquisition Company (1)</w:t>
            </w:r>
          </w:p>
        </w:tc>
      </w:tr>
      <w:tr>
        <w:trPr>
          <w:trHeight w:val="216"/>
        </w:trPr>
        <w:tc>
          <w:tcPr>
            <w:tcW w:w="1600" w:type="dxa"/>
            <w:vAlign w:val="bottom"/>
          </w:tcPr>
          <w:p>
            <w:pPr>
              <w:jc w:val="right"/>
              <w:ind w:right="350"/>
              <w:spacing w:after="0"/>
              <w:rPr>
                <w:sz w:val="20"/>
                <w:szCs w:val="20"/>
                <w:color w:val="auto"/>
              </w:rPr>
            </w:pPr>
            <w:r>
              <w:rPr>
                <w:rFonts w:ascii="Arial" w:cs="Arial" w:eastAsia="Arial" w:hAnsi="Arial"/>
                <w:sz w:val="18"/>
                <w:szCs w:val="18"/>
                <w:color w:val="auto"/>
              </w:rPr>
              <w:t>2.2</w:t>
            </w:r>
          </w:p>
        </w:tc>
        <w:tc>
          <w:tcPr>
            <w:tcW w:w="9840" w:type="dxa"/>
            <w:vAlign w:val="bottom"/>
          </w:tcPr>
          <w:p>
            <w:pPr>
              <w:ind w:left="360"/>
              <w:spacing w:after="0"/>
              <w:rPr>
                <w:sz w:val="20"/>
                <w:szCs w:val="20"/>
                <w:color w:val="auto"/>
              </w:rPr>
            </w:pPr>
            <w:r>
              <w:rPr>
                <w:rFonts w:ascii="Arial" w:cs="Arial" w:eastAsia="Arial" w:hAnsi="Arial"/>
                <w:sz w:val="18"/>
                <w:szCs w:val="18"/>
                <w:color w:val="auto"/>
                <w:w w:val="96"/>
              </w:rPr>
              <w:t>Separation Agreement, dated as of August 10, 2009, by and between Ocwen Financial Corporation and Altisource Portfolio</w:t>
            </w:r>
          </w:p>
        </w:tc>
      </w:tr>
      <w:tr>
        <w:trPr>
          <w:trHeight w:val="216"/>
        </w:trPr>
        <w:tc>
          <w:tcPr>
            <w:tcW w:w="1600" w:type="dxa"/>
            <w:vAlign w:val="bottom"/>
          </w:tcPr>
          <w:p>
            <w:pPr>
              <w:spacing w:after="0"/>
              <w:rPr>
                <w:sz w:val="18"/>
                <w:szCs w:val="18"/>
                <w:color w:val="auto"/>
              </w:rPr>
            </w:pPr>
          </w:p>
        </w:tc>
        <w:tc>
          <w:tcPr>
            <w:tcW w:w="9840" w:type="dxa"/>
            <w:vAlign w:val="bottom"/>
          </w:tcPr>
          <w:p>
            <w:pPr>
              <w:ind w:left="360"/>
              <w:spacing w:after="0"/>
              <w:rPr>
                <w:sz w:val="20"/>
                <w:szCs w:val="20"/>
                <w:color w:val="auto"/>
              </w:rPr>
            </w:pPr>
            <w:r>
              <w:rPr>
                <w:rFonts w:ascii="Arial" w:cs="Arial" w:eastAsia="Arial" w:hAnsi="Arial"/>
                <w:sz w:val="18"/>
                <w:szCs w:val="18"/>
                <w:color w:val="auto"/>
              </w:rPr>
              <w:t>Solutions S.A. (2)</w:t>
            </w:r>
          </w:p>
        </w:tc>
      </w:tr>
      <w:tr>
        <w:trPr>
          <w:trHeight w:val="216"/>
        </w:trPr>
        <w:tc>
          <w:tcPr>
            <w:tcW w:w="1600" w:type="dxa"/>
            <w:vAlign w:val="bottom"/>
          </w:tcPr>
          <w:p>
            <w:pPr>
              <w:jc w:val="right"/>
              <w:ind w:right="350"/>
              <w:spacing w:after="0"/>
              <w:rPr>
                <w:sz w:val="20"/>
                <w:szCs w:val="20"/>
                <w:color w:val="auto"/>
              </w:rPr>
            </w:pPr>
            <w:r>
              <w:rPr>
                <w:rFonts w:ascii="Arial" w:cs="Arial" w:eastAsia="Arial" w:hAnsi="Arial"/>
                <w:sz w:val="18"/>
                <w:szCs w:val="18"/>
                <w:color w:val="auto"/>
              </w:rPr>
              <w:t>3.1</w:t>
            </w:r>
          </w:p>
        </w:tc>
        <w:tc>
          <w:tcPr>
            <w:tcW w:w="9840" w:type="dxa"/>
            <w:vAlign w:val="bottom"/>
          </w:tcPr>
          <w:p>
            <w:pPr>
              <w:ind w:left="360"/>
              <w:spacing w:after="0"/>
              <w:rPr>
                <w:sz w:val="20"/>
                <w:szCs w:val="20"/>
                <w:color w:val="auto"/>
              </w:rPr>
            </w:pPr>
            <w:r>
              <w:rPr>
                <w:rFonts w:ascii="Arial" w:cs="Arial" w:eastAsia="Arial" w:hAnsi="Arial"/>
                <w:sz w:val="18"/>
                <w:szCs w:val="18"/>
                <w:color w:val="auto"/>
              </w:rPr>
              <w:t>Amended and Restated Articles of Incorporation (filed herewith) (3)</w:t>
            </w:r>
          </w:p>
        </w:tc>
      </w:tr>
      <w:tr>
        <w:trPr>
          <w:trHeight w:val="216"/>
        </w:trPr>
        <w:tc>
          <w:tcPr>
            <w:tcW w:w="1600" w:type="dxa"/>
            <w:vAlign w:val="bottom"/>
          </w:tcPr>
          <w:p>
            <w:pPr>
              <w:jc w:val="right"/>
              <w:ind w:right="350"/>
              <w:spacing w:after="0"/>
              <w:rPr>
                <w:sz w:val="20"/>
                <w:szCs w:val="20"/>
                <w:color w:val="auto"/>
              </w:rPr>
            </w:pPr>
            <w:r>
              <w:rPr>
                <w:rFonts w:ascii="Arial" w:cs="Arial" w:eastAsia="Arial" w:hAnsi="Arial"/>
                <w:sz w:val="18"/>
                <w:szCs w:val="18"/>
                <w:color w:val="auto"/>
              </w:rPr>
              <w:t>3.2</w:t>
            </w:r>
          </w:p>
        </w:tc>
        <w:tc>
          <w:tcPr>
            <w:tcW w:w="9840" w:type="dxa"/>
            <w:vAlign w:val="bottom"/>
          </w:tcPr>
          <w:p>
            <w:pPr>
              <w:ind w:left="360"/>
              <w:spacing w:after="0"/>
              <w:rPr>
                <w:sz w:val="20"/>
                <w:szCs w:val="20"/>
                <w:color w:val="auto"/>
              </w:rPr>
            </w:pPr>
            <w:r>
              <w:rPr>
                <w:rFonts w:ascii="Arial" w:cs="Arial" w:eastAsia="Arial" w:hAnsi="Arial"/>
                <w:sz w:val="18"/>
                <w:szCs w:val="18"/>
                <w:color w:val="auto"/>
              </w:rPr>
              <w:t>Articles of Amendment to Articles of Incorporation (filed herewith)</w:t>
            </w:r>
          </w:p>
        </w:tc>
      </w:tr>
      <w:tr>
        <w:trPr>
          <w:trHeight w:val="216"/>
        </w:trPr>
        <w:tc>
          <w:tcPr>
            <w:tcW w:w="1600" w:type="dxa"/>
            <w:vAlign w:val="bottom"/>
          </w:tcPr>
          <w:p>
            <w:pPr>
              <w:jc w:val="right"/>
              <w:ind w:right="350"/>
              <w:spacing w:after="0"/>
              <w:rPr>
                <w:sz w:val="20"/>
                <w:szCs w:val="20"/>
                <w:color w:val="auto"/>
              </w:rPr>
            </w:pPr>
            <w:r>
              <w:rPr>
                <w:rFonts w:ascii="Arial" w:cs="Arial" w:eastAsia="Arial" w:hAnsi="Arial"/>
                <w:sz w:val="18"/>
                <w:szCs w:val="18"/>
                <w:color w:val="auto"/>
              </w:rPr>
              <w:t>3.3</w:t>
            </w:r>
          </w:p>
        </w:tc>
        <w:tc>
          <w:tcPr>
            <w:tcW w:w="9840" w:type="dxa"/>
            <w:vAlign w:val="bottom"/>
          </w:tcPr>
          <w:p>
            <w:pPr>
              <w:ind w:left="360"/>
              <w:spacing w:after="0"/>
              <w:rPr>
                <w:sz w:val="20"/>
                <w:szCs w:val="20"/>
                <w:color w:val="auto"/>
              </w:rPr>
            </w:pPr>
            <w:r>
              <w:rPr>
                <w:rFonts w:ascii="Arial" w:cs="Arial" w:eastAsia="Arial" w:hAnsi="Arial"/>
                <w:sz w:val="18"/>
                <w:szCs w:val="18"/>
                <w:color w:val="auto"/>
              </w:rPr>
              <w:t>Articles of Correction (filed herewith)</w:t>
            </w:r>
          </w:p>
        </w:tc>
      </w:tr>
      <w:tr>
        <w:trPr>
          <w:trHeight w:val="216"/>
        </w:trPr>
        <w:tc>
          <w:tcPr>
            <w:tcW w:w="1600" w:type="dxa"/>
            <w:vAlign w:val="bottom"/>
          </w:tcPr>
          <w:p>
            <w:pPr>
              <w:jc w:val="right"/>
              <w:ind w:right="350"/>
              <w:spacing w:after="0"/>
              <w:rPr>
                <w:sz w:val="20"/>
                <w:szCs w:val="20"/>
                <w:color w:val="auto"/>
              </w:rPr>
            </w:pPr>
            <w:r>
              <w:rPr>
                <w:rFonts w:ascii="Arial" w:cs="Arial" w:eastAsia="Arial" w:hAnsi="Arial"/>
                <w:sz w:val="18"/>
                <w:szCs w:val="18"/>
                <w:color w:val="auto"/>
              </w:rPr>
              <w:t>3.4</w:t>
            </w:r>
          </w:p>
        </w:tc>
        <w:tc>
          <w:tcPr>
            <w:tcW w:w="9840" w:type="dxa"/>
            <w:vAlign w:val="bottom"/>
          </w:tcPr>
          <w:p>
            <w:pPr>
              <w:ind w:left="360"/>
              <w:spacing w:after="0"/>
              <w:rPr>
                <w:sz w:val="20"/>
                <w:szCs w:val="20"/>
                <w:color w:val="auto"/>
              </w:rPr>
            </w:pPr>
            <w:r>
              <w:rPr>
                <w:rFonts w:ascii="Arial" w:cs="Arial" w:eastAsia="Arial" w:hAnsi="Arial"/>
                <w:sz w:val="18"/>
                <w:szCs w:val="18"/>
                <w:color w:val="auto"/>
              </w:rPr>
              <w:t>Amended and Restated Bylaws (4)</w:t>
            </w:r>
          </w:p>
        </w:tc>
      </w:tr>
      <w:tr>
        <w:trPr>
          <w:trHeight w:val="216"/>
        </w:trPr>
        <w:tc>
          <w:tcPr>
            <w:tcW w:w="1600" w:type="dxa"/>
            <w:vAlign w:val="bottom"/>
          </w:tcPr>
          <w:p>
            <w:pPr>
              <w:jc w:val="right"/>
              <w:ind w:right="350"/>
              <w:spacing w:after="0"/>
              <w:rPr>
                <w:sz w:val="20"/>
                <w:szCs w:val="20"/>
                <w:color w:val="auto"/>
              </w:rPr>
            </w:pPr>
            <w:r>
              <w:rPr>
                <w:rFonts w:ascii="Arial" w:cs="Arial" w:eastAsia="Arial" w:hAnsi="Arial"/>
                <w:sz w:val="18"/>
                <w:szCs w:val="18"/>
                <w:color w:val="auto"/>
              </w:rPr>
              <w:t>4.0</w:t>
            </w:r>
          </w:p>
        </w:tc>
        <w:tc>
          <w:tcPr>
            <w:tcW w:w="9840" w:type="dxa"/>
            <w:vAlign w:val="bottom"/>
          </w:tcPr>
          <w:p>
            <w:pPr>
              <w:ind w:left="360"/>
              <w:spacing w:after="0"/>
              <w:rPr>
                <w:sz w:val="20"/>
                <w:szCs w:val="20"/>
                <w:color w:val="auto"/>
              </w:rPr>
            </w:pPr>
            <w:r>
              <w:rPr>
                <w:rFonts w:ascii="Arial" w:cs="Arial" w:eastAsia="Arial" w:hAnsi="Arial"/>
                <w:sz w:val="18"/>
                <w:szCs w:val="18"/>
                <w:color w:val="auto"/>
              </w:rPr>
              <w:t>Form of Certificate of Common Stock (3)</w:t>
            </w:r>
          </w:p>
        </w:tc>
      </w:tr>
      <w:tr>
        <w:trPr>
          <w:trHeight w:val="216"/>
        </w:trPr>
        <w:tc>
          <w:tcPr>
            <w:tcW w:w="1600" w:type="dxa"/>
            <w:vAlign w:val="bottom"/>
          </w:tcPr>
          <w:p>
            <w:pPr>
              <w:jc w:val="right"/>
              <w:ind w:right="350"/>
              <w:spacing w:after="0"/>
              <w:rPr>
                <w:sz w:val="20"/>
                <w:szCs w:val="20"/>
                <w:color w:val="auto"/>
              </w:rPr>
            </w:pPr>
            <w:r>
              <w:rPr>
                <w:rFonts w:ascii="Arial" w:cs="Arial" w:eastAsia="Arial" w:hAnsi="Arial"/>
                <w:sz w:val="18"/>
                <w:szCs w:val="18"/>
                <w:color w:val="auto"/>
              </w:rPr>
              <w:t>4.1</w:t>
            </w:r>
          </w:p>
        </w:tc>
        <w:tc>
          <w:tcPr>
            <w:tcW w:w="9840" w:type="dxa"/>
            <w:vAlign w:val="bottom"/>
          </w:tcPr>
          <w:p>
            <w:pPr>
              <w:ind w:left="360"/>
              <w:spacing w:after="0"/>
              <w:rPr>
                <w:sz w:val="20"/>
                <w:szCs w:val="20"/>
                <w:color w:val="auto"/>
              </w:rPr>
            </w:pPr>
            <w:r>
              <w:rPr>
                <w:rFonts w:ascii="Arial" w:cs="Arial" w:eastAsia="Arial" w:hAnsi="Arial"/>
                <w:sz w:val="18"/>
                <w:szCs w:val="18"/>
                <w:color w:val="auto"/>
              </w:rPr>
              <w:t>Certificate of Trust of Ocwen Capital Trust I (5)</w:t>
            </w:r>
          </w:p>
        </w:tc>
      </w:tr>
      <w:tr>
        <w:trPr>
          <w:trHeight w:val="216"/>
        </w:trPr>
        <w:tc>
          <w:tcPr>
            <w:tcW w:w="1600" w:type="dxa"/>
            <w:vAlign w:val="bottom"/>
          </w:tcPr>
          <w:p>
            <w:pPr>
              <w:jc w:val="right"/>
              <w:ind w:right="350"/>
              <w:spacing w:after="0"/>
              <w:rPr>
                <w:sz w:val="20"/>
                <w:szCs w:val="20"/>
                <w:color w:val="auto"/>
              </w:rPr>
            </w:pPr>
            <w:r>
              <w:rPr>
                <w:rFonts w:ascii="Arial" w:cs="Arial" w:eastAsia="Arial" w:hAnsi="Arial"/>
                <w:sz w:val="18"/>
                <w:szCs w:val="18"/>
                <w:color w:val="auto"/>
              </w:rPr>
              <w:t>4.2</w:t>
            </w:r>
          </w:p>
        </w:tc>
        <w:tc>
          <w:tcPr>
            <w:tcW w:w="9840" w:type="dxa"/>
            <w:vAlign w:val="bottom"/>
          </w:tcPr>
          <w:p>
            <w:pPr>
              <w:ind w:left="360"/>
              <w:spacing w:after="0"/>
              <w:rPr>
                <w:sz w:val="20"/>
                <w:szCs w:val="20"/>
                <w:color w:val="auto"/>
              </w:rPr>
            </w:pPr>
            <w:r>
              <w:rPr>
                <w:rFonts w:ascii="Arial" w:cs="Arial" w:eastAsia="Arial" w:hAnsi="Arial"/>
                <w:sz w:val="18"/>
                <w:szCs w:val="18"/>
                <w:color w:val="auto"/>
              </w:rPr>
              <w:t>Amended and Restated Declaration of Trust of Ocwen Capital Trust I (5)</w:t>
            </w:r>
          </w:p>
        </w:tc>
      </w:tr>
      <w:tr>
        <w:trPr>
          <w:trHeight w:val="216"/>
        </w:trPr>
        <w:tc>
          <w:tcPr>
            <w:tcW w:w="1600" w:type="dxa"/>
            <w:vAlign w:val="bottom"/>
          </w:tcPr>
          <w:p>
            <w:pPr>
              <w:jc w:val="right"/>
              <w:ind w:right="350"/>
              <w:spacing w:after="0"/>
              <w:rPr>
                <w:sz w:val="20"/>
                <w:szCs w:val="20"/>
                <w:color w:val="auto"/>
              </w:rPr>
            </w:pPr>
            <w:r>
              <w:rPr>
                <w:rFonts w:ascii="Arial" w:cs="Arial" w:eastAsia="Arial" w:hAnsi="Arial"/>
                <w:sz w:val="18"/>
                <w:szCs w:val="18"/>
                <w:color w:val="auto"/>
              </w:rPr>
              <w:t>4.3</w:t>
            </w:r>
          </w:p>
        </w:tc>
        <w:tc>
          <w:tcPr>
            <w:tcW w:w="9840" w:type="dxa"/>
            <w:vAlign w:val="bottom"/>
          </w:tcPr>
          <w:p>
            <w:pPr>
              <w:ind w:left="360"/>
              <w:spacing w:after="0"/>
              <w:rPr>
                <w:sz w:val="20"/>
                <w:szCs w:val="20"/>
                <w:color w:val="auto"/>
              </w:rPr>
            </w:pPr>
            <w:r>
              <w:rPr>
                <w:rFonts w:ascii="Arial" w:cs="Arial" w:eastAsia="Arial" w:hAnsi="Arial"/>
                <w:sz w:val="18"/>
                <w:szCs w:val="18"/>
                <w:color w:val="auto"/>
              </w:rPr>
              <w:t>Form of Capital Security of Ocwen Capital Trust I (included in Exhibit 4.4) (5)</w:t>
            </w:r>
          </w:p>
        </w:tc>
      </w:tr>
      <w:tr>
        <w:trPr>
          <w:trHeight w:val="216"/>
        </w:trPr>
        <w:tc>
          <w:tcPr>
            <w:tcW w:w="1600" w:type="dxa"/>
            <w:vAlign w:val="bottom"/>
          </w:tcPr>
          <w:p>
            <w:pPr>
              <w:jc w:val="right"/>
              <w:ind w:right="350"/>
              <w:spacing w:after="0"/>
              <w:rPr>
                <w:sz w:val="20"/>
                <w:szCs w:val="20"/>
                <w:color w:val="auto"/>
              </w:rPr>
            </w:pPr>
            <w:r>
              <w:rPr>
                <w:rFonts w:ascii="Arial" w:cs="Arial" w:eastAsia="Arial" w:hAnsi="Arial"/>
                <w:sz w:val="18"/>
                <w:szCs w:val="18"/>
                <w:color w:val="auto"/>
              </w:rPr>
              <w:t>4.4</w:t>
            </w:r>
          </w:p>
        </w:tc>
        <w:tc>
          <w:tcPr>
            <w:tcW w:w="9840" w:type="dxa"/>
            <w:vAlign w:val="bottom"/>
          </w:tcPr>
          <w:p>
            <w:pPr>
              <w:ind w:left="360"/>
              <w:spacing w:after="0"/>
              <w:rPr>
                <w:sz w:val="20"/>
                <w:szCs w:val="20"/>
                <w:color w:val="auto"/>
              </w:rPr>
            </w:pPr>
            <w:r>
              <w:rPr>
                <w:rFonts w:ascii="Arial" w:cs="Arial" w:eastAsia="Arial" w:hAnsi="Arial"/>
                <w:sz w:val="18"/>
                <w:szCs w:val="18"/>
                <w:color w:val="auto"/>
              </w:rPr>
              <w:t>Form of Indenture relating to 10.875% Junior Subordinated Debentures due 2027 of OCN (5)</w:t>
            </w:r>
          </w:p>
        </w:tc>
      </w:tr>
      <w:tr>
        <w:trPr>
          <w:trHeight w:val="216"/>
        </w:trPr>
        <w:tc>
          <w:tcPr>
            <w:tcW w:w="1600" w:type="dxa"/>
            <w:vAlign w:val="bottom"/>
          </w:tcPr>
          <w:p>
            <w:pPr>
              <w:jc w:val="right"/>
              <w:ind w:right="350"/>
              <w:spacing w:after="0"/>
              <w:rPr>
                <w:sz w:val="20"/>
                <w:szCs w:val="20"/>
                <w:color w:val="auto"/>
              </w:rPr>
            </w:pPr>
            <w:r>
              <w:rPr>
                <w:rFonts w:ascii="Arial" w:cs="Arial" w:eastAsia="Arial" w:hAnsi="Arial"/>
                <w:sz w:val="18"/>
                <w:szCs w:val="18"/>
                <w:color w:val="auto"/>
              </w:rPr>
              <w:t>4.5</w:t>
            </w:r>
          </w:p>
        </w:tc>
        <w:tc>
          <w:tcPr>
            <w:tcW w:w="9840" w:type="dxa"/>
            <w:vAlign w:val="bottom"/>
          </w:tcPr>
          <w:p>
            <w:pPr>
              <w:ind w:left="360"/>
              <w:spacing w:after="0"/>
              <w:rPr>
                <w:sz w:val="20"/>
                <w:szCs w:val="20"/>
                <w:color w:val="auto"/>
              </w:rPr>
            </w:pPr>
            <w:r>
              <w:rPr>
                <w:rFonts w:ascii="Arial" w:cs="Arial" w:eastAsia="Arial" w:hAnsi="Arial"/>
                <w:sz w:val="18"/>
                <w:szCs w:val="18"/>
                <w:color w:val="auto"/>
              </w:rPr>
              <w:t>Form of 10.875% Junior Subordinated Debentures due 2027 of OCN (included in Exhibit 4.6) (5)</w:t>
            </w:r>
          </w:p>
        </w:tc>
      </w:tr>
      <w:tr>
        <w:trPr>
          <w:trHeight w:val="216"/>
        </w:trPr>
        <w:tc>
          <w:tcPr>
            <w:tcW w:w="1600" w:type="dxa"/>
            <w:vAlign w:val="bottom"/>
          </w:tcPr>
          <w:p>
            <w:pPr>
              <w:jc w:val="right"/>
              <w:ind w:right="350"/>
              <w:spacing w:after="0"/>
              <w:rPr>
                <w:sz w:val="20"/>
                <w:szCs w:val="20"/>
                <w:color w:val="auto"/>
              </w:rPr>
            </w:pPr>
            <w:r>
              <w:rPr>
                <w:rFonts w:ascii="Arial" w:cs="Arial" w:eastAsia="Arial" w:hAnsi="Arial"/>
                <w:sz w:val="18"/>
                <w:szCs w:val="18"/>
                <w:color w:val="auto"/>
              </w:rPr>
              <w:t>4.6</w:t>
            </w:r>
          </w:p>
        </w:tc>
        <w:tc>
          <w:tcPr>
            <w:tcW w:w="9840" w:type="dxa"/>
            <w:vAlign w:val="bottom"/>
          </w:tcPr>
          <w:p>
            <w:pPr>
              <w:ind w:left="360"/>
              <w:spacing w:after="0"/>
              <w:rPr>
                <w:sz w:val="20"/>
                <w:szCs w:val="20"/>
                <w:color w:val="auto"/>
              </w:rPr>
            </w:pPr>
            <w:r>
              <w:rPr>
                <w:rFonts w:ascii="Arial" w:cs="Arial" w:eastAsia="Arial" w:hAnsi="Arial"/>
                <w:sz w:val="18"/>
                <w:szCs w:val="18"/>
                <w:color w:val="auto"/>
              </w:rPr>
              <w:t>Form of Guarantee of OCN relating to the Capital Securities of Ocwen Capital Trust I (5)</w:t>
            </w:r>
          </w:p>
        </w:tc>
      </w:tr>
      <w:tr>
        <w:trPr>
          <w:trHeight w:val="216"/>
        </w:trPr>
        <w:tc>
          <w:tcPr>
            <w:tcW w:w="1600" w:type="dxa"/>
            <w:vAlign w:val="bottom"/>
          </w:tcPr>
          <w:p>
            <w:pPr>
              <w:jc w:val="right"/>
              <w:ind w:right="350"/>
              <w:spacing w:after="0"/>
              <w:rPr>
                <w:sz w:val="20"/>
                <w:szCs w:val="20"/>
                <w:color w:val="auto"/>
              </w:rPr>
            </w:pPr>
            <w:r>
              <w:rPr>
                <w:rFonts w:ascii="Arial" w:cs="Arial" w:eastAsia="Arial" w:hAnsi="Arial"/>
                <w:sz w:val="18"/>
                <w:szCs w:val="18"/>
                <w:color w:val="auto"/>
              </w:rPr>
              <w:t>4.7</w:t>
            </w:r>
          </w:p>
        </w:tc>
        <w:tc>
          <w:tcPr>
            <w:tcW w:w="9840" w:type="dxa"/>
            <w:vAlign w:val="bottom"/>
          </w:tcPr>
          <w:p>
            <w:pPr>
              <w:ind w:left="360"/>
              <w:spacing w:after="0"/>
              <w:rPr>
                <w:sz w:val="20"/>
                <w:szCs w:val="20"/>
                <w:color w:val="auto"/>
              </w:rPr>
            </w:pPr>
            <w:r>
              <w:rPr>
                <w:rFonts w:ascii="Arial" w:cs="Arial" w:eastAsia="Arial" w:hAnsi="Arial"/>
                <w:sz w:val="18"/>
                <w:szCs w:val="18"/>
                <w:color w:val="auto"/>
              </w:rPr>
              <w:t>Indenture dated as of July 28, 2004, between OCN and the Bank of New York Trust Company, N.A., as trustee (6)</w:t>
            </w:r>
          </w:p>
        </w:tc>
      </w:tr>
      <w:tr>
        <w:trPr>
          <w:trHeight w:val="216"/>
        </w:trPr>
        <w:tc>
          <w:tcPr>
            <w:tcW w:w="1600" w:type="dxa"/>
            <w:vAlign w:val="bottom"/>
          </w:tcPr>
          <w:p>
            <w:pPr>
              <w:jc w:val="right"/>
              <w:ind w:right="250"/>
              <w:spacing w:after="0"/>
              <w:rPr>
                <w:sz w:val="20"/>
                <w:szCs w:val="20"/>
                <w:color w:val="auto"/>
              </w:rPr>
            </w:pPr>
            <w:r>
              <w:rPr>
                <w:rFonts w:ascii="Arial" w:cs="Arial" w:eastAsia="Arial" w:hAnsi="Arial"/>
                <w:sz w:val="18"/>
                <w:szCs w:val="18"/>
                <w:color w:val="auto"/>
              </w:rPr>
              <w:t>10.1*</w:t>
            </w:r>
          </w:p>
        </w:tc>
        <w:tc>
          <w:tcPr>
            <w:tcW w:w="9840" w:type="dxa"/>
            <w:vAlign w:val="bottom"/>
          </w:tcPr>
          <w:p>
            <w:pPr>
              <w:ind w:left="360"/>
              <w:spacing w:after="0"/>
              <w:rPr>
                <w:sz w:val="20"/>
                <w:szCs w:val="20"/>
                <w:color w:val="auto"/>
              </w:rPr>
            </w:pPr>
            <w:r>
              <w:rPr>
                <w:rFonts w:ascii="Arial" w:cs="Arial" w:eastAsia="Arial" w:hAnsi="Arial"/>
                <w:sz w:val="18"/>
                <w:szCs w:val="18"/>
                <w:color w:val="auto"/>
              </w:rPr>
              <w:t>Ocwen Financial Corporation 1996 Stock Plan for Directors, as amended (7)</w:t>
            </w:r>
          </w:p>
        </w:tc>
      </w:tr>
      <w:tr>
        <w:trPr>
          <w:trHeight w:val="216"/>
        </w:trPr>
        <w:tc>
          <w:tcPr>
            <w:tcW w:w="1600" w:type="dxa"/>
            <w:vAlign w:val="bottom"/>
          </w:tcPr>
          <w:p>
            <w:pPr>
              <w:jc w:val="right"/>
              <w:ind w:right="250"/>
              <w:spacing w:after="0"/>
              <w:rPr>
                <w:sz w:val="20"/>
                <w:szCs w:val="20"/>
                <w:color w:val="auto"/>
              </w:rPr>
            </w:pPr>
            <w:r>
              <w:rPr>
                <w:rFonts w:ascii="Arial" w:cs="Arial" w:eastAsia="Arial" w:hAnsi="Arial"/>
                <w:sz w:val="18"/>
                <w:szCs w:val="18"/>
                <w:color w:val="auto"/>
              </w:rPr>
              <w:t>10.2*</w:t>
            </w:r>
          </w:p>
        </w:tc>
        <w:tc>
          <w:tcPr>
            <w:tcW w:w="9840" w:type="dxa"/>
            <w:vAlign w:val="bottom"/>
          </w:tcPr>
          <w:p>
            <w:pPr>
              <w:ind w:left="360"/>
              <w:spacing w:after="0"/>
              <w:rPr>
                <w:sz w:val="20"/>
                <w:szCs w:val="20"/>
                <w:color w:val="auto"/>
              </w:rPr>
            </w:pPr>
            <w:r>
              <w:rPr>
                <w:rFonts w:ascii="Arial" w:cs="Arial" w:eastAsia="Arial" w:hAnsi="Arial"/>
                <w:sz w:val="18"/>
                <w:szCs w:val="18"/>
                <w:color w:val="auto"/>
              </w:rPr>
              <w:t>Ocwen Financial Corporation 1998 Annual Incentive Plan (8)</w:t>
            </w:r>
          </w:p>
        </w:tc>
      </w:tr>
      <w:tr>
        <w:trPr>
          <w:trHeight w:val="216"/>
        </w:trPr>
        <w:tc>
          <w:tcPr>
            <w:tcW w:w="1600" w:type="dxa"/>
            <w:vAlign w:val="bottom"/>
          </w:tcPr>
          <w:p>
            <w:pPr>
              <w:jc w:val="right"/>
              <w:ind w:right="350"/>
              <w:spacing w:after="0"/>
              <w:rPr>
                <w:sz w:val="20"/>
                <w:szCs w:val="20"/>
                <w:color w:val="auto"/>
              </w:rPr>
            </w:pPr>
            <w:r>
              <w:rPr>
                <w:rFonts w:ascii="Arial" w:cs="Arial" w:eastAsia="Arial" w:hAnsi="Arial"/>
                <w:sz w:val="18"/>
                <w:szCs w:val="18"/>
                <w:color w:val="auto"/>
              </w:rPr>
              <w:t>10.3</w:t>
            </w:r>
          </w:p>
        </w:tc>
        <w:tc>
          <w:tcPr>
            <w:tcW w:w="9840" w:type="dxa"/>
            <w:vAlign w:val="bottom"/>
          </w:tcPr>
          <w:p>
            <w:pPr>
              <w:ind w:left="360"/>
              <w:spacing w:after="0"/>
              <w:rPr>
                <w:sz w:val="20"/>
                <w:szCs w:val="20"/>
                <w:color w:val="auto"/>
              </w:rPr>
            </w:pPr>
            <w:r>
              <w:rPr>
                <w:rFonts w:ascii="Arial" w:cs="Arial" w:eastAsia="Arial" w:hAnsi="Arial"/>
                <w:sz w:val="18"/>
                <w:szCs w:val="18"/>
                <w:color w:val="auto"/>
                <w:w w:val="92"/>
              </w:rPr>
              <w:t>Compensation and Indemnification Agreement, dated as of May 6, 1999, between Ocwen Asset Investment Corp. (OAC) and the</w:t>
            </w:r>
          </w:p>
        </w:tc>
      </w:tr>
      <w:tr>
        <w:trPr>
          <w:trHeight w:val="216"/>
        </w:trPr>
        <w:tc>
          <w:tcPr>
            <w:tcW w:w="1600" w:type="dxa"/>
            <w:vAlign w:val="bottom"/>
          </w:tcPr>
          <w:p>
            <w:pPr>
              <w:spacing w:after="0"/>
              <w:rPr>
                <w:sz w:val="18"/>
                <w:szCs w:val="18"/>
                <w:color w:val="auto"/>
              </w:rPr>
            </w:pPr>
          </w:p>
        </w:tc>
        <w:tc>
          <w:tcPr>
            <w:tcW w:w="9840" w:type="dxa"/>
            <w:vAlign w:val="bottom"/>
          </w:tcPr>
          <w:p>
            <w:pPr>
              <w:ind w:left="360"/>
              <w:spacing w:after="0"/>
              <w:rPr>
                <w:sz w:val="20"/>
                <w:szCs w:val="20"/>
                <w:color w:val="auto"/>
              </w:rPr>
            </w:pPr>
            <w:r>
              <w:rPr>
                <w:rFonts w:ascii="Arial" w:cs="Arial" w:eastAsia="Arial" w:hAnsi="Arial"/>
                <w:sz w:val="18"/>
                <w:szCs w:val="18"/>
                <w:color w:val="auto"/>
              </w:rPr>
              <w:t>independent committee of the Board of Directors (9)</w:t>
            </w:r>
          </w:p>
        </w:tc>
      </w:tr>
      <w:tr>
        <w:trPr>
          <w:trHeight w:val="216"/>
        </w:trPr>
        <w:tc>
          <w:tcPr>
            <w:tcW w:w="1600" w:type="dxa"/>
            <w:vAlign w:val="bottom"/>
          </w:tcPr>
          <w:p>
            <w:pPr>
              <w:jc w:val="right"/>
              <w:ind w:right="350"/>
              <w:spacing w:after="0"/>
              <w:rPr>
                <w:sz w:val="20"/>
                <w:szCs w:val="20"/>
                <w:color w:val="auto"/>
              </w:rPr>
            </w:pPr>
            <w:r>
              <w:rPr>
                <w:rFonts w:ascii="Arial" w:cs="Arial" w:eastAsia="Arial" w:hAnsi="Arial"/>
                <w:sz w:val="18"/>
                <w:szCs w:val="18"/>
                <w:color w:val="auto"/>
              </w:rPr>
              <w:t>10.4</w:t>
            </w:r>
          </w:p>
        </w:tc>
        <w:tc>
          <w:tcPr>
            <w:tcW w:w="9840" w:type="dxa"/>
            <w:vAlign w:val="bottom"/>
          </w:tcPr>
          <w:p>
            <w:pPr>
              <w:ind w:left="360"/>
              <w:spacing w:after="0"/>
              <w:rPr>
                <w:sz w:val="20"/>
                <w:szCs w:val="20"/>
                <w:color w:val="auto"/>
              </w:rPr>
            </w:pPr>
            <w:r>
              <w:rPr>
                <w:rFonts w:ascii="Arial" w:cs="Arial" w:eastAsia="Arial" w:hAnsi="Arial"/>
                <w:sz w:val="18"/>
                <w:szCs w:val="18"/>
                <w:color w:val="auto"/>
              </w:rPr>
              <w:t>Indemnity agreement, dated August 24, 1999, among OCN and OAC’s directors (10)</w:t>
            </w:r>
          </w:p>
        </w:tc>
      </w:tr>
      <w:tr>
        <w:trPr>
          <w:trHeight w:val="216"/>
        </w:trPr>
        <w:tc>
          <w:tcPr>
            <w:tcW w:w="1600" w:type="dxa"/>
            <w:vAlign w:val="bottom"/>
          </w:tcPr>
          <w:p>
            <w:pPr>
              <w:jc w:val="right"/>
              <w:ind w:right="250"/>
              <w:spacing w:after="0"/>
              <w:rPr>
                <w:sz w:val="20"/>
                <w:szCs w:val="20"/>
                <w:color w:val="auto"/>
              </w:rPr>
            </w:pPr>
            <w:r>
              <w:rPr>
                <w:rFonts w:ascii="Arial" w:cs="Arial" w:eastAsia="Arial" w:hAnsi="Arial"/>
                <w:sz w:val="18"/>
                <w:szCs w:val="18"/>
                <w:color w:val="auto"/>
              </w:rPr>
              <w:t>10.5*</w:t>
            </w:r>
          </w:p>
        </w:tc>
        <w:tc>
          <w:tcPr>
            <w:tcW w:w="9840" w:type="dxa"/>
            <w:vAlign w:val="bottom"/>
          </w:tcPr>
          <w:p>
            <w:pPr>
              <w:ind w:left="360"/>
              <w:spacing w:after="0"/>
              <w:rPr>
                <w:sz w:val="20"/>
                <w:szCs w:val="20"/>
                <w:color w:val="auto"/>
              </w:rPr>
            </w:pPr>
            <w:r>
              <w:rPr>
                <w:rFonts w:ascii="Arial" w:cs="Arial" w:eastAsia="Arial" w:hAnsi="Arial"/>
                <w:sz w:val="18"/>
                <w:szCs w:val="18"/>
                <w:color w:val="auto"/>
              </w:rPr>
              <w:t>Amended Ocwen Financial Corporation 1991 Non-Qualified Stock Option Plan, dated October 26, 1999 (10)</w:t>
            </w:r>
          </w:p>
        </w:tc>
      </w:tr>
      <w:tr>
        <w:trPr>
          <w:trHeight w:val="216"/>
        </w:trPr>
        <w:tc>
          <w:tcPr>
            <w:tcW w:w="1600" w:type="dxa"/>
            <w:vAlign w:val="bottom"/>
          </w:tcPr>
          <w:p>
            <w:pPr>
              <w:jc w:val="right"/>
              <w:ind w:right="350"/>
              <w:spacing w:after="0"/>
              <w:rPr>
                <w:sz w:val="20"/>
                <w:szCs w:val="20"/>
                <w:color w:val="auto"/>
              </w:rPr>
            </w:pPr>
            <w:r>
              <w:rPr>
                <w:rFonts w:ascii="Arial" w:cs="Arial" w:eastAsia="Arial" w:hAnsi="Arial"/>
                <w:sz w:val="18"/>
                <w:szCs w:val="18"/>
                <w:color w:val="auto"/>
              </w:rPr>
              <w:t>10.6</w:t>
            </w:r>
          </w:p>
        </w:tc>
        <w:tc>
          <w:tcPr>
            <w:tcW w:w="9840" w:type="dxa"/>
            <w:vAlign w:val="bottom"/>
          </w:tcPr>
          <w:p>
            <w:pPr>
              <w:ind w:left="360"/>
              <w:spacing w:after="0"/>
              <w:rPr>
                <w:sz w:val="20"/>
                <w:szCs w:val="20"/>
                <w:color w:val="auto"/>
              </w:rPr>
            </w:pPr>
            <w:r>
              <w:rPr>
                <w:rFonts w:ascii="Arial" w:cs="Arial" w:eastAsia="Arial" w:hAnsi="Arial"/>
                <w:sz w:val="18"/>
                <w:szCs w:val="18"/>
                <w:color w:val="auto"/>
                <w:w w:val="98"/>
              </w:rPr>
              <w:t>First Amendment to Agreement, dated March 30, 2000 between HCT Investments, Inc. and OAIC Partnership I, L.P. (10)</w:t>
            </w:r>
          </w:p>
        </w:tc>
      </w:tr>
      <w:tr>
        <w:trPr>
          <w:trHeight w:val="216"/>
        </w:trPr>
        <w:tc>
          <w:tcPr>
            <w:tcW w:w="1600" w:type="dxa"/>
            <w:vAlign w:val="bottom"/>
          </w:tcPr>
          <w:p>
            <w:pPr>
              <w:jc w:val="right"/>
              <w:ind w:right="250"/>
              <w:spacing w:after="0"/>
              <w:rPr>
                <w:sz w:val="20"/>
                <w:szCs w:val="20"/>
                <w:color w:val="auto"/>
              </w:rPr>
            </w:pPr>
            <w:r>
              <w:rPr>
                <w:rFonts w:ascii="Arial" w:cs="Arial" w:eastAsia="Arial" w:hAnsi="Arial"/>
                <w:sz w:val="18"/>
                <w:szCs w:val="18"/>
                <w:color w:val="auto"/>
              </w:rPr>
              <w:t>10.7*</w:t>
            </w:r>
          </w:p>
        </w:tc>
        <w:tc>
          <w:tcPr>
            <w:tcW w:w="9840" w:type="dxa"/>
            <w:vAlign w:val="bottom"/>
          </w:tcPr>
          <w:p>
            <w:pPr>
              <w:ind w:left="360"/>
              <w:spacing w:after="0"/>
              <w:rPr>
                <w:sz w:val="20"/>
                <w:szCs w:val="20"/>
                <w:color w:val="auto"/>
              </w:rPr>
            </w:pPr>
            <w:r>
              <w:rPr>
                <w:rFonts w:ascii="Arial" w:cs="Arial" w:eastAsia="Arial" w:hAnsi="Arial"/>
                <w:sz w:val="18"/>
                <w:szCs w:val="18"/>
                <w:color w:val="auto"/>
              </w:rPr>
              <w:t>Ocwen Financial Corporation Deferral Plan for Directors, dated March 7, 2005 (11)</w:t>
            </w:r>
          </w:p>
        </w:tc>
      </w:tr>
      <w:tr>
        <w:trPr>
          <w:trHeight w:val="216"/>
        </w:trPr>
        <w:tc>
          <w:tcPr>
            <w:tcW w:w="1600" w:type="dxa"/>
            <w:vAlign w:val="bottom"/>
          </w:tcPr>
          <w:p>
            <w:pPr>
              <w:jc w:val="right"/>
              <w:ind w:right="350"/>
              <w:spacing w:after="0"/>
              <w:rPr>
                <w:sz w:val="20"/>
                <w:szCs w:val="20"/>
                <w:color w:val="auto"/>
              </w:rPr>
            </w:pPr>
            <w:r>
              <w:rPr>
                <w:rFonts w:ascii="Arial" w:cs="Arial" w:eastAsia="Arial" w:hAnsi="Arial"/>
                <w:sz w:val="18"/>
                <w:szCs w:val="18"/>
                <w:color w:val="auto"/>
              </w:rPr>
              <w:t>10.8</w:t>
            </w:r>
          </w:p>
        </w:tc>
        <w:tc>
          <w:tcPr>
            <w:tcW w:w="9840" w:type="dxa"/>
            <w:vAlign w:val="bottom"/>
          </w:tcPr>
          <w:p>
            <w:pPr>
              <w:ind w:left="360"/>
              <w:spacing w:after="0"/>
              <w:rPr>
                <w:sz w:val="20"/>
                <w:szCs w:val="20"/>
                <w:color w:val="auto"/>
              </w:rPr>
            </w:pPr>
            <w:r>
              <w:rPr>
                <w:rFonts w:ascii="Arial" w:cs="Arial" w:eastAsia="Arial" w:hAnsi="Arial"/>
                <w:sz w:val="18"/>
                <w:szCs w:val="18"/>
                <w:color w:val="auto"/>
              </w:rPr>
              <w:t>Collateral Trust Agreement, dated June 28, 2005, between OCN and the Bank of New York Trust Company, N.A. (12)</w:t>
            </w:r>
          </w:p>
        </w:tc>
      </w:tr>
      <w:tr>
        <w:trPr>
          <w:trHeight w:val="216"/>
        </w:trPr>
        <w:tc>
          <w:tcPr>
            <w:tcW w:w="1600" w:type="dxa"/>
            <w:vAlign w:val="bottom"/>
          </w:tcPr>
          <w:p>
            <w:pPr>
              <w:jc w:val="right"/>
              <w:ind w:right="350"/>
              <w:spacing w:after="0"/>
              <w:rPr>
                <w:sz w:val="20"/>
                <w:szCs w:val="20"/>
                <w:color w:val="auto"/>
              </w:rPr>
            </w:pPr>
            <w:r>
              <w:rPr>
                <w:rFonts w:ascii="Arial" w:cs="Arial" w:eastAsia="Arial" w:hAnsi="Arial"/>
                <w:sz w:val="18"/>
                <w:szCs w:val="18"/>
                <w:color w:val="auto"/>
              </w:rPr>
              <w:t>10.9</w:t>
            </w:r>
          </w:p>
        </w:tc>
        <w:tc>
          <w:tcPr>
            <w:tcW w:w="9840" w:type="dxa"/>
            <w:vAlign w:val="bottom"/>
          </w:tcPr>
          <w:p>
            <w:pPr>
              <w:ind w:left="360"/>
              <w:spacing w:after="0"/>
              <w:rPr>
                <w:sz w:val="20"/>
                <w:szCs w:val="20"/>
                <w:color w:val="auto"/>
              </w:rPr>
            </w:pPr>
            <w:r>
              <w:rPr>
                <w:rFonts w:ascii="Arial" w:cs="Arial" w:eastAsia="Arial" w:hAnsi="Arial"/>
                <w:sz w:val="18"/>
                <w:szCs w:val="18"/>
                <w:color w:val="auto"/>
              </w:rPr>
              <w:t>Guaranty, dated June 28, 2005, from OCN to the Guaranteed Parties (12)</w:t>
            </w:r>
          </w:p>
        </w:tc>
      </w:tr>
      <w:tr>
        <w:trPr>
          <w:trHeight w:val="216"/>
        </w:trPr>
        <w:tc>
          <w:tcPr>
            <w:tcW w:w="1600" w:type="dxa"/>
            <w:vAlign w:val="bottom"/>
          </w:tcPr>
          <w:p>
            <w:pPr>
              <w:jc w:val="right"/>
              <w:ind w:right="350"/>
              <w:spacing w:after="0"/>
              <w:rPr>
                <w:sz w:val="20"/>
                <w:szCs w:val="20"/>
                <w:color w:val="auto"/>
              </w:rPr>
            </w:pPr>
            <w:r>
              <w:rPr>
                <w:rFonts w:ascii="Arial" w:cs="Arial" w:eastAsia="Arial" w:hAnsi="Arial"/>
                <w:sz w:val="18"/>
                <w:szCs w:val="18"/>
                <w:color w:val="auto"/>
              </w:rPr>
              <w:t>10.10</w:t>
            </w:r>
          </w:p>
        </w:tc>
        <w:tc>
          <w:tcPr>
            <w:tcW w:w="9840" w:type="dxa"/>
            <w:vAlign w:val="bottom"/>
          </w:tcPr>
          <w:p>
            <w:pPr>
              <w:ind w:left="360"/>
              <w:spacing w:after="0"/>
              <w:rPr>
                <w:sz w:val="20"/>
                <w:szCs w:val="20"/>
                <w:color w:val="auto"/>
              </w:rPr>
            </w:pPr>
            <w:r>
              <w:rPr>
                <w:rFonts w:ascii="Arial" w:cs="Arial" w:eastAsia="Arial" w:hAnsi="Arial"/>
                <w:sz w:val="18"/>
                <w:szCs w:val="18"/>
                <w:color w:val="auto"/>
                <w:w w:val="91"/>
              </w:rPr>
              <w:t>Cash Collateral Agreement, dated June 28, 2005, among OCN, Bank of New York Trust Company, N.A. as collateral Trustee and</w:t>
            </w:r>
          </w:p>
        </w:tc>
      </w:tr>
      <w:tr>
        <w:trPr>
          <w:trHeight w:val="216"/>
        </w:trPr>
        <w:tc>
          <w:tcPr>
            <w:tcW w:w="1600" w:type="dxa"/>
            <w:vAlign w:val="bottom"/>
          </w:tcPr>
          <w:p>
            <w:pPr>
              <w:spacing w:after="0"/>
              <w:rPr>
                <w:sz w:val="18"/>
                <w:szCs w:val="18"/>
                <w:color w:val="auto"/>
              </w:rPr>
            </w:pPr>
          </w:p>
        </w:tc>
        <w:tc>
          <w:tcPr>
            <w:tcW w:w="9840" w:type="dxa"/>
            <w:vAlign w:val="bottom"/>
          </w:tcPr>
          <w:p>
            <w:pPr>
              <w:ind w:left="360"/>
              <w:spacing w:after="0"/>
              <w:rPr>
                <w:sz w:val="20"/>
                <w:szCs w:val="20"/>
                <w:color w:val="auto"/>
              </w:rPr>
            </w:pPr>
            <w:r>
              <w:rPr>
                <w:rFonts w:ascii="Arial" w:cs="Arial" w:eastAsia="Arial" w:hAnsi="Arial"/>
                <w:sz w:val="18"/>
                <w:szCs w:val="18"/>
                <w:color w:val="auto"/>
              </w:rPr>
              <w:t>Bank of New York Trust Company, N.A. as Account Bank (12)</w:t>
            </w:r>
          </w:p>
        </w:tc>
      </w:tr>
      <w:tr>
        <w:trPr>
          <w:trHeight w:val="216"/>
        </w:trPr>
        <w:tc>
          <w:tcPr>
            <w:tcW w:w="1600" w:type="dxa"/>
            <w:vAlign w:val="bottom"/>
          </w:tcPr>
          <w:p>
            <w:pPr>
              <w:jc w:val="right"/>
              <w:ind w:right="250"/>
              <w:spacing w:after="0"/>
              <w:rPr>
                <w:sz w:val="20"/>
                <w:szCs w:val="20"/>
                <w:color w:val="auto"/>
              </w:rPr>
            </w:pPr>
            <w:r>
              <w:rPr>
                <w:rFonts w:ascii="Arial" w:cs="Arial" w:eastAsia="Arial" w:hAnsi="Arial"/>
                <w:sz w:val="18"/>
                <w:szCs w:val="18"/>
                <w:color w:val="auto"/>
              </w:rPr>
              <w:t>10.11*</w:t>
            </w:r>
          </w:p>
        </w:tc>
        <w:tc>
          <w:tcPr>
            <w:tcW w:w="9840" w:type="dxa"/>
            <w:vAlign w:val="bottom"/>
          </w:tcPr>
          <w:p>
            <w:pPr>
              <w:ind w:left="360"/>
              <w:spacing w:after="0"/>
              <w:rPr>
                <w:sz w:val="20"/>
                <w:szCs w:val="20"/>
                <w:color w:val="auto"/>
              </w:rPr>
            </w:pPr>
            <w:r>
              <w:rPr>
                <w:rFonts w:ascii="Arial" w:cs="Arial" w:eastAsia="Arial" w:hAnsi="Arial"/>
                <w:sz w:val="18"/>
                <w:szCs w:val="18"/>
                <w:color w:val="auto"/>
              </w:rPr>
              <w:t>Ocwen Financial Corporation 2007 Equity Incentive Plan dated May 10, 2007 (13)</w:t>
            </w:r>
          </w:p>
        </w:tc>
      </w:tr>
      <w:tr>
        <w:trPr>
          <w:trHeight w:val="216"/>
        </w:trPr>
        <w:tc>
          <w:tcPr>
            <w:tcW w:w="1600" w:type="dxa"/>
            <w:vAlign w:val="bottom"/>
          </w:tcPr>
          <w:p>
            <w:pPr>
              <w:jc w:val="right"/>
              <w:ind w:right="350"/>
              <w:spacing w:after="0"/>
              <w:rPr>
                <w:sz w:val="20"/>
                <w:szCs w:val="20"/>
                <w:color w:val="auto"/>
              </w:rPr>
            </w:pPr>
            <w:r>
              <w:rPr>
                <w:rFonts w:ascii="Arial" w:cs="Arial" w:eastAsia="Arial" w:hAnsi="Arial"/>
                <w:sz w:val="18"/>
                <w:szCs w:val="18"/>
                <w:color w:val="auto"/>
              </w:rPr>
              <w:t>10.12</w:t>
            </w:r>
          </w:p>
        </w:tc>
        <w:tc>
          <w:tcPr>
            <w:tcW w:w="9840" w:type="dxa"/>
            <w:vAlign w:val="bottom"/>
          </w:tcPr>
          <w:p>
            <w:pPr>
              <w:ind w:left="360"/>
              <w:spacing w:after="0"/>
              <w:rPr>
                <w:sz w:val="20"/>
                <w:szCs w:val="20"/>
                <w:color w:val="auto"/>
              </w:rPr>
            </w:pPr>
            <w:r>
              <w:rPr>
                <w:rFonts w:ascii="Arial" w:cs="Arial" w:eastAsia="Arial" w:hAnsi="Arial"/>
                <w:sz w:val="18"/>
                <w:szCs w:val="18"/>
                <w:color w:val="auto"/>
                <w:w w:val="92"/>
              </w:rPr>
              <w:t>Tax Matters Agreement, dated as of August 10, 2009, by and between Ocwen Financial Corporation and Altisource Solutions S.à</w:t>
            </w:r>
          </w:p>
        </w:tc>
      </w:tr>
      <w:tr>
        <w:trPr>
          <w:trHeight w:val="216"/>
        </w:trPr>
        <w:tc>
          <w:tcPr>
            <w:tcW w:w="1600" w:type="dxa"/>
            <w:vAlign w:val="bottom"/>
          </w:tcPr>
          <w:p>
            <w:pPr>
              <w:spacing w:after="0"/>
              <w:rPr>
                <w:sz w:val="18"/>
                <w:szCs w:val="18"/>
                <w:color w:val="auto"/>
              </w:rPr>
            </w:pPr>
          </w:p>
        </w:tc>
        <w:tc>
          <w:tcPr>
            <w:tcW w:w="9840" w:type="dxa"/>
            <w:vAlign w:val="bottom"/>
          </w:tcPr>
          <w:p>
            <w:pPr>
              <w:ind w:left="360"/>
              <w:spacing w:after="0"/>
              <w:rPr>
                <w:sz w:val="20"/>
                <w:szCs w:val="20"/>
                <w:color w:val="auto"/>
              </w:rPr>
            </w:pPr>
            <w:r>
              <w:rPr>
                <w:rFonts w:ascii="Arial" w:cs="Arial" w:eastAsia="Arial" w:hAnsi="Arial"/>
                <w:sz w:val="18"/>
                <w:szCs w:val="18"/>
                <w:color w:val="auto"/>
              </w:rPr>
              <w:t>r.l. (2)</w:t>
            </w:r>
          </w:p>
        </w:tc>
      </w:tr>
      <w:tr>
        <w:trPr>
          <w:trHeight w:val="216"/>
        </w:trPr>
        <w:tc>
          <w:tcPr>
            <w:tcW w:w="1600" w:type="dxa"/>
            <w:vAlign w:val="bottom"/>
          </w:tcPr>
          <w:p>
            <w:pPr>
              <w:jc w:val="right"/>
              <w:ind w:right="350"/>
              <w:spacing w:after="0"/>
              <w:rPr>
                <w:sz w:val="20"/>
                <w:szCs w:val="20"/>
                <w:color w:val="auto"/>
              </w:rPr>
            </w:pPr>
            <w:r>
              <w:rPr>
                <w:rFonts w:ascii="Arial" w:cs="Arial" w:eastAsia="Arial" w:hAnsi="Arial"/>
                <w:sz w:val="18"/>
                <w:szCs w:val="18"/>
                <w:color w:val="auto"/>
              </w:rPr>
              <w:t>10.13</w:t>
            </w:r>
          </w:p>
        </w:tc>
        <w:tc>
          <w:tcPr>
            <w:tcW w:w="9840" w:type="dxa"/>
            <w:vAlign w:val="bottom"/>
          </w:tcPr>
          <w:p>
            <w:pPr>
              <w:ind w:left="360"/>
              <w:spacing w:after="0"/>
              <w:rPr>
                <w:sz w:val="20"/>
                <w:szCs w:val="20"/>
                <w:color w:val="auto"/>
              </w:rPr>
            </w:pPr>
            <w:r>
              <w:rPr>
                <w:rFonts w:ascii="Arial" w:cs="Arial" w:eastAsia="Arial" w:hAnsi="Arial"/>
                <w:sz w:val="18"/>
                <w:szCs w:val="18"/>
                <w:color w:val="auto"/>
                <w:w w:val="97"/>
              </w:rPr>
              <w:t>Transition Services Agreement, dated as of August 10, 2009, by and between Ocwen Financial Corporation and Altisource</w:t>
            </w:r>
          </w:p>
        </w:tc>
      </w:tr>
      <w:tr>
        <w:trPr>
          <w:trHeight w:val="216"/>
        </w:trPr>
        <w:tc>
          <w:tcPr>
            <w:tcW w:w="1600" w:type="dxa"/>
            <w:vAlign w:val="bottom"/>
          </w:tcPr>
          <w:p>
            <w:pPr>
              <w:spacing w:after="0"/>
              <w:rPr>
                <w:sz w:val="18"/>
                <w:szCs w:val="18"/>
                <w:color w:val="auto"/>
              </w:rPr>
            </w:pPr>
          </w:p>
        </w:tc>
        <w:tc>
          <w:tcPr>
            <w:tcW w:w="9840" w:type="dxa"/>
            <w:vAlign w:val="bottom"/>
          </w:tcPr>
          <w:p>
            <w:pPr>
              <w:ind w:left="360"/>
              <w:spacing w:after="0"/>
              <w:rPr>
                <w:sz w:val="20"/>
                <w:szCs w:val="20"/>
                <w:color w:val="auto"/>
              </w:rPr>
            </w:pPr>
            <w:r>
              <w:rPr>
                <w:rFonts w:ascii="Arial" w:cs="Arial" w:eastAsia="Arial" w:hAnsi="Arial"/>
                <w:sz w:val="18"/>
                <w:szCs w:val="18"/>
                <w:color w:val="auto"/>
              </w:rPr>
              <w:t>Solutions S.à r.l. (2)</w:t>
            </w:r>
          </w:p>
        </w:tc>
      </w:tr>
      <w:tr>
        <w:trPr>
          <w:trHeight w:val="216"/>
        </w:trPr>
        <w:tc>
          <w:tcPr>
            <w:tcW w:w="1600" w:type="dxa"/>
            <w:vAlign w:val="bottom"/>
          </w:tcPr>
          <w:p>
            <w:pPr>
              <w:jc w:val="right"/>
              <w:ind w:right="350"/>
              <w:spacing w:after="0"/>
              <w:rPr>
                <w:sz w:val="20"/>
                <w:szCs w:val="20"/>
                <w:color w:val="auto"/>
              </w:rPr>
            </w:pPr>
            <w:r>
              <w:rPr>
                <w:rFonts w:ascii="Arial" w:cs="Arial" w:eastAsia="Arial" w:hAnsi="Arial"/>
                <w:sz w:val="18"/>
                <w:szCs w:val="18"/>
                <w:color w:val="auto"/>
              </w:rPr>
              <w:t>10.14</w:t>
            </w:r>
          </w:p>
        </w:tc>
        <w:tc>
          <w:tcPr>
            <w:tcW w:w="9840" w:type="dxa"/>
            <w:vAlign w:val="bottom"/>
          </w:tcPr>
          <w:p>
            <w:pPr>
              <w:ind w:left="360"/>
              <w:spacing w:after="0"/>
              <w:rPr>
                <w:sz w:val="20"/>
                <w:szCs w:val="20"/>
                <w:color w:val="auto"/>
              </w:rPr>
            </w:pPr>
            <w:r>
              <w:rPr>
                <w:rFonts w:ascii="Arial" w:cs="Arial" w:eastAsia="Arial" w:hAnsi="Arial"/>
                <w:sz w:val="18"/>
                <w:szCs w:val="18"/>
                <w:color w:val="auto"/>
                <w:w w:val="97"/>
              </w:rPr>
              <w:t>Employee Matters Agreement, dated as of August 10, 2009, by and between Ocwen Financial Corporation and Altisource</w:t>
            </w:r>
          </w:p>
        </w:tc>
      </w:tr>
      <w:tr>
        <w:trPr>
          <w:trHeight w:val="216"/>
        </w:trPr>
        <w:tc>
          <w:tcPr>
            <w:tcW w:w="1600" w:type="dxa"/>
            <w:vAlign w:val="bottom"/>
          </w:tcPr>
          <w:p>
            <w:pPr>
              <w:spacing w:after="0"/>
              <w:rPr>
                <w:sz w:val="18"/>
                <w:szCs w:val="18"/>
                <w:color w:val="auto"/>
              </w:rPr>
            </w:pPr>
          </w:p>
        </w:tc>
        <w:tc>
          <w:tcPr>
            <w:tcW w:w="9840" w:type="dxa"/>
            <w:vAlign w:val="bottom"/>
          </w:tcPr>
          <w:p>
            <w:pPr>
              <w:ind w:left="360"/>
              <w:spacing w:after="0"/>
              <w:rPr>
                <w:sz w:val="20"/>
                <w:szCs w:val="20"/>
                <w:color w:val="auto"/>
              </w:rPr>
            </w:pPr>
            <w:r>
              <w:rPr>
                <w:rFonts w:ascii="Arial" w:cs="Arial" w:eastAsia="Arial" w:hAnsi="Arial"/>
                <w:sz w:val="18"/>
                <w:szCs w:val="18"/>
                <w:color w:val="auto"/>
              </w:rPr>
              <w:t>Solutions S.à r.l. (2)</w:t>
            </w:r>
          </w:p>
        </w:tc>
      </w:tr>
      <w:tr>
        <w:trPr>
          <w:trHeight w:val="216"/>
        </w:trPr>
        <w:tc>
          <w:tcPr>
            <w:tcW w:w="1600" w:type="dxa"/>
            <w:vAlign w:val="bottom"/>
          </w:tcPr>
          <w:p>
            <w:pPr>
              <w:jc w:val="right"/>
              <w:ind w:right="350"/>
              <w:spacing w:after="0"/>
              <w:rPr>
                <w:sz w:val="20"/>
                <w:szCs w:val="20"/>
                <w:color w:val="auto"/>
              </w:rPr>
            </w:pPr>
            <w:r>
              <w:rPr>
                <w:rFonts w:ascii="Arial" w:cs="Arial" w:eastAsia="Arial" w:hAnsi="Arial"/>
                <w:sz w:val="18"/>
                <w:szCs w:val="18"/>
                <w:color w:val="auto"/>
              </w:rPr>
              <w:t>10.15</w:t>
            </w:r>
          </w:p>
        </w:tc>
        <w:tc>
          <w:tcPr>
            <w:tcW w:w="9840" w:type="dxa"/>
            <w:vAlign w:val="bottom"/>
          </w:tcPr>
          <w:p>
            <w:pPr>
              <w:ind w:left="360"/>
              <w:spacing w:after="0"/>
              <w:rPr>
                <w:sz w:val="20"/>
                <w:szCs w:val="20"/>
                <w:color w:val="auto"/>
              </w:rPr>
            </w:pPr>
            <w:r>
              <w:rPr>
                <w:rFonts w:ascii="Arial" w:cs="Arial" w:eastAsia="Arial" w:hAnsi="Arial"/>
                <w:sz w:val="18"/>
                <w:szCs w:val="18"/>
                <w:color w:val="auto"/>
                <w:w w:val="96"/>
              </w:rPr>
              <w:t>Technology Products Services Agreement, dated as of August 10, 2009, by and between Ocwen Financial Corporation and</w:t>
            </w:r>
          </w:p>
        </w:tc>
      </w:tr>
      <w:tr>
        <w:trPr>
          <w:trHeight w:val="216"/>
        </w:trPr>
        <w:tc>
          <w:tcPr>
            <w:tcW w:w="1600" w:type="dxa"/>
            <w:vAlign w:val="bottom"/>
          </w:tcPr>
          <w:p>
            <w:pPr>
              <w:spacing w:after="0"/>
              <w:rPr>
                <w:sz w:val="18"/>
                <w:szCs w:val="18"/>
                <w:color w:val="auto"/>
              </w:rPr>
            </w:pPr>
          </w:p>
        </w:tc>
        <w:tc>
          <w:tcPr>
            <w:tcW w:w="9840" w:type="dxa"/>
            <w:vAlign w:val="bottom"/>
          </w:tcPr>
          <w:p>
            <w:pPr>
              <w:ind w:left="360"/>
              <w:spacing w:after="0"/>
              <w:rPr>
                <w:sz w:val="20"/>
                <w:szCs w:val="20"/>
                <w:color w:val="auto"/>
              </w:rPr>
            </w:pPr>
            <w:r>
              <w:rPr>
                <w:rFonts w:ascii="Arial" w:cs="Arial" w:eastAsia="Arial" w:hAnsi="Arial"/>
                <w:sz w:val="18"/>
                <w:szCs w:val="18"/>
                <w:color w:val="auto"/>
              </w:rPr>
              <w:t>Altisource Solutions S.à r.l. (2)</w:t>
            </w:r>
          </w:p>
        </w:tc>
      </w:tr>
      <w:tr>
        <w:trPr>
          <w:trHeight w:val="216"/>
        </w:trPr>
        <w:tc>
          <w:tcPr>
            <w:tcW w:w="1600" w:type="dxa"/>
            <w:vAlign w:val="bottom"/>
          </w:tcPr>
          <w:p>
            <w:pPr>
              <w:jc w:val="right"/>
              <w:ind w:right="350"/>
              <w:spacing w:after="0"/>
              <w:rPr>
                <w:sz w:val="20"/>
                <w:szCs w:val="20"/>
                <w:color w:val="auto"/>
              </w:rPr>
            </w:pPr>
            <w:r>
              <w:rPr>
                <w:rFonts w:ascii="Arial" w:cs="Arial" w:eastAsia="Arial" w:hAnsi="Arial"/>
                <w:sz w:val="18"/>
                <w:szCs w:val="18"/>
                <w:color w:val="auto"/>
              </w:rPr>
              <w:t>10.16</w:t>
            </w:r>
          </w:p>
        </w:tc>
        <w:tc>
          <w:tcPr>
            <w:tcW w:w="9840" w:type="dxa"/>
            <w:vAlign w:val="bottom"/>
          </w:tcPr>
          <w:p>
            <w:pPr>
              <w:ind w:left="360"/>
              <w:spacing w:after="0"/>
              <w:rPr>
                <w:sz w:val="20"/>
                <w:szCs w:val="20"/>
                <w:color w:val="auto"/>
              </w:rPr>
            </w:pPr>
            <w:r>
              <w:rPr>
                <w:rFonts w:ascii="Arial" w:cs="Arial" w:eastAsia="Arial" w:hAnsi="Arial"/>
                <w:sz w:val="18"/>
                <w:szCs w:val="18"/>
                <w:color w:val="auto"/>
                <w:w w:val="92"/>
              </w:rPr>
              <w:t>Services Agreement, dated as of August 10, 2009, by and between Ocwen Financial Corporation and Altisource Solutions S.à r.l.</w:t>
            </w:r>
          </w:p>
        </w:tc>
      </w:tr>
      <w:tr>
        <w:trPr>
          <w:trHeight w:val="216"/>
        </w:trPr>
        <w:tc>
          <w:tcPr>
            <w:tcW w:w="1600" w:type="dxa"/>
            <w:vAlign w:val="bottom"/>
          </w:tcPr>
          <w:p>
            <w:pPr>
              <w:spacing w:after="0"/>
              <w:rPr>
                <w:sz w:val="18"/>
                <w:szCs w:val="18"/>
                <w:color w:val="auto"/>
              </w:rPr>
            </w:pPr>
          </w:p>
        </w:tc>
        <w:tc>
          <w:tcPr>
            <w:tcW w:w="9840" w:type="dxa"/>
            <w:vAlign w:val="bottom"/>
          </w:tcPr>
          <w:p>
            <w:pPr>
              <w:ind w:left="360"/>
              <w:spacing w:after="0"/>
              <w:rPr>
                <w:sz w:val="20"/>
                <w:szCs w:val="20"/>
                <w:color w:val="auto"/>
              </w:rPr>
            </w:pPr>
            <w:r>
              <w:rPr>
                <w:rFonts w:ascii="Arial" w:cs="Arial" w:eastAsia="Arial" w:hAnsi="Arial"/>
                <w:sz w:val="18"/>
                <w:szCs w:val="18"/>
                <w:color w:val="auto"/>
              </w:rPr>
              <w:t>(2)</w:t>
            </w:r>
          </w:p>
        </w:tc>
      </w:tr>
      <w:tr>
        <w:trPr>
          <w:trHeight w:val="216"/>
        </w:trPr>
        <w:tc>
          <w:tcPr>
            <w:tcW w:w="1600" w:type="dxa"/>
            <w:vAlign w:val="bottom"/>
          </w:tcPr>
          <w:p>
            <w:pPr>
              <w:jc w:val="right"/>
              <w:ind w:right="350"/>
              <w:spacing w:after="0"/>
              <w:rPr>
                <w:sz w:val="20"/>
                <w:szCs w:val="20"/>
                <w:color w:val="auto"/>
              </w:rPr>
            </w:pPr>
            <w:r>
              <w:rPr>
                <w:rFonts w:ascii="Arial" w:cs="Arial" w:eastAsia="Arial" w:hAnsi="Arial"/>
                <w:sz w:val="18"/>
                <w:szCs w:val="18"/>
                <w:color w:val="auto"/>
              </w:rPr>
              <w:t>10.17</w:t>
            </w:r>
          </w:p>
        </w:tc>
        <w:tc>
          <w:tcPr>
            <w:tcW w:w="9840" w:type="dxa"/>
            <w:vAlign w:val="bottom"/>
          </w:tcPr>
          <w:p>
            <w:pPr>
              <w:ind w:left="360"/>
              <w:spacing w:after="0"/>
              <w:rPr>
                <w:sz w:val="20"/>
                <w:szCs w:val="20"/>
                <w:color w:val="auto"/>
              </w:rPr>
            </w:pPr>
            <w:r>
              <w:rPr>
                <w:rFonts w:ascii="Arial" w:cs="Arial" w:eastAsia="Arial" w:hAnsi="Arial"/>
                <w:sz w:val="18"/>
                <w:szCs w:val="18"/>
                <w:color w:val="auto"/>
                <w:w w:val="92"/>
              </w:rPr>
              <w:t>Data Center and Disaster Recovery Agreement, dated as of August 10, 2009, by and between Ocwen Financial Corporation and</w:t>
            </w:r>
          </w:p>
        </w:tc>
      </w:tr>
      <w:tr>
        <w:trPr>
          <w:trHeight w:val="216"/>
        </w:trPr>
        <w:tc>
          <w:tcPr>
            <w:tcW w:w="1600" w:type="dxa"/>
            <w:vAlign w:val="bottom"/>
          </w:tcPr>
          <w:p>
            <w:pPr>
              <w:spacing w:after="0"/>
              <w:rPr>
                <w:sz w:val="18"/>
                <w:szCs w:val="18"/>
                <w:color w:val="auto"/>
              </w:rPr>
            </w:pPr>
          </w:p>
        </w:tc>
        <w:tc>
          <w:tcPr>
            <w:tcW w:w="9840" w:type="dxa"/>
            <w:vAlign w:val="bottom"/>
          </w:tcPr>
          <w:p>
            <w:pPr>
              <w:ind w:left="360"/>
              <w:spacing w:after="0"/>
              <w:rPr>
                <w:sz w:val="20"/>
                <w:szCs w:val="20"/>
                <w:color w:val="auto"/>
              </w:rPr>
            </w:pPr>
            <w:r>
              <w:rPr>
                <w:rFonts w:ascii="Arial" w:cs="Arial" w:eastAsia="Arial" w:hAnsi="Arial"/>
                <w:sz w:val="18"/>
                <w:szCs w:val="18"/>
                <w:color w:val="auto"/>
              </w:rPr>
              <w:t>Altisource Solutions S.à r.l. (2)</w:t>
            </w:r>
          </w:p>
        </w:tc>
      </w:tr>
      <w:tr>
        <w:trPr>
          <w:trHeight w:val="216"/>
        </w:trPr>
        <w:tc>
          <w:tcPr>
            <w:tcW w:w="1600" w:type="dxa"/>
            <w:vAlign w:val="bottom"/>
          </w:tcPr>
          <w:p>
            <w:pPr>
              <w:jc w:val="right"/>
              <w:ind w:right="350"/>
              <w:spacing w:after="0"/>
              <w:rPr>
                <w:sz w:val="20"/>
                <w:szCs w:val="20"/>
                <w:color w:val="auto"/>
              </w:rPr>
            </w:pPr>
            <w:r>
              <w:rPr>
                <w:rFonts w:ascii="Arial" w:cs="Arial" w:eastAsia="Arial" w:hAnsi="Arial"/>
                <w:sz w:val="18"/>
                <w:szCs w:val="18"/>
                <w:color w:val="auto"/>
              </w:rPr>
              <w:t>10.18</w:t>
            </w:r>
          </w:p>
        </w:tc>
        <w:tc>
          <w:tcPr>
            <w:tcW w:w="9840" w:type="dxa"/>
            <w:vAlign w:val="bottom"/>
          </w:tcPr>
          <w:p>
            <w:pPr>
              <w:ind w:left="360"/>
              <w:spacing w:after="0"/>
              <w:rPr>
                <w:sz w:val="20"/>
                <w:szCs w:val="20"/>
                <w:color w:val="auto"/>
              </w:rPr>
            </w:pPr>
            <w:r>
              <w:rPr>
                <w:rFonts w:ascii="Arial" w:cs="Arial" w:eastAsia="Arial" w:hAnsi="Arial"/>
                <w:sz w:val="18"/>
                <w:szCs w:val="18"/>
                <w:color w:val="auto"/>
                <w:w w:val="96"/>
              </w:rPr>
              <w:t>Intellectual Property Agreement, dated as of August 10, 2009, by and between Ocwen Financial Corporation and Altisource</w:t>
            </w:r>
          </w:p>
        </w:tc>
      </w:tr>
      <w:tr>
        <w:trPr>
          <w:trHeight w:val="216"/>
        </w:trPr>
        <w:tc>
          <w:tcPr>
            <w:tcW w:w="1600" w:type="dxa"/>
            <w:vAlign w:val="bottom"/>
          </w:tcPr>
          <w:p>
            <w:pPr>
              <w:spacing w:after="0"/>
              <w:rPr>
                <w:sz w:val="18"/>
                <w:szCs w:val="18"/>
                <w:color w:val="auto"/>
              </w:rPr>
            </w:pPr>
          </w:p>
        </w:tc>
        <w:tc>
          <w:tcPr>
            <w:tcW w:w="9840" w:type="dxa"/>
            <w:vAlign w:val="bottom"/>
          </w:tcPr>
          <w:p>
            <w:pPr>
              <w:ind w:left="360"/>
              <w:spacing w:after="0"/>
              <w:rPr>
                <w:sz w:val="20"/>
                <w:szCs w:val="20"/>
                <w:color w:val="auto"/>
              </w:rPr>
            </w:pPr>
            <w:r>
              <w:rPr>
                <w:rFonts w:ascii="Arial" w:cs="Arial" w:eastAsia="Arial" w:hAnsi="Arial"/>
                <w:sz w:val="18"/>
                <w:szCs w:val="18"/>
                <w:color w:val="auto"/>
              </w:rPr>
              <w:t>Solutions S.à r.l. (2)</w:t>
            </w:r>
          </w:p>
        </w:tc>
      </w:tr>
      <w:tr>
        <w:trPr>
          <w:trHeight w:val="216"/>
        </w:trPr>
        <w:tc>
          <w:tcPr>
            <w:tcW w:w="1600" w:type="dxa"/>
            <w:vAlign w:val="bottom"/>
          </w:tcPr>
          <w:p>
            <w:pPr>
              <w:jc w:val="right"/>
              <w:ind w:right="350"/>
              <w:spacing w:after="0"/>
              <w:rPr>
                <w:sz w:val="20"/>
                <w:szCs w:val="20"/>
                <w:color w:val="auto"/>
              </w:rPr>
            </w:pPr>
            <w:r>
              <w:rPr>
                <w:rFonts w:ascii="Arial" w:cs="Arial" w:eastAsia="Arial" w:hAnsi="Arial"/>
                <w:sz w:val="18"/>
                <w:szCs w:val="18"/>
                <w:color w:val="auto"/>
              </w:rPr>
              <w:t>10.19</w:t>
            </w:r>
          </w:p>
        </w:tc>
        <w:tc>
          <w:tcPr>
            <w:tcW w:w="9840" w:type="dxa"/>
            <w:vAlign w:val="bottom"/>
          </w:tcPr>
          <w:p>
            <w:pPr>
              <w:ind w:left="360"/>
              <w:spacing w:after="0"/>
              <w:rPr>
                <w:sz w:val="20"/>
                <w:szCs w:val="20"/>
                <w:color w:val="auto"/>
              </w:rPr>
            </w:pPr>
            <w:r>
              <w:rPr>
                <w:rFonts w:ascii="Arial" w:cs="Arial" w:eastAsia="Arial" w:hAnsi="Arial"/>
                <w:sz w:val="18"/>
                <w:szCs w:val="18"/>
                <w:color w:val="auto"/>
                <w:w w:val="93"/>
              </w:rPr>
              <w:t>Senior Secured Term Loan Facility Agreement, dated as of July 29, 2010, by and among Ocwen Financial Corporation, certain</w:t>
            </w:r>
          </w:p>
        </w:tc>
      </w:tr>
      <w:tr>
        <w:trPr>
          <w:trHeight w:val="216"/>
        </w:trPr>
        <w:tc>
          <w:tcPr>
            <w:tcW w:w="1600" w:type="dxa"/>
            <w:vAlign w:val="bottom"/>
          </w:tcPr>
          <w:p>
            <w:pPr>
              <w:spacing w:after="0"/>
              <w:rPr>
                <w:sz w:val="18"/>
                <w:szCs w:val="18"/>
                <w:color w:val="auto"/>
              </w:rPr>
            </w:pPr>
          </w:p>
        </w:tc>
        <w:tc>
          <w:tcPr>
            <w:tcW w:w="9840" w:type="dxa"/>
            <w:vAlign w:val="bottom"/>
          </w:tcPr>
          <w:p>
            <w:pPr>
              <w:ind w:left="360"/>
              <w:spacing w:after="0"/>
              <w:rPr>
                <w:sz w:val="20"/>
                <w:szCs w:val="20"/>
                <w:color w:val="auto"/>
              </w:rPr>
            </w:pPr>
            <w:r>
              <w:rPr>
                <w:rFonts w:ascii="Arial" w:cs="Arial" w:eastAsia="Arial" w:hAnsi="Arial"/>
                <w:sz w:val="18"/>
                <w:szCs w:val="18"/>
                <w:color w:val="auto"/>
                <w:w w:val="93"/>
              </w:rPr>
              <w:t>subsidiaries of Ocwen Financial Corporation, the lenders that are parties to the agreement from time to time and Barclays Bank</w:t>
            </w:r>
          </w:p>
        </w:tc>
      </w:tr>
      <w:tr>
        <w:trPr>
          <w:trHeight w:val="216"/>
        </w:trPr>
        <w:tc>
          <w:tcPr>
            <w:tcW w:w="1600" w:type="dxa"/>
            <w:vAlign w:val="bottom"/>
          </w:tcPr>
          <w:p>
            <w:pPr>
              <w:spacing w:after="0"/>
              <w:rPr>
                <w:sz w:val="18"/>
                <w:szCs w:val="18"/>
                <w:color w:val="auto"/>
              </w:rPr>
            </w:pPr>
          </w:p>
        </w:tc>
        <w:tc>
          <w:tcPr>
            <w:tcW w:w="9840" w:type="dxa"/>
            <w:vAlign w:val="bottom"/>
          </w:tcPr>
          <w:p>
            <w:pPr>
              <w:ind w:left="360"/>
              <w:spacing w:after="0"/>
              <w:rPr>
                <w:sz w:val="20"/>
                <w:szCs w:val="20"/>
                <w:color w:val="auto"/>
              </w:rPr>
            </w:pPr>
            <w:r>
              <w:rPr>
                <w:rFonts w:ascii="Arial" w:cs="Arial" w:eastAsia="Arial" w:hAnsi="Arial"/>
                <w:sz w:val="18"/>
                <w:szCs w:val="18"/>
                <w:color w:val="auto"/>
              </w:rPr>
              <w:t>PLC (14)</w:t>
            </w:r>
          </w:p>
        </w:tc>
      </w:tr>
      <w:tr>
        <w:trPr>
          <w:trHeight w:val="216"/>
        </w:trPr>
        <w:tc>
          <w:tcPr>
            <w:tcW w:w="1600" w:type="dxa"/>
            <w:vAlign w:val="bottom"/>
          </w:tcPr>
          <w:p>
            <w:pPr>
              <w:jc w:val="right"/>
              <w:ind w:right="350"/>
              <w:spacing w:after="0"/>
              <w:rPr>
                <w:sz w:val="20"/>
                <w:szCs w:val="20"/>
                <w:color w:val="auto"/>
              </w:rPr>
            </w:pPr>
            <w:r>
              <w:rPr>
                <w:rFonts w:ascii="Arial" w:cs="Arial" w:eastAsia="Arial" w:hAnsi="Arial"/>
                <w:sz w:val="18"/>
                <w:szCs w:val="18"/>
                <w:color w:val="auto"/>
              </w:rPr>
              <w:t>10.20</w:t>
            </w:r>
          </w:p>
        </w:tc>
        <w:tc>
          <w:tcPr>
            <w:tcW w:w="9840" w:type="dxa"/>
            <w:vAlign w:val="bottom"/>
          </w:tcPr>
          <w:p>
            <w:pPr>
              <w:ind w:left="360"/>
              <w:spacing w:after="0"/>
              <w:rPr>
                <w:sz w:val="20"/>
                <w:szCs w:val="20"/>
                <w:color w:val="auto"/>
              </w:rPr>
            </w:pPr>
            <w:r>
              <w:rPr>
                <w:rFonts w:ascii="Arial" w:cs="Arial" w:eastAsia="Arial" w:hAnsi="Arial"/>
                <w:sz w:val="18"/>
                <w:szCs w:val="18"/>
                <w:color w:val="auto"/>
                <w:w w:val="91"/>
              </w:rPr>
              <w:t>Pledge and Security Agreement, dated as of July 29, 2010, by and between Ocwen Financial Corporation, Ocwen Loan Servicing,</w:t>
            </w:r>
          </w:p>
        </w:tc>
      </w:tr>
      <w:tr>
        <w:trPr>
          <w:trHeight w:val="216"/>
        </w:trPr>
        <w:tc>
          <w:tcPr>
            <w:tcW w:w="1600" w:type="dxa"/>
            <w:vAlign w:val="bottom"/>
          </w:tcPr>
          <w:p>
            <w:pPr>
              <w:spacing w:after="0"/>
              <w:rPr>
                <w:sz w:val="18"/>
                <w:szCs w:val="18"/>
                <w:color w:val="auto"/>
              </w:rPr>
            </w:pPr>
          </w:p>
        </w:tc>
        <w:tc>
          <w:tcPr>
            <w:tcW w:w="9840" w:type="dxa"/>
            <w:vAlign w:val="bottom"/>
          </w:tcPr>
          <w:p>
            <w:pPr>
              <w:ind w:left="360"/>
              <w:spacing w:after="0"/>
              <w:rPr>
                <w:sz w:val="20"/>
                <w:szCs w:val="20"/>
                <w:color w:val="auto"/>
              </w:rPr>
            </w:pPr>
            <w:r>
              <w:rPr>
                <w:rFonts w:ascii="Arial" w:cs="Arial" w:eastAsia="Arial" w:hAnsi="Arial"/>
                <w:sz w:val="18"/>
                <w:szCs w:val="18"/>
                <w:color w:val="auto"/>
                <w:w w:val="95"/>
              </w:rPr>
              <w:t>LLC and each of the other subsidiaries of Ocwen Financial Corporation that is a party to the agreement from time to time and</w:t>
            </w:r>
          </w:p>
        </w:tc>
      </w:tr>
      <w:tr>
        <w:trPr>
          <w:trHeight w:val="216"/>
        </w:trPr>
        <w:tc>
          <w:tcPr>
            <w:tcW w:w="1600" w:type="dxa"/>
            <w:vAlign w:val="bottom"/>
          </w:tcPr>
          <w:p>
            <w:pPr>
              <w:spacing w:after="0"/>
              <w:rPr>
                <w:sz w:val="18"/>
                <w:szCs w:val="18"/>
                <w:color w:val="auto"/>
              </w:rPr>
            </w:pPr>
          </w:p>
        </w:tc>
        <w:tc>
          <w:tcPr>
            <w:tcW w:w="9840" w:type="dxa"/>
            <w:vAlign w:val="bottom"/>
          </w:tcPr>
          <w:p>
            <w:pPr>
              <w:ind w:left="360"/>
              <w:spacing w:after="0"/>
              <w:rPr>
                <w:sz w:val="20"/>
                <w:szCs w:val="20"/>
                <w:color w:val="auto"/>
              </w:rPr>
            </w:pPr>
            <w:r>
              <w:rPr>
                <w:rFonts w:ascii="Arial" w:cs="Arial" w:eastAsia="Arial" w:hAnsi="Arial"/>
                <w:sz w:val="18"/>
                <w:szCs w:val="18"/>
                <w:color w:val="auto"/>
              </w:rPr>
              <w:t>Barclays Bank PLC (14)</w:t>
            </w:r>
          </w:p>
        </w:tc>
      </w:tr>
      <w:tr>
        <w:trPr>
          <w:trHeight w:val="216"/>
        </w:trPr>
        <w:tc>
          <w:tcPr>
            <w:tcW w:w="1600" w:type="dxa"/>
            <w:vAlign w:val="bottom"/>
          </w:tcPr>
          <w:p>
            <w:pPr>
              <w:jc w:val="right"/>
              <w:ind w:right="350"/>
              <w:spacing w:after="0"/>
              <w:rPr>
                <w:sz w:val="20"/>
                <w:szCs w:val="20"/>
                <w:color w:val="auto"/>
              </w:rPr>
            </w:pPr>
            <w:r>
              <w:rPr>
                <w:rFonts w:ascii="Arial" w:cs="Arial" w:eastAsia="Arial" w:hAnsi="Arial"/>
                <w:sz w:val="18"/>
                <w:szCs w:val="18"/>
                <w:color w:val="auto"/>
              </w:rPr>
              <w:t>11.1</w:t>
            </w:r>
          </w:p>
        </w:tc>
        <w:tc>
          <w:tcPr>
            <w:tcW w:w="9840" w:type="dxa"/>
            <w:vAlign w:val="bottom"/>
          </w:tcPr>
          <w:p>
            <w:pPr>
              <w:ind w:left="360"/>
              <w:spacing w:after="0"/>
              <w:rPr>
                <w:sz w:val="20"/>
                <w:szCs w:val="20"/>
                <w:color w:val="auto"/>
              </w:rPr>
            </w:pPr>
            <w:r>
              <w:rPr>
                <w:rFonts w:ascii="Arial" w:cs="Arial" w:eastAsia="Arial" w:hAnsi="Arial"/>
                <w:sz w:val="18"/>
                <w:szCs w:val="18"/>
                <w:color w:val="auto"/>
              </w:rPr>
              <w:t>Computation of earnings per share (15)</w:t>
            </w:r>
          </w:p>
        </w:tc>
      </w:tr>
      <w:tr>
        <w:trPr>
          <w:trHeight w:val="230"/>
        </w:trPr>
        <w:tc>
          <w:tcPr>
            <w:tcW w:w="1600" w:type="dxa"/>
            <w:vAlign w:val="bottom"/>
          </w:tcPr>
          <w:p>
            <w:pPr>
              <w:jc w:val="right"/>
              <w:ind w:right="350"/>
              <w:spacing w:after="0"/>
              <w:rPr>
                <w:sz w:val="20"/>
                <w:szCs w:val="20"/>
                <w:color w:val="auto"/>
              </w:rPr>
            </w:pPr>
            <w:r>
              <w:rPr>
                <w:rFonts w:ascii="Arial" w:cs="Arial" w:eastAsia="Arial" w:hAnsi="Arial"/>
                <w:sz w:val="18"/>
                <w:szCs w:val="18"/>
                <w:color w:val="auto"/>
              </w:rPr>
              <w:t>12.1</w:t>
            </w:r>
          </w:p>
        </w:tc>
        <w:tc>
          <w:tcPr>
            <w:tcW w:w="9840" w:type="dxa"/>
            <w:vAlign w:val="bottom"/>
          </w:tcPr>
          <w:p>
            <w:pPr>
              <w:ind w:left="360"/>
              <w:spacing w:after="0"/>
              <w:rPr>
                <w:sz w:val="20"/>
                <w:szCs w:val="20"/>
                <w:color w:val="auto"/>
              </w:rPr>
            </w:pPr>
            <w:r>
              <w:rPr>
                <w:rFonts w:ascii="Arial" w:cs="Arial" w:eastAsia="Arial" w:hAnsi="Arial"/>
                <w:sz w:val="18"/>
                <w:szCs w:val="18"/>
                <w:color w:val="auto"/>
              </w:rPr>
              <w:t>Ratio of earnings to fixed charges (filed herewith)</w:t>
            </w:r>
          </w:p>
        </w:tc>
      </w:tr>
      <w:tr>
        <w:trPr>
          <w:trHeight w:val="311"/>
        </w:trPr>
        <w:tc>
          <w:tcPr>
            <w:tcW w:w="1600" w:type="dxa"/>
            <w:vAlign w:val="bottom"/>
            <w:tcBorders>
              <w:bottom w:val="single" w:sz="8" w:color="808080"/>
            </w:tcBorders>
          </w:tcPr>
          <w:p>
            <w:pPr>
              <w:spacing w:after="0"/>
              <w:rPr>
                <w:sz w:val="24"/>
                <w:szCs w:val="24"/>
                <w:color w:val="auto"/>
              </w:rPr>
            </w:pPr>
          </w:p>
        </w:tc>
        <w:tc>
          <w:tcPr>
            <w:tcW w:w="9840" w:type="dxa"/>
            <w:vAlign w:val="bottom"/>
            <w:tcBorders>
              <w:bottom w:val="single" w:sz="8" w:color="808080"/>
            </w:tcBorders>
          </w:tcPr>
          <w:p>
            <w:pPr>
              <w:spacing w:after="0"/>
              <w:rPr>
                <w:sz w:val="24"/>
                <w:szCs w:val="24"/>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486" w:right="2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16"/>
        </w:trPr>
        <w:tc>
          <w:tcPr>
            <w:tcW w:w="1560" w:type="dxa"/>
            <w:vAlign w:val="bottom"/>
          </w:tcPr>
          <w:p>
            <w:pPr>
              <w:jc w:val="right"/>
              <w:ind w:right="310"/>
              <w:spacing w:after="0"/>
              <w:rPr>
                <w:sz w:val="20"/>
                <w:szCs w:val="20"/>
                <w:color w:val="auto"/>
              </w:rPr>
            </w:pPr>
            <w:r>
              <w:rPr>
                <w:rFonts w:ascii="Arial" w:cs="Arial" w:eastAsia="Arial" w:hAnsi="Arial"/>
                <w:sz w:val="18"/>
                <w:szCs w:val="18"/>
                <w:color w:val="auto"/>
              </w:rPr>
              <w:t>21.0</w:t>
            </w:r>
          </w:p>
        </w:tc>
        <w:tc>
          <w:tcPr>
            <w:tcW w:w="9880" w:type="dxa"/>
            <w:vAlign w:val="bottom"/>
          </w:tcPr>
          <w:p>
            <w:pPr>
              <w:ind w:left="400"/>
              <w:spacing w:after="0"/>
              <w:rPr>
                <w:sz w:val="20"/>
                <w:szCs w:val="20"/>
                <w:color w:val="auto"/>
              </w:rPr>
            </w:pPr>
            <w:r>
              <w:rPr>
                <w:rFonts w:ascii="Arial" w:cs="Arial" w:eastAsia="Arial" w:hAnsi="Arial"/>
                <w:sz w:val="18"/>
                <w:szCs w:val="18"/>
                <w:color w:val="auto"/>
              </w:rPr>
              <w:t>Subsidiaries (filed herewith)</w:t>
            </w:r>
          </w:p>
        </w:tc>
      </w:tr>
      <w:tr>
        <w:trPr>
          <w:trHeight w:val="216"/>
        </w:trPr>
        <w:tc>
          <w:tcPr>
            <w:tcW w:w="1560" w:type="dxa"/>
            <w:vAlign w:val="bottom"/>
          </w:tcPr>
          <w:p>
            <w:pPr>
              <w:jc w:val="right"/>
              <w:ind w:right="310"/>
              <w:spacing w:after="0"/>
              <w:rPr>
                <w:sz w:val="20"/>
                <w:szCs w:val="20"/>
                <w:color w:val="auto"/>
              </w:rPr>
            </w:pPr>
            <w:r>
              <w:rPr>
                <w:rFonts w:ascii="Arial" w:cs="Arial" w:eastAsia="Arial" w:hAnsi="Arial"/>
                <w:sz w:val="18"/>
                <w:szCs w:val="18"/>
                <w:color w:val="auto"/>
              </w:rPr>
              <w:t>23.1</w:t>
            </w:r>
          </w:p>
        </w:tc>
        <w:tc>
          <w:tcPr>
            <w:tcW w:w="9880" w:type="dxa"/>
            <w:vAlign w:val="bottom"/>
          </w:tcPr>
          <w:p>
            <w:pPr>
              <w:ind w:left="400"/>
              <w:spacing w:after="0"/>
              <w:rPr>
                <w:sz w:val="20"/>
                <w:szCs w:val="20"/>
                <w:color w:val="auto"/>
              </w:rPr>
            </w:pPr>
            <w:r>
              <w:rPr>
                <w:rFonts w:ascii="Arial" w:cs="Arial" w:eastAsia="Arial" w:hAnsi="Arial"/>
                <w:sz w:val="18"/>
                <w:szCs w:val="18"/>
                <w:color w:val="auto"/>
              </w:rPr>
              <w:t>Consent of Independent Registered Public Accounting Firm (filed herewith)</w:t>
            </w:r>
          </w:p>
        </w:tc>
      </w:tr>
      <w:tr>
        <w:trPr>
          <w:trHeight w:val="216"/>
        </w:trPr>
        <w:tc>
          <w:tcPr>
            <w:tcW w:w="1560" w:type="dxa"/>
            <w:vAlign w:val="bottom"/>
          </w:tcPr>
          <w:p>
            <w:pPr>
              <w:jc w:val="right"/>
              <w:ind w:right="310"/>
              <w:spacing w:after="0"/>
              <w:rPr>
                <w:sz w:val="20"/>
                <w:szCs w:val="20"/>
                <w:color w:val="auto"/>
              </w:rPr>
            </w:pPr>
            <w:r>
              <w:rPr>
                <w:rFonts w:ascii="Arial" w:cs="Arial" w:eastAsia="Arial" w:hAnsi="Arial"/>
                <w:sz w:val="18"/>
                <w:szCs w:val="18"/>
                <w:color w:val="auto"/>
              </w:rPr>
              <w:t>23.2</w:t>
            </w:r>
          </w:p>
        </w:tc>
        <w:tc>
          <w:tcPr>
            <w:tcW w:w="9880" w:type="dxa"/>
            <w:vAlign w:val="bottom"/>
          </w:tcPr>
          <w:p>
            <w:pPr>
              <w:ind w:left="400"/>
              <w:spacing w:after="0"/>
              <w:rPr>
                <w:sz w:val="20"/>
                <w:szCs w:val="20"/>
                <w:color w:val="auto"/>
              </w:rPr>
            </w:pPr>
            <w:r>
              <w:rPr>
                <w:rFonts w:ascii="Arial" w:cs="Arial" w:eastAsia="Arial" w:hAnsi="Arial"/>
                <w:sz w:val="18"/>
                <w:szCs w:val="18"/>
                <w:color w:val="auto"/>
              </w:rPr>
              <w:t>Consent of Independent Registered Certified Public Accounting Firm (filed herewith)</w:t>
            </w:r>
          </w:p>
        </w:tc>
      </w:tr>
      <w:tr>
        <w:trPr>
          <w:trHeight w:val="216"/>
        </w:trPr>
        <w:tc>
          <w:tcPr>
            <w:tcW w:w="1560" w:type="dxa"/>
            <w:vAlign w:val="bottom"/>
          </w:tcPr>
          <w:p>
            <w:pPr>
              <w:jc w:val="right"/>
              <w:ind w:right="310"/>
              <w:spacing w:after="0"/>
              <w:rPr>
                <w:sz w:val="20"/>
                <w:szCs w:val="20"/>
                <w:color w:val="auto"/>
              </w:rPr>
            </w:pPr>
            <w:r>
              <w:rPr>
                <w:rFonts w:ascii="Arial" w:cs="Arial" w:eastAsia="Arial" w:hAnsi="Arial"/>
                <w:sz w:val="18"/>
                <w:szCs w:val="18"/>
                <w:color w:val="auto"/>
              </w:rPr>
              <w:t>31.1</w:t>
            </w:r>
          </w:p>
        </w:tc>
        <w:tc>
          <w:tcPr>
            <w:tcW w:w="9880" w:type="dxa"/>
            <w:vAlign w:val="bottom"/>
          </w:tcPr>
          <w:p>
            <w:pPr>
              <w:ind w:left="40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 (filed herewith)</w:t>
            </w:r>
          </w:p>
        </w:tc>
      </w:tr>
      <w:tr>
        <w:trPr>
          <w:trHeight w:val="216"/>
        </w:trPr>
        <w:tc>
          <w:tcPr>
            <w:tcW w:w="1560" w:type="dxa"/>
            <w:vAlign w:val="bottom"/>
          </w:tcPr>
          <w:p>
            <w:pPr>
              <w:jc w:val="right"/>
              <w:ind w:right="310"/>
              <w:spacing w:after="0"/>
              <w:rPr>
                <w:sz w:val="20"/>
                <w:szCs w:val="20"/>
                <w:color w:val="auto"/>
              </w:rPr>
            </w:pPr>
            <w:r>
              <w:rPr>
                <w:rFonts w:ascii="Arial" w:cs="Arial" w:eastAsia="Arial" w:hAnsi="Arial"/>
                <w:sz w:val="18"/>
                <w:szCs w:val="18"/>
                <w:color w:val="auto"/>
              </w:rPr>
              <w:t>31.2</w:t>
            </w:r>
          </w:p>
        </w:tc>
        <w:tc>
          <w:tcPr>
            <w:tcW w:w="9880" w:type="dxa"/>
            <w:vAlign w:val="bottom"/>
          </w:tcPr>
          <w:p>
            <w:pPr>
              <w:ind w:left="400"/>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 (filed herewith)</w:t>
            </w:r>
          </w:p>
        </w:tc>
      </w:tr>
      <w:tr>
        <w:trPr>
          <w:trHeight w:val="216"/>
        </w:trPr>
        <w:tc>
          <w:tcPr>
            <w:tcW w:w="1560" w:type="dxa"/>
            <w:vAlign w:val="bottom"/>
          </w:tcPr>
          <w:p>
            <w:pPr>
              <w:jc w:val="right"/>
              <w:ind w:right="310"/>
              <w:spacing w:after="0"/>
              <w:rPr>
                <w:sz w:val="20"/>
                <w:szCs w:val="20"/>
                <w:color w:val="auto"/>
              </w:rPr>
            </w:pPr>
            <w:r>
              <w:rPr>
                <w:rFonts w:ascii="Arial" w:cs="Arial" w:eastAsia="Arial" w:hAnsi="Arial"/>
                <w:sz w:val="18"/>
                <w:szCs w:val="18"/>
                <w:color w:val="auto"/>
              </w:rPr>
              <w:t>32.1</w:t>
            </w:r>
          </w:p>
        </w:tc>
        <w:tc>
          <w:tcPr>
            <w:tcW w:w="9880" w:type="dxa"/>
            <w:vAlign w:val="bottom"/>
          </w:tcPr>
          <w:p>
            <w:pPr>
              <w:ind w:left="400"/>
              <w:spacing w:after="0"/>
              <w:rPr>
                <w:sz w:val="20"/>
                <w:szCs w:val="20"/>
                <w:color w:val="auto"/>
              </w:rPr>
            </w:pPr>
            <w:r>
              <w:rPr>
                <w:rFonts w:ascii="Arial" w:cs="Arial" w:eastAsia="Arial" w:hAnsi="Arial"/>
                <w:sz w:val="18"/>
                <w:szCs w:val="18"/>
                <w:color w:val="auto"/>
                <w:w w:val="97"/>
              </w:rPr>
              <w:t>Certification of the Chief Executive Officer pursuant to 18 U.S.C. Section 1350, as adopted pursuant to Section 906 of the</w:t>
            </w:r>
          </w:p>
        </w:tc>
      </w:tr>
      <w:tr>
        <w:trPr>
          <w:trHeight w:val="216"/>
        </w:trPr>
        <w:tc>
          <w:tcPr>
            <w:tcW w:w="1560" w:type="dxa"/>
            <w:vAlign w:val="bottom"/>
          </w:tcPr>
          <w:p>
            <w:pPr>
              <w:spacing w:after="0"/>
              <w:rPr>
                <w:sz w:val="18"/>
                <w:szCs w:val="18"/>
                <w:color w:val="auto"/>
              </w:rPr>
            </w:pPr>
          </w:p>
        </w:tc>
        <w:tc>
          <w:tcPr>
            <w:tcW w:w="9880" w:type="dxa"/>
            <w:vAlign w:val="bottom"/>
          </w:tcPr>
          <w:p>
            <w:pPr>
              <w:ind w:left="400"/>
              <w:spacing w:after="0"/>
              <w:rPr>
                <w:sz w:val="20"/>
                <w:szCs w:val="20"/>
                <w:color w:val="auto"/>
              </w:rPr>
            </w:pPr>
            <w:r>
              <w:rPr>
                <w:rFonts w:ascii="Arial" w:cs="Arial" w:eastAsia="Arial" w:hAnsi="Arial"/>
                <w:sz w:val="18"/>
                <w:szCs w:val="18"/>
                <w:color w:val="auto"/>
              </w:rPr>
              <w:t>Sarbanes-Oxley Act of 2002 (filed herewith)</w:t>
            </w:r>
          </w:p>
        </w:tc>
      </w:tr>
      <w:tr>
        <w:trPr>
          <w:trHeight w:val="216"/>
        </w:trPr>
        <w:tc>
          <w:tcPr>
            <w:tcW w:w="1560" w:type="dxa"/>
            <w:vAlign w:val="bottom"/>
          </w:tcPr>
          <w:p>
            <w:pPr>
              <w:jc w:val="right"/>
              <w:ind w:right="310"/>
              <w:spacing w:after="0"/>
              <w:rPr>
                <w:sz w:val="20"/>
                <w:szCs w:val="20"/>
                <w:color w:val="auto"/>
              </w:rPr>
            </w:pPr>
            <w:r>
              <w:rPr>
                <w:rFonts w:ascii="Arial" w:cs="Arial" w:eastAsia="Arial" w:hAnsi="Arial"/>
                <w:sz w:val="18"/>
                <w:szCs w:val="18"/>
                <w:color w:val="auto"/>
              </w:rPr>
              <w:t>32.2</w:t>
            </w:r>
          </w:p>
        </w:tc>
        <w:tc>
          <w:tcPr>
            <w:tcW w:w="9880" w:type="dxa"/>
            <w:vAlign w:val="bottom"/>
          </w:tcPr>
          <w:p>
            <w:pPr>
              <w:ind w:left="400"/>
              <w:spacing w:after="0"/>
              <w:rPr>
                <w:sz w:val="20"/>
                <w:szCs w:val="20"/>
                <w:color w:val="auto"/>
              </w:rPr>
            </w:pPr>
            <w:r>
              <w:rPr>
                <w:rFonts w:ascii="Arial" w:cs="Arial" w:eastAsia="Arial" w:hAnsi="Arial"/>
                <w:sz w:val="18"/>
                <w:szCs w:val="18"/>
                <w:color w:val="auto"/>
                <w:w w:val="98"/>
              </w:rPr>
              <w:t>Certification of the Chief Financial Officer pursuant to 18 U.S.C. Section 1350, as adopted pursuant to Section 906 of the</w:t>
            </w:r>
          </w:p>
        </w:tc>
      </w:tr>
      <w:tr>
        <w:trPr>
          <w:trHeight w:val="230"/>
        </w:trPr>
        <w:tc>
          <w:tcPr>
            <w:tcW w:w="1560" w:type="dxa"/>
            <w:vAlign w:val="bottom"/>
          </w:tcPr>
          <w:p>
            <w:pPr>
              <w:spacing w:after="0"/>
              <w:rPr>
                <w:sz w:val="20"/>
                <w:szCs w:val="20"/>
                <w:color w:val="auto"/>
              </w:rPr>
            </w:pPr>
          </w:p>
        </w:tc>
        <w:tc>
          <w:tcPr>
            <w:tcW w:w="9880" w:type="dxa"/>
            <w:vAlign w:val="bottom"/>
          </w:tcPr>
          <w:p>
            <w:pPr>
              <w:ind w:left="400"/>
              <w:spacing w:after="0"/>
              <w:rPr>
                <w:sz w:val="20"/>
                <w:szCs w:val="20"/>
                <w:color w:val="auto"/>
              </w:rPr>
            </w:pPr>
            <w:r>
              <w:rPr>
                <w:rFonts w:ascii="Arial" w:cs="Arial" w:eastAsia="Arial" w:hAnsi="Arial"/>
                <w:sz w:val="18"/>
                <w:szCs w:val="18"/>
                <w:color w:val="auto"/>
              </w:rPr>
              <w:t>Sarbanes-Oxley Act of 2002 (filed herewith)</w:t>
            </w:r>
          </w:p>
        </w:tc>
      </w:tr>
      <w:tr>
        <w:trPr>
          <w:trHeight w:val="95"/>
        </w:trPr>
        <w:tc>
          <w:tcPr>
            <w:tcW w:w="1560" w:type="dxa"/>
            <w:vAlign w:val="bottom"/>
            <w:tcBorders>
              <w:bottom w:val="single" w:sz="8" w:color="808080"/>
            </w:tcBorders>
          </w:tcPr>
          <w:p>
            <w:pPr>
              <w:spacing w:after="0"/>
              <w:rPr>
                <w:sz w:val="8"/>
                <w:szCs w:val="8"/>
                <w:color w:val="auto"/>
              </w:rPr>
            </w:pPr>
          </w:p>
        </w:tc>
        <w:tc>
          <w:tcPr>
            <w:tcW w:w="9880" w:type="dxa"/>
            <w:vAlign w:val="bottom"/>
            <w:tcBorders>
              <w:bottom w:val="single" w:sz="8" w:color="808080"/>
            </w:tcBorders>
          </w:tcPr>
          <w:p>
            <w:pPr>
              <w:spacing w:after="0"/>
              <w:rPr>
                <w:sz w:val="8"/>
                <w:szCs w:val="8"/>
                <w:color w:val="auto"/>
              </w:rPr>
            </w:pPr>
          </w:p>
        </w:tc>
      </w:tr>
    </w:tbl>
    <w:p>
      <w:pPr>
        <w:spacing w:after="0" w:line="283" w:lineRule="exact"/>
        <w:rPr>
          <w:sz w:val="20"/>
          <w:szCs w:val="20"/>
          <w:color w:val="auto"/>
        </w:rPr>
      </w:pPr>
    </w:p>
    <w:p>
      <w:pPr>
        <w:ind w:left="580" w:right="240" w:hanging="572"/>
        <w:spacing w:after="0" w:line="277"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a similarly described exhibit included with the Registrant’s Current Report on Form 8-K filed with the SEC on July 26, 1999.</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August 12, 2009.</w:t>
      </w:r>
    </w:p>
    <w:p>
      <w:pPr>
        <w:spacing w:after="0" w:line="236" w:lineRule="exact"/>
        <w:rPr>
          <w:rFonts w:ascii="Arial" w:cs="Arial" w:eastAsia="Arial" w:hAnsi="Arial"/>
          <w:sz w:val="17"/>
          <w:szCs w:val="17"/>
          <w:color w:val="auto"/>
        </w:rPr>
      </w:pPr>
    </w:p>
    <w:p>
      <w:pPr>
        <w:ind w:left="580" w:right="100" w:hanging="572"/>
        <w:spacing w:after="0" w:line="277"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the Registrant’s Registration Statement on Form S-1 (File No. 333-5153) as amended, declared effective by the SEC on September 25, 1996.</w:t>
      </w:r>
    </w:p>
    <w:p>
      <w:pPr>
        <w:spacing w:after="0" w:line="170" w:lineRule="exact"/>
        <w:rPr>
          <w:rFonts w:ascii="Arial" w:cs="Arial" w:eastAsia="Arial" w:hAnsi="Arial"/>
          <w:sz w:val="18"/>
          <w:szCs w:val="18"/>
          <w:color w:val="auto"/>
        </w:rPr>
      </w:pPr>
    </w:p>
    <w:p>
      <w:pPr>
        <w:ind w:left="580" w:right="640" w:hanging="572"/>
        <w:spacing w:after="0" w:line="277"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2007.</w:t>
      </w:r>
    </w:p>
    <w:p>
      <w:pPr>
        <w:spacing w:after="0" w:line="170" w:lineRule="exact"/>
        <w:rPr>
          <w:rFonts w:ascii="Arial" w:cs="Arial" w:eastAsia="Arial" w:hAnsi="Arial"/>
          <w:sz w:val="18"/>
          <w:szCs w:val="18"/>
          <w:color w:val="auto"/>
        </w:rPr>
      </w:pPr>
    </w:p>
    <w:p>
      <w:pPr>
        <w:ind w:left="580" w:right="60" w:hanging="572"/>
        <w:spacing w:after="0" w:line="277"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our Registration Statement on Form S-1 (File No. 333-28889), as amended, declared effective by the SEC on August 6, 1997.</w:t>
      </w:r>
    </w:p>
    <w:p>
      <w:pPr>
        <w:spacing w:after="0" w:line="170" w:lineRule="exact"/>
        <w:rPr>
          <w:rFonts w:ascii="Arial" w:cs="Arial" w:eastAsia="Arial" w:hAnsi="Arial"/>
          <w:sz w:val="18"/>
          <w:szCs w:val="18"/>
          <w:color w:val="auto"/>
        </w:rPr>
      </w:pPr>
    </w:p>
    <w:p>
      <w:pPr>
        <w:ind w:left="580" w:right="360" w:hanging="572"/>
        <w:spacing w:after="0" w:line="277"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Registrant’s Quarterly Report on Form 10-Q for the quarterly period ended June 30, 2004.</w:t>
      </w:r>
    </w:p>
    <w:p>
      <w:pPr>
        <w:spacing w:after="0" w:line="170" w:lineRule="exact"/>
        <w:rPr>
          <w:rFonts w:ascii="Arial" w:cs="Arial" w:eastAsia="Arial" w:hAnsi="Arial"/>
          <w:sz w:val="18"/>
          <w:szCs w:val="18"/>
          <w:color w:val="auto"/>
        </w:rPr>
      </w:pPr>
    </w:p>
    <w:p>
      <w:pPr>
        <w:ind w:left="580" w:right="100" w:hanging="572"/>
        <w:spacing w:after="0" w:line="277"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the Registrant’s Registration Statement on Form S-8 (File No. 333-44999), effective when filed with the SEC on January 28, 1998.</w:t>
      </w:r>
    </w:p>
    <w:p>
      <w:pPr>
        <w:spacing w:after="0" w:line="170" w:lineRule="exact"/>
        <w:rPr>
          <w:rFonts w:ascii="Arial" w:cs="Arial" w:eastAsia="Arial" w:hAnsi="Arial"/>
          <w:sz w:val="18"/>
          <w:szCs w:val="18"/>
          <w:color w:val="auto"/>
        </w:rPr>
      </w:pPr>
    </w:p>
    <w:p>
      <w:pPr>
        <w:ind w:left="580" w:right="720" w:hanging="572"/>
        <w:spacing w:after="0" w:line="277"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to our definitive Proxy Statement with respect to our 2003 Annual Meeting of Shareholders as filed with the SEC on March 28, 2003.</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OAC’s Quarterly Report on Form 10-Q for the quarterly period ended September 30, 1999.</w:t>
      </w:r>
    </w:p>
    <w:p>
      <w:pPr>
        <w:spacing w:after="0" w:line="225" w:lineRule="exact"/>
        <w:rPr>
          <w:rFonts w:ascii="Arial" w:cs="Arial" w:eastAsia="Arial" w:hAnsi="Arial"/>
          <w:sz w:val="18"/>
          <w:szCs w:val="18"/>
          <w:color w:val="auto"/>
        </w:rPr>
      </w:pPr>
    </w:p>
    <w:p>
      <w:pPr>
        <w:ind w:left="580" w:right="100" w:hanging="572"/>
        <w:spacing w:after="0" w:line="277"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quarterly period ended March 31, 2000.</w:t>
      </w:r>
    </w:p>
    <w:p>
      <w:pPr>
        <w:spacing w:after="0" w:line="170" w:lineRule="exact"/>
        <w:rPr>
          <w:rFonts w:ascii="Arial" w:cs="Arial" w:eastAsia="Arial" w:hAnsi="Arial"/>
          <w:sz w:val="18"/>
          <w:szCs w:val="18"/>
          <w:color w:val="auto"/>
        </w:rPr>
      </w:pPr>
    </w:p>
    <w:p>
      <w:pPr>
        <w:ind w:left="580" w:right="640" w:hanging="572"/>
        <w:spacing w:after="0" w:line="277"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2004.</w:t>
      </w:r>
    </w:p>
    <w:p>
      <w:pPr>
        <w:spacing w:after="0" w:line="170" w:lineRule="exact"/>
        <w:rPr>
          <w:rFonts w:ascii="Arial" w:cs="Arial" w:eastAsia="Arial" w:hAnsi="Arial"/>
          <w:sz w:val="18"/>
          <w:szCs w:val="18"/>
          <w:color w:val="auto"/>
        </w:rPr>
      </w:pPr>
    </w:p>
    <w:p>
      <w:pPr>
        <w:ind w:left="580" w:right="100" w:hanging="572"/>
        <w:spacing w:after="0" w:line="277"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quarterly period ended June 30, 2005.</w:t>
      </w:r>
    </w:p>
    <w:p>
      <w:pPr>
        <w:spacing w:after="0" w:line="170" w:lineRule="exact"/>
        <w:rPr>
          <w:rFonts w:ascii="Arial" w:cs="Arial" w:eastAsia="Arial" w:hAnsi="Arial"/>
          <w:sz w:val="18"/>
          <w:szCs w:val="18"/>
          <w:color w:val="auto"/>
        </w:rPr>
      </w:pPr>
    </w:p>
    <w:p>
      <w:pPr>
        <w:ind w:left="580" w:right="720" w:hanging="572"/>
        <w:spacing w:after="0" w:line="277"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to our definitive Proxy Statement with respect to our 2007 Annual Meeting of Shareholders as filed with the SEC on March 30, 2007.</w:t>
      </w:r>
    </w:p>
    <w:p>
      <w:pPr>
        <w:spacing w:after="0" w:line="170" w:lineRule="exact"/>
        <w:rPr>
          <w:rFonts w:ascii="Arial" w:cs="Arial" w:eastAsia="Arial" w:hAnsi="Arial"/>
          <w:sz w:val="18"/>
          <w:szCs w:val="18"/>
          <w:color w:val="auto"/>
        </w:rPr>
      </w:pPr>
    </w:p>
    <w:p>
      <w:pPr>
        <w:ind w:left="580" w:right="360" w:hanging="572"/>
        <w:spacing w:after="0" w:line="277"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Registrant’s Quarterly Report on Form 10-Q for the quarterly period ended June 30, 2010.</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“Note 27 Basic and Diluted Earnings per Share” on page F-45 of our Consolidated Financial Statements.</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490" w:right="21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747"/>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our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Ocwen Financial Corporation</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60731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Ronald M. Faris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(duly authorized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2011</w:t>
      </w:r>
    </w:p>
    <w:p>
      <w:pPr>
        <w:spacing w:after="0" w:line="211" w:lineRule="exact"/>
        <w:rPr>
          <w:sz w:val="20"/>
          <w:szCs w:val="20"/>
          <w:color w:val="auto"/>
        </w:rPr>
      </w:pPr>
    </w:p>
    <w:p>
      <w:pPr>
        <w:ind w:right="180" w:firstLine="747"/>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C. Erbey</w:t>
            </w:r>
          </w:p>
        </w:tc>
        <w:tc>
          <w:tcPr>
            <w:tcW w:w="2240" w:type="dxa"/>
            <w:vAlign w:val="bottom"/>
            <w:tcBorders>
              <w:bottom w:val="single" w:sz="8" w:color="auto"/>
            </w:tcBorders>
          </w:tcPr>
          <w:p>
            <w:pPr>
              <w:spacing w:after="0"/>
              <w:rPr>
                <w:sz w:val="20"/>
                <w:szCs w:val="20"/>
                <w:color w:val="auto"/>
              </w:rPr>
            </w:pPr>
          </w:p>
        </w:tc>
        <w:tc>
          <w:tcPr>
            <w:tcW w:w="4320" w:type="dxa"/>
            <w:vAlign w:val="bottom"/>
          </w:tcPr>
          <w:p>
            <w:pPr>
              <w:ind w:left="1140"/>
              <w:spacing w:after="0"/>
              <w:rPr>
                <w:sz w:val="20"/>
                <w:szCs w:val="20"/>
                <w:color w:val="auto"/>
              </w:rPr>
            </w:pPr>
            <w:r>
              <w:rPr>
                <w:rFonts w:ascii="Arial" w:cs="Arial" w:eastAsia="Arial" w:hAnsi="Arial"/>
                <w:sz w:val="18"/>
                <w:szCs w:val="18"/>
                <w:color w:val="auto"/>
              </w:rPr>
              <w:t>Date: February 28, 2011</w:t>
            </w:r>
          </w:p>
        </w:tc>
      </w:tr>
      <w:tr>
        <w:trPr>
          <w:trHeight w:val="230"/>
        </w:trPr>
        <w:tc>
          <w:tcPr>
            <w:tcW w:w="4860" w:type="dxa"/>
            <w:vAlign w:val="bottom"/>
          </w:tcPr>
          <w:p>
            <w:pPr>
              <w:ind w:left="240"/>
              <w:spacing w:after="0"/>
              <w:rPr>
                <w:sz w:val="20"/>
                <w:szCs w:val="20"/>
                <w:color w:val="auto"/>
              </w:rPr>
            </w:pPr>
            <w:r>
              <w:rPr>
                <w:rFonts w:ascii="Arial" w:cs="Arial" w:eastAsia="Arial" w:hAnsi="Arial"/>
                <w:sz w:val="18"/>
                <w:szCs w:val="18"/>
                <w:color w:val="auto"/>
              </w:rPr>
              <w:t>William C. Erbey, Executive Chairman of the Board</w:t>
            </w:r>
          </w:p>
        </w:tc>
        <w:tc>
          <w:tcPr>
            <w:tcW w:w="224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425"/>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M. Faris</w:t>
            </w:r>
          </w:p>
        </w:tc>
        <w:tc>
          <w:tcPr>
            <w:tcW w:w="2240" w:type="dxa"/>
            <w:vAlign w:val="bottom"/>
            <w:tcBorders>
              <w:bottom w:val="single" w:sz="8" w:color="auto"/>
            </w:tcBorders>
          </w:tcPr>
          <w:p>
            <w:pPr>
              <w:spacing w:after="0"/>
              <w:rPr>
                <w:sz w:val="24"/>
                <w:szCs w:val="24"/>
                <w:color w:val="auto"/>
              </w:rPr>
            </w:pPr>
          </w:p>
        </w:tc>
        <w:tc>
          <w:tcPr>
            <w:tcW w:w="4320" w:type="dxa"/>
            <w:vAlign w:val="bottom"/>
          </w:tcPr>
          <w:p>
            <w:pPr>
              <w:ind w:left="1140"/>
              <w:spacing w:after="0"/>
              <w:rPr>
                <w:sz w:val="20"/>
                <w:szCs w:val="20"/>
                <w:color w:val="auto"/>
              </w:rPr>
            </w:pPr>
            <w:r>
              <w:rPr>
                <w:rFonts w:ascii="Arial" w:cs="Arial" w:eastAsia="Arial" w:hAnsi="Arial"/>
                <w:sz w:val="18"/>
                <w:szCs w:val="18"/>
                <w:color w:val="auto"/>
              </w:rPr>
              <w:t>Date: February 28, 2011</w:t>
            </w:r>
          </w:p>
        </w:tc>
      </w:tr>
      <w:tr>
        <w:trPr>
          <w:trHeight w:val="202"/>
        </w:trPr>
        <w:tc>
          <w:tcPr>
            <w:tcW w:w="4860" w:type="dxa"/>
            <w:vAlign w:val="bottom"/>
          </w:tcPr>
          <w:p>
            <w:pPr>
              <w:ind w:left="240"/>
              <w:spacing w:after="0" w:line="201" w:lineRule="exact"/>
              <w:rPr>
                <w:sz w:val="20"/>
                <w:szCs w:val="20"/>
                <w:color w:val="auto"/>
              </w:rPr>
            </w:pPr>
            <w:r>
              <w:rPr>
                <w:rFonts w:ascii="Arial" w:cs="Arial" w:eastAsia="Arial" w:hAnsi="Arial"/>
                <w:sz w:val="18"/>
                <w:szCs w:val="18"/>
                <w:color w:val="auto"/>
              </w:rPr>
              <w:t>Ronald M. Faris, President,</w:t>
            </w:r>
          </w:p>
        </w:tc>
        <w:tc>
          <w:tcPr>
            <w:tcW w:w="224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16"/>
        </w:trPr>
        <w:tc>
          <w:tcPr>
            <w:tcW w:w="4860" w:type="dxa"/>
            <w:vAlign w:val="bottom"/>
          </w:tcPr>
          <w:p>
            <w:pPr>
              <w:ind w:left="240"/>
              <w:spacing w:after="0"/>
              <w:rPr>
                <w:sz w:val="20"/>
                <w:szCs w:val="20"/>
                <w:color w:val="auto"/>
              </w:rPr>
            </w:pPr>
            <w:r>
              <w:rPr>
                <w:rFonts w:ascii="Arial" w:cs="Arial" w:eastAsia="Arial" w:hAnsi="Arial"/>
                <w:sz w:val="18"/>
                <w:szCs w:val="18"/>
                <w:color w:val="auto"/>
              </w:rPr>
              <w:t>Chief Executive Officer and Director</w:t>
            </w:r>
          </w:p>
        </w:tc>
        <w:tc>
          <w:tcPr>
            <w:tcW w:w="2240" w:type="dxa"/>
            <w:vAlign w:val="bottom"/>
          </w:tcPr>
          <w:p>
            <w:pPr>
              <w:spacing w:after="0"/>
              <w:rPr>
                <w:sz w:val="18"/>
                <w:szCs w:val="18"/>
                <w:color w:val="auto"/>
              </w:rPr>
            </w:pPr>
          </w:p>
        </w:tc>
        <w:tc>
          <w:tcPr>
            <w:tcW w:w="4320" w:type="dxa"/>
            <w:vAlign w:val="bottom"/>
          </w:tcPr>
          <w:p>
            <w:pPr>
              <w:spacing w:after="0"/>
              <w:rPr>
                <w:sz w:val="18"/>
                <w:szCs w:val="18"/>
                <w:color w:val="auto"/>
              </w:rPr>
            </w:pPr>
          </w:p>
        </w:tc>
      </w:tr>
      <w:tr>
        <w:trPr>
          <w:trHeight w:val="230"/>
        </w:trPr>
        <w:tc>
          <w:tcPr>
            <w:tcW w:w="4860" w:type="dxa"/>
            <w:vAlign w:val="bottom"/>
          </w:tcPr>
          <w:p>
            <w:pPr>
              <w:ind w:left="240"/>
              <w:spacing w:after="0"/>
              <w:rPr>
                <w:sz w:val="20"/>
                <w:szCs w:val="20"/>
                <w:color w:val="auto"/>
              </w:rPr>
            </w:pPr>
            <w:r>
              <w:rPr>
                <w:rFonts w:ascii="Arial" w:cs="Arial" w:eastAsia="Arial" w:hAnsi="Arial"/>
                <w:sz w:val="18"/>
                <w:szCs w:val="18"/>
                <w:color w:val="auto"/>
              </w:rPr>
              <w:t>(principal executive officer)</w:t>
            </w:r>
          </w:p>
        </w:tc>
        <w:tc>
          <w:tcPr>
            <w:tcW w:w="224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439"/>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J. Korn</w:t>
            </w:r>
          </w:p>
        </w:tc>
        <w:tc>
          <w:tcPr>
            <w:tcW w:w="2240" w:type="dxa"/>
            <w:vAlign w:val="bottom"/>
            <w:tcBorders>
              <w:bottom w:val="single" w:sz="8" w:color="auto"/>
            </w:tcBorders>
          </w:tcPr>
          <w:p>
            <w:pPr>
              <w:spacing w:after="0"/>
              <w:rPr>
                <w:sz w:val="24"/>
                <w:szCs w:val="24"/>
                <w:color w:val="auto"/>
              </w:rPr>
            </w:pPr>
          </w:p>
        </w:tc>
        <w:tc>
          <w:tcPr>
            <w:tcW w:w="4320" w:type="dxa"/>
            <w:vAlign w:val="bottom"/>
          </w:tcPr>
          <w:p>
            <w:pPr>
              <w:ind w:left="1140"/>
              <w:spacing w:after="0"/>
              <w:rPr>
                <w:sz w:val="20"/>
                <w:szCs w:val="20"/>
                <w:color w:val="auto"/>
              </w:rPr>
            </w:pPr>
            <w:r>
              <w:rPr>
                <w:rFonts w:ascii="Arial" w:cs="Arial" w:eastAsia="Arial" w:hAnsi="Arial"/>
                <w:sz w:val="18"/>
                <w:szCs w:val="18"/>
                <w:color w:val="auto"/>
              </w:rPr>
              <w:t>Date: February 28, 2011</w:t>
            </w:r>
          </w:p>
        </w:tc>
      </w:tr>
      <w:tr>
        <w:trPr>
          <w:trHeight w:val="230"/>
        </w:trPr>
        <w:tc>
          <w:tcPr>
            <w:tcW w:w="4860" w:type="dxa"/>
            <w:vAlign w:val="bottom"/>
          </w:tcPr>
          <w:p>
            <w:pPr>
              <w:ind w:left="240"/>
              <w:spacing w:after="0"/>
              <w:rPr>
                <w:sz w:val="20"/>
                <w:szCs w:val="20"/>
                <w:color w:val="auto"/>
              </w:rPr>
            </w:pPr>
            <w:r>
              <w:rPr>
                <w:rFonts w:ascii="Arial" w:cs="Arial" w:eastAsia="Arial" w:hAnsi="Arial"/>
                <w:sz w:val="18"/>
                <w:szCs w:val="18"/>
                <w:color w:val="auto"/>
              </w:rPr>
              <w:t>Ronald J. Korn, Director</w:t>
            </w:r>
          </w:p>
        </w:tc>
        <w:tc>
          <w:tcPr>
            <w:tcW w:w="224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425"/>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H. Lacy</w:t>
            </w:r>
          </w:p>
        </w:tc>
        <w:tc>
          <w:tcPr>
            <w:tcW w:w="2240" w:type="dxa"/>
            <w:vAlign w:val="bottom"/>
            <w:tcBorders>
              <w:bottom w:val="single" w:sz="8" w:color="auto"/>
            </w:tcBorders>
          </w:tcPr>
          <w:p>
            <w:pPr>
              <w:spacing w:after="0"/>
              <w:rPr>
                <w:sz w:val="24"/>
                <w:szCs w:val="24"/>
                <w:color w:val="auto"/>
              </w:rPr>
            </w:pPr>
          </w:p>
        </w:tc>
        <w:tc>
          <w:tcPr>
            <w:tcW w:w="4320" w:type="dxa"/>
            <w:vAlign w:val="bottom"/>
          </w:tcPr>
          <w:p>
            <w:pPr>
              <w:ind w:left="1140"/>
              <w:spacing w:after="0"/>
              <w:rPr>
                <w:sz w:val="20"/>
                <w:szCs w:val="20"/>
                <w:color w:val="auto"/>
              </w:rPr>
            </w:pPr>
            <w:r>
              <w:rPr>
                <w:rFonts w:ascii="Arial" w:cs="Arial" w:eastAsia="Arial" w:hAnsi="Arial"/>
                <w:sz w:val="18"/>
                <w:szCs w:val="18"/>
                <w:color w:val="auto"/>
              </w:rPr>
              <w:t>Date: February 28, 2011</w:t>
            </w:r>
          </w:p>
        </w:tc>
      </w:tr>
      <w:tr>
        <w:trPr>
          <w:trHeight w:val="230"/>
        </w:trPr>
        <w:tc>
          <w:tcPr>
            <w:tcW w:w="4860" w:type="dxa"/>
            <w:vAlign w:val="bottom"/>
          </w:tcPr>
          <w:p>
            <w:pPr>
              <w:ind w:left="240"/>
              <w:spacing w:after="0"/>
              <w:rPr>
                <w:sz w:val="20"/>
                <w:szCs w:val="20"/>
                <w:color w:val="auto"/>
              </w:rPr>
            </w:pPr>
            <w:r>
              <w:rPr>
                <w:rFonts w:ascii="Arial" w:cs="Arial" w:eastAsia="Arial" w:hAnsi="Arial"/>
                <w:sz w:val="18"/>
                <w:szCs w:val="18"/>
                <w:color w:val="auto"/>
              </w:rPr>
              <w:t>William H. Lacy, Director</w:t>
            </w:r>
          </w:p>
        </w:tc>
        <w:tc>
          <w:tcPr>
            <w:tcW w:w="224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425"/>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Barry N. Wish</w:t>
            </w:r>
          </w:p>
        </w:tc>
        <w:tc>
          <w:tcPr>
            <w:tcW w:w="2240" w:type="dxa"/>
            <w:vAlign w:val="bottom"/>
            <w:tcBorders>
              <w:bottom w:val="single" w:sz="8" w:color="auto"/>
            </w:tcBorders>
          </w:tcPr>
          <w:p>
            <w:pPr>
              <w:spacing w:after="0"/>
              <w:rPr>
                <w:sz w:val="24"/>
                <w:szCs w:val="24"/>
                <w:color w:val="auto"/>
              </w:rPr>
            </w:pPr>
          </w:p>
        </w:tc>
        <w:tc>
          <w:tcPr>
            <w:tcW w:w="4320" w:type="dxa"/>
            <w:vAlign w:val="bottom"/>
          </w:tcPr>
          <w:p>
            <w:pPr>
              <w:ind w:left="1140"/>
              <w:spacing w:after="0"/>
              <w:rPr>
                <w:sz w:val="20"/>
                <w:szCs w:val="20"/>
                <w:color w:val="auto"/>
              </w:rPr>
            </w:pPr>
            <w:r>
              <w:rPr>
                <w:rFonts w:ascii="Arial" w:cs="Arial" w:eastAsia="Arial" w:hAnsi="Arial"/>
                <w:sz w:val="18"/>
                <w:szCs w:val="18"/>
                <w:color w:val="auto"/>
              </w:rPr>
              <w:t>Date: February 28, 2011</w:t>
            </w:r>
          </w:p>
        </w:tc>
      </w:tr>
      <w:tr>
        <w:trPr>
          <w:trHeight w:val="230"/>
        </w:trPr>
        <w:tc>
          <w:tcPr>
            <w:tcW w:w="4860" w:type="dxa"/>
            <w:vAlign w:val="bottom"/>
          </w:tcPr>
          <w:p>
            <w:pPr>
              <w:ind w:left="240"/>
              <w:spacing w:after="0"/>
              <w:rPr>
                <w:sz w:val="20"/>
                <w:szCs w:val="20"/>
                <w:color w:val="auto"/>
              </w:rPr>
            </w:pPr>
            <w:r>
              <w:rPr>
                <w:rFonts w:ascii="Arial" w:cs="Arial" w:eastAsia="Arial" w:hAnsi="Arial"/>
                <w:sz w:val="18"/>
                <w:szCs w:val="18"/>
                <w:color w:val="auto"/>
              </w:rPr>
              <w:t>Barry N. Wish, Director</w:t>
            </w:r>
          </w:p>
        </w:tc>
        <w:tc>
          <w:tcPr>
            <w:tcW w:w="224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425"/>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B. Reiner</w:t>
            </w:r>
          </w:p>
        </w:tc>
        <w:tc>
          <w:tcPr>
            <w:tcW w:w="2240" w:type="dxa"/>
            <w:vAlign w:val="bottom"/>
            <w:tcBorders>
              <w:bottom w:val="single" w:sz="8" w:color="auto"/>
            </w:tcBorders>
          </w:tcPr>
          <w:p>
            <w:pPr>
              <w:spacing w:after="0"/>
              <w:rPr>
                <w:sz w:val="24"/>
                <w:szCs w:val="24"/>
                <w:color w:val="auto"/>
              </w:rPr>
            </w:pPr>
          </w:p>
        </w:tc>
        <w:tc>
          <w:tcPr>
            <w:tcW w:w="4320" w:type="dxa"/>
            <w:vAlign w:val="bottom"/>
          </w:tcPr>
          <w:p>
            <w:pPr>
              <w:ind w:left="1140"/>
              <w:spacing w:after="0"/>
              <w:rPr>
                <w:sz w:val="20"/>
                <w:szCs w:val="20"/>
                <w:color w:val="auto"/>
              </w:rPr>
            </w:pPr>
            <w:r>
              <w:rPr>
                <w:rFonts w:ascii="Arial" w:cs="Arial" w:eastAsia="Arial" w:hAnsi="Arial"/>
                <w:sz w:val="18"/>
                <w:szCs w:val="18"/>
                <w:color w:val="auto"/>
              </w:rPr>
              <w:t>Date: February 28, 2011</w:t>
            </w:r>
          </w:p>
        </w:tc>
      </w:tr>
      <w:tr>
        <w:trPr>
          <w:trHeight w:val="230"/>
        </w:trPr>
        <w:tc>
          <w:tcPr>
            <w:tcW w:w="4860" w:type="dxa"/>
            <w:vAlign w:val="bottom"/>
          </w:tcPr>
          <w:p>
            <w:pPr>
              <w:ind w:left="240"/>
              <w:spacing w:after="0"/>
              <w:rPr>
                <w:sz w:val="20"/>
                <w:szCs w:val="20"/>
                <w:color w:val="auto"/>
              </w:rPr>
            </w:pPr>
            <w:r>
              <w:rPr>
                <w:rFonts w:ascii="Arial" w:cs="Arial" w:eastAsia="Arial" w:hAnsi="Arial"/>
                <w:sz w:val="18"/>
                <w:szCs w:val="18"/>
                <w:color w:val="auto"/>
              </w:rPr>
              <w:t>David B. Reiner, Director</w:t>
            </w:r>
          </w:p>
        </w:tc>
        <w:tc>
          <w:tcPr>
            <w:tcW w:w="224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425"/>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A. Salcetti</w:t>
            </w:r>
          </w:p>
        </w:tc>
        <w:tc>
          <w:tcPr>
            <w:tcW w:w="2240" w:type="dxa"/>
            <w:vAlign w:val="bottom"/>
            <w:tcBorders>
              <w:bottom w:val="single" w:sz="8" w:color="auto"/>
            </w:tcBorders>
          </w:tcPr>
          <w:p>
            <w:pPr>
              <w:spacing w:after="0"/>
              <w:rPr>
                <w:sz w:val="24"/>
                <w:szCs w:val="24"/>
                <w:color w:val="auto"/>
              </w:rPr>
            </w:pPr>
          </w:p>
        </w:tc>
        <w:tc>
          <w:tcPr>
            <w:tcW w:w="4320" w:type="dxa"/>
            <w:vAlign w:val="bottom"/>
          </w:tcPr>
          <w:p>
            <w:pPr>
              <w:ind w:left="1140"/>
              <w:spacing w:after="0"/>
              <w:rPr>
                <w:sz w:val="20"/>
                <w:szCs w:val="20"/>
                <w:color w:val="auto"/>
              </w:rPr>
            </w:pPr>
            <w:r>
              <w:rPr>
                <w:rFonts w:ascii="Arial" w:cs="Arial" w:eastAsia="Arial" w:hAnsi="Arial"/>
                <w:sz w:val="18"/>
                <w:szCs w:val="18"/>
                <w:color w:val="auto"/>
              </w:rPr>
              <w:t>Date: February 28, 2011</w:t>
            </w:r>
          </w:p>
        </w:tc>
      </w:tr>
      <w:tr>
        <w:trPr>
          <w:trHeight w:val="230"/>
        </w:trPr>
        <w:tc>
          <w:tcPr>
            <w:tcW w:w="4860" w:type="dxa"/>
            <w:vAlign w:val="bottom"/>
          </w:tcPr>
          <w:p>
            <w:pPr>
              <w:ind w:left="240"/>
              <w:spacing w:after="0"/>
              <w:rPr>
                <w:sz w:val="20"/>
                <w:szCs w:val="20"/>
                <w:color w:val="auto"/>
              </w:rPr>
            </w:pPr>
            <w:r>
              <w:rPr>
                <w:rFonts w:ascii="Arial" w:cs="Arial" w:eastAsia="Arial" w:hAnsi="Arial"/>
                <w:sz w:val="18"/>
                <w:szCs w:val="18"/>
                <w:color w:val="auto"/>
              </w:rPr>
              <w:t>Robert A. Salcetti, Director</w:t>
            </w:r>
          </w:p>
        </w:tc>
        <w:tc>
          <w:tcPr>
            <w:tcW w:w="224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425"/>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Van Vlack</w:t>
            </w:r>
          </w:p>
        </w:tc>
        <w:tc>
          <w:tcPr>
            <w:tcW w:w="2240" w:type="dxa"/>
            <w:vAlign w:val="bottom"/>
            <w:tcBorders>
              <w:bottom w:val="single" w:sz="8" w:color="auto"/>
            </w:tcBorders>
          </w:tcPr>
          <w:p>
            <w:pPr>
              <w:spacing w:after="0"/>
              <w:rPr>
                <w:sz w:val="24"/>
                <w:szCs w:val="24"/>
                <w:color w:val="auto"/>
              </w:rPr>
            </w:pPr>
          </w:p>
        </w:tc>
        <w:tc>
          <w:tcPr>
            <w:tcW w:w="4320" w:type="dxa"/>
            <w:vAlign w:val="bottom"/>
          </w:tcPr>
          <w:p>
            <w:pPr>
              <w:ind w:left="1140"/>
              <w:spacing w:after="0"/>
              <w:rPr>
                <w:sz w:val="20"/>
                <w:szCs w:val="20"/>
                <w:color w:val="auto"/>
              </w:rPr>
            </w:pPr>
            <w:r>
              <w:rPr>
                <w:rFonts w:ascii="Arial" w:cs="Arial" w:eastAsia="Arial" w:hAnsi="Arial"/>
                <w:sz w:val="18"/>
                <w:szCs w:val="18"/>
                <w:color w:val="auto"/>
              </w:rPr>
              <w:t>Date: February 28, 2011</w:t>
            </w:r>
          </w:p>
        </w:tc>
      </w:tr>
      <w:tr>
        <w:trPr>
          <w:trHeight w:val="202"/>
        </w:trPr>
        <w:tc>
          <w:tcPr>
            <w:tcW w:w="4860" w:type="dxa"/>
            <w:vAlign w:val="bottom"/>
          </w:tcPr>
          <w:p>
            <w:pPr>
              <w:ind w:left="240"/>
              <w:spacing w:after="0" w:line="201" w:lineRule="exact"/>
              <w:rPr>
                <w:sz w:val="20"/>
                <w:szCs w:val="20"/>
                <w:color w:val="auto"/>
              </w:rPr>
            </w:pPr>
            <w:r>
              <w:rPr>
                <w:rFonts w:ascii="Arial" w:cs="Arial" w:eastAsia="Arial" w:hAnsi="Arial"/>
                <w:sz w:val="18"/>
                <w:szCs w:val="18"/>
                <w:color w:val="auto"/>
              </w:rPr>
              <w:t>John Van Vlack, Executive Vice President,</w:t>
            </w:r>
          </w:p>
        </w:tc>
        <w:tc>
          <w:tcPr>
            <w:tcW w:w="224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16"/>
        </w:trPr>
        <w:tc>
          <w:tcPr>
            <w:tcW w:w="4860" w:type="dxa"/>
            <w:vAlign w:val="bottom"/>
          </w:tcPr>
          <w:p>
            <w:pPr>
              <w:ind w:left="240"/>
              <w:spacing w:after="0"/>
              <w:rPr>
                <w:sz w:val="20"/>
                <w:szCs w:val="20"/>
                <w:color w:val="auto"/>
              </w:rPr>
            </w:pPr>
            <w:r>
              <w:rPr>
                <w:rFonts w:ascii="Arial" w:cs="Arial" w:eastAsia="Arial" w:hAnsi="Arial"/>
                <w:sz w:val="18"/>
                <w:szCs w:val="18"/>
                <w:color w:val="auto"/>
              </w:rPr>
              <w:t>Chief Financial Officer and Chief Accounting Officer</w:t>
            </w:r>
          </w:p>
        </w:tc>
        <w:tc>
          <w:tcPr>
            <w:tcW w:w="2240" w:type="dxa"/>
            <w:vAlign w:val="bottom"/>
          </w:tcPr>
          <w:p>
            <w:pPr>
              <w:spacing w:after="0"/>
              <w:rPr>
                <w:sz w:val="18"/>
                <w:szCs w:val="18"/>
                <w:color w:val="auto"/>
              </w:rPr>
            </w:pPr>
          </w:p>
        </w:tc>
        <w:tc>
          <w:tcPr>
            <w:tcW w:w="4320" w:type="dxa"/>
            <w:vAlign w:val="bottom"/>
          </w:tcPr>
          <w:p>
            <w:pPr>
              <w:spacing w:after="0"/>
              <w:rPr>
                <w:sz w:val="18"/>
                <w:szCs w:val="18"/>
                <w:color w:val="auto"/>
              </w:rPr>
            </w:pPr>
          </w:p>
        </w:tc>
      </w:tr>
      <w:tr>
        <w:trPr>
          <w:trHeight w:val="230"/>
        </w:trPr>
        <w:tc>
          <w:tcPr>
            <w:tcW w:w="4860" w:type="dxa"/>
            <w:vAlign w:val="bottom"/>
          </w:tcPr>
          <w:p>
            <w:pPr>
              <w:ind w:left="240"/>
              <w:spacing w:after="0"/>
              <w:rPr>
                <w:sz w:val="20"/>
                <w:szCs w:val="20"/>
                <w:color w:val="auto"/>
              </w:rPr>
            </w:pPr>
            <w:r>
              <w:rPr>
                <w:rFonts w:ascii="Arial" w:cs="Arial" w:eastAsia="Arial" w:hAnsi="Arial"/>
                <w:sz w:val="18"/>
                <w:szCs w:val="18"/>
                <w:color w:val="auto"/>
              </w:rPr>
              <w:t>(principal financial officer)</w:t>
            </w:r>
          </w:p>
        </w:tc>
        <w:tc>
          <w:tcPr>
            <w:tcW w:w="224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581"/>
        </w:trPr>
        <w:tc>
          <w:tcPr>
            <w:tcW w:w="4860" w:type="dxa"/>
            <w:vAlign w:val="bottom"/>
          </w:tcPr>
          <w:p>
            <w:pPr>
              <w:spacing w:after="0"/>
              <w:rPr>
                <w:sz w:val="24"/>
                <w:szCs w:val="24"/>
                <w:color w:val="auto"/>
              </w:rPr>
            </w:pPr>
          </w:p>
        </w:tc>
        <w:tc>
          <w:tcPr>
            <w:tcW w:w="2240" w:type="dxa"/>
            <w:vAlign w:val="bottom"/>
          </w:tcPr>
          <w:p>
            <w:pPr>
              <w:jc w:val="right"/>
              <w:ind w:right="1210"/>
              <w:spacing w:after="0"/>
              <w:rPr>
                <w:sz w:val="20"/>
                <w:szCs w:val="20"/>
                <w:color w:val="auto"/>
              </w:rPr>
            </w:pPr>
            <w:r>
              <w:rPr>
                <w:rFonts w:ascii="Arial" w:cs="Arial" w:eastAsia="Arial" w:hAnsi="Arial"/>
                <w:sz w:val="18"/>
                <w:szCs w:val="18"/>
                <w:color w:val="auto"/>
              </w:rPr>
              <w:t>57</w:t>
            </w:r>
          </w:p>
        </w:tc>
        <w:tc>
          <w:tcPr>
            <w:tcW w:w="4320" w:type="dxa"/>
            <w:vAlign w:val="bottom"/>
          </w:tcPr>
          <w:p>
            <w:pPr>
              <w:spacing w:after="0"/>
              <w:rPr>
                <w:sz w:val="24"/>
                <w:szCs w:val="24"/>
                <w:color w:val="auto"/>
              </w:rPr>
            </w:pPr>
          </w:p>
        </w:tc>
      </w:tr>
      <w:tr>
        <w:trPr>
          <w:trHeight w:val="105"/>
        </w:trPr>
        <w:tc>
          <w:tcPr>
            <w:tcW w:w="4860" w:type="dxa"/>
            <w:vAlign w:val="bottom"/>
            <w:tcBorders>
              <w:bottom w:val="single" w:sz="8" w:color="808080"/>
            </w:tcBorders>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c>
          <w:tcPr>
            <w:tcW w:w="43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9" w:name="page60"/>
    <w:bookmarkEnd w:id="59"/>
    <w:p>
      <w:pPr>
        <w:jc w:val="center"/>
        <w:ind w:right="-2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FINANCIAL STATEMENTS AND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 OF INDEPENDENT REGISTERED CERTIFIED PUBLIC ACCOUNTING FIRM</w:t>
      </w:r>
    </w:p>
    <w:p>
      <w:pPr>
        <w:spacing w:after="0" w:line="20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401320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9700" w:type="dxa"/>
            <w:vAlign w:val="bottom"/>
            <w:gridSpan w:val="9"/>
          </w:tcPr>
          <w:p>
            <w:pPr>
              <w:jc w:val="center"/>
              <w:ind w:left="490"/>
              <w:spacing w:after="0"/>
              <w:rPr>
                <w:sz w:val="20"/>
                <w:szCs w:val="20"/>
                <w:color w:val="auto"/>
              </w:rPr>
            </w:pPr>
            <w:r>
              <w:rPr>
                <w:rFonts w:ascii="Arial" w:cs="Arial" w:eastAsia="Arial" w:hAnsi="Arial"/>
                <w:sz w:val="18"/>
                <w:szCs w:val="18"/>
                <w:b w:val="1"/>
                <w:bCs w:val="1"/>
                <w:color w:val="auto"/>
              </w:rPr>
              <w:t>OCWEN FINANCIAL CORPORATION AND SUBSIDIARIES</w:t>
            </w:r>
          </w:p>
        </w:tc>
        <w:tc>
          <w:tcPr>
            <w:tcW w:w="114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9700" w:type="dxa"/>
            <w:vAlign w:val="bottom"/>
            <w:gridSpan w:val="9"/>
          </w:tcPr>
          <w:p>
            <w:pPr>
              <w:jc w:val="center"/>
              <w:ind w:left="470"/>
              <w:spacing w:after="0"/>
              <w:rPr>
                <w:sz w:val="20"/>
                <w:szCs w:val="20"/>
                <w:color w:val="auto"/>
              </w:rPr>
            </w:pPr>
            <w:r>
              <w:rPr>
                <w:rFonts w:ascii="Arial" w:cs="Arial" w:eastAsia="Arial" w:hAnsi="Arial"/>
                <w:sz w:val="18"/>
                <w:szCs w:val="18"/>
                <w:b w:val="1"/>
                <w:bCs w:val="1"/>
                <w:color w:val="auto"/>
              </w:rPr>
              <w:t>INDEX TO CONSOLIDATED FINANCIAL STATEMENTS AND SCHEDULES</w:t>
            </w:r>
          </w:p>
        </w:tc>
        <w:tc>
          <w:tcPr>
            <w:tcW w:w="114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360" w:type="dxa"/>
            <w:vAlign w:val="bottom"/>
            <w:gridSpan w:val="6"/>
          </w:tcPr>
          <w:p>
            <w:pPr>
              <w:jc w:val="center"/>
              <w:ind w:right="3780"/>
              <w:spacing w:after="0"/>
              <w:rPr>
                <w:sz w:val="20"/>
                <w:szCs w:val="20"/>
                <w:color w:val="auto"/>
              </w:rPr>
            </w:pPr>
            <w:r>
              <w:rPr>
                <w:rFonts w:ascii="Arial" w:cs="Arial" w:eastAsia="Arial" w:hAnsi="Arial"/>
                <w:sz w:val="18"/>
                <w:szCs w:val="18"/>
                <w:b w:val="1"/>
                <w:bCs w:val="1"/>
                <w:color w:val="auto"/>
                <w:w w:val="90"/>
              </w:rPr>
              <w:t>December 31, 2010</w:t>
            </w:r>
          </w:p>
        </w:tc>
        <w:tc>
          <w:tcPr>
            <w:tcW w:w="1140" w:type="dxa"/>
            <w:vAlign w:val="bottom"/>
          </w:tcPr>
          <w:p>
            <w:pPr>
              <w:spacing w:after="0"/>
              <w:rPr>
                <w:sz w:val="24"/>
                <w:szCs w:val="24"/>
                <w:color w:val="auto"/>
              </w:rPr>
            </w:pPr>
          </w:p>
        </w:tc>
      </w:tr>
      <w:tr>
        <w:trPr>
          <w:trHeight w:val="439"/>
        </w:trPr>
        <w:tc>
          <w:tcPr>
            <w:tcW w:w="5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Page</w:t>
            </w:r>
          </w:p>
        </w:tc>
      </w:tr>
      <w:tr>
        <w:trPr>
          <w:trHeight w:val="392"/>
        </w:trPr>
        <w:tc>
          <w:tcPr>
            <w:tcW w:w="10280" w:type="dxa"/>
            <w:vAlign w:val="bottom"/>
            <w:gridSpan w:val="10"/>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Report of Independent Registered Public Accounting Firm</w:t>
              </w:r>
            </w:hyperlink>
          </w:p>
        </w:tc>
        <w:tc>
          <w:tcPr>
            <w:tcW w:w="1140" w:type="dxa"/>
            <w:vAlign w:val="bottom"/>
          </w:tcPr>
          <w:p>
            <w:pPr>
              <w:ind w:left="400"/>
              <w:spacing w:after="0"/>
              <w:rPr>
                <w:sz w:val="20"/>
                <w:szCs w:val="20"/>
                <w:color w:val="auto"/>
              </w:rPr>
            </w:pPr>
            <w:r>
              <w:rPr>
                <w:rFonts w:ascii="Arial" w:cs="Arial" w:eastAsia="Arial" w:hAnsi="Arial"/>
                <w:sz w:val="18"/>
                <w:szCs w:val="18"/>
                <w:color w:val="auto"/>
              </w:rPr>
              <w:t>F - 2</w:t>
            </w:r>
          </w:p>
        </w:tc>
      </w:tr>
      <w:tr>
        <w:trPr>
          <w:trHeight w:val="20"/>
        </w:trPr>
        <w:tc>
          <w:tcPr>
            <w:tcW w:w="580" w:type="dxa"/>
            <w:vAlign w:val="bottom"/>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75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63">
              <w:r>
                <w:rPr>
                  <w:rFonts w:ascii="Arial" w:cs="Arial" w:eastAsia="Arial" w:hAnsi="Arial"/>
                  <w:sz w:val="18"/>
                  <w:szCs w:val="18"/>
                  <w:color w:val="0000EE"/>
                  <w:w w:val="91"/>
                </w:rPr>
                <w:t>Report of Independent Registered Public Accounting Firm on Internal Control over Financial Reporting</w:t>
              </w:r>
            </w:hyperlink>
          </w:p>
        </w:tc>
        <w:tc>
          <w:tcPr>
            <w:tcW w:w="2780" w:type="dxa"/>
            <w:vAlign w:val="bottom"/>
            <w:gridSpan w:val="3"/>
          </w:tcPr>
          <w:p>
            <w:pPr>
              <w:spacing w:after="0"/>
              <w:rPr>
                <w:sz w:val="17"/>
                <w:szCs w:val="17"/>
                <w:color w:val="auto"/>
              </w:rPr>
            </w:pPr>
          </w:p>
        </w:tc>
        <w:tc>
          <w:tcPr>
            <w:tcW w:w="1140" w:type="dxa"/>
            <w:vAlign w:val="bottom"/>
          </w:tcPr>
          <w:p>
            <w:pPr>
              <w:ind w:left="400"/>
              <w:spacing w:after="0" w:line="196" w:lineRule="exact"/>
              <w:rPr>
                <w:sz w:val="20"/>
                <w:szCs w:val="20"/>
                <w:color w:val="auto"/>
              </w:rPr>
            </w:pPr>
            <w:r>
              <w:rPr>
                <w:rFonts w:ascii="Arial" w:cs="Arial" w:eastAsia="Arial" w:hAnsi="Arial"/>
                <w:sz w:val="18"/>
                <w:szCs w:val="18"/>
                <w:color w:val="auto"/>
              </w:rPr>
              <w:t>F - 3</w:t>
            </w:r>
          </w:p>
        </w:tc>
      </w:tr>
      <w:tr>
        <w:trPr>
          <w:trHeight w:val="196"/>
        </w:trPr>
        <w:tc>
          <w:tcPr>
            <w:tcW w:w="49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64">
              <w:r>
                <w:rPr>
                  <w:rFonts w:ascii="Arial" w:cs="Arial" w:eastAsia="Arial" w:hAnsi="Arial"/>
                  <w:sz w:val="18"/>
                  <w:szCs w:val="18"/>
                  <w:color w:val="0000EE"/>
                  <w:w w:val="92"/>
                </w:rPr>
                <w:t>Report of Independent Registered Certified Public Accounting Firm</w:t>
              </w:r>
            </w:hyperlink>
          </w:p>
        </w:tc>
        <w:tc>
          <w:tcPr>
            <w:tcW w:w="5360" w:type="dxa"/>
            <w:vAlign w:val="bottom"/>
            <w:gridSpan w:val="6"/>
          </w:tcPr>
          <w:p>
            <w:pPr>
              <w:spacing w:after="0"/>
              <w:rPr>
                <w:sz w:val="17"/>
                <w:szCs w:val="17"/>
                <w:color w:val="auto"/>
              </w:rPr>
            </w:pPr>
          </w:p>
        </w:tc>
        <w:tc>
          <w:tcPr>
            <w:tcW w:w="1140" w:type="dxa"/>
            <w:vAlign w:val="bottom"/>
          </w:tcPr>
          <w:p>
            <w:pPr>
              <w:ind w:left="400"/>
              <w:spacing w:after="0" w:line="196" w:lineRule="exact"/>
              <w:rPr>
                <w:sz w:val="20"/>
                <w:szCs w:val="20"/>
                <w:color w:val="auto"/>
              </w:rPr>
            </w:pPr>
            <w:r>
              <w:rPr>
                <w:rFonts w:ascii="Arial" w:cs="Arial" w:eastAsia="Arial" w:hAnsi="Arial"/>
                <w:sz w:val="18"/>
                <w:szCs w:val="18"/>
                <w:color w:val="auto"/>
              </w:rPr>
              <w:t>F - 4</w:t>
            </w:r>
          </w:p>
        </w:tc>
      </w:tr>
      <w:tr>
        <w:trPr>
          <w:trHeight w:val="222"/>
        </w:trPr>
        <w:tc>
          <w:tcPr>
            <w:tcW w:w="10280" w:type="dxa"/>
            <w:vAlign w:val="bottom"/>
            <w:gridSpan w:val="10"/>
          </w:tcPr>
          <w:p>
            <w:pPr>
              <w:spacing w:after="0"/>
              <w:rPr>
                <w:sz w:val="20"/>
                <w:szCs w:val="20"/>
                <w:color w:val="auto"/>
              </w:rPr>
            </w:pPr>
            <w:r>
              <w:rPr>
                <w:rFonts w:ascii="Arial" w:cs="Arial" w:eastAsia="Arial" w:hAnsi="Arial"/>
                <w:sz w:val="18"/>
                <w:szCs w:val="18"/>
                <w:color w:val="auto"/>
              </w:rPr>
              <w:t>Consolidated Financial Statements:</w:t>
            </w:r>
          </w:p>
        </w:tc>
        <w:tc>
          <w:tcPr>
            <w:tcW w:w="1140" w:type="dxa"/>
            <w:vAlign w:val="bottom"/>
          </w:tcPr>
          <w:p>
            <w:pPr>
              <w:spacing w:after="0"/>
              <w:rPr>
                <w:sz w:val="19"/>
                <w:szCs w:val="19"/>
                <w:color w:val="auto"/>
              </w:rPr>
            </w:pPr>
          </w:p>
        </w:tc>
      </w:tr>
      <w:tr>
        <w:trPr>
          <w:trHeight w:val="190"/>
        </w:trPr>
        <w:tc>
          <w:tcPr>
            <w:tcW w:w="580" w:type="dxa"/>
            <w:vAlign w:val="bottom"/>
          </w:tcPr>
          <w:p>
            <w:pPr>
              <w:spacing w:after="0"/>
              <w:rPr>
                <w:sz w:val="16"/>
                <w:szCs w:val="16"/>
                <w:color w:val="auto"/>
              </w:rPr>
            </w:pPr>
          </w:p>
        </w:tc>
        <w:tc>
          <w:tcPr>
            <w:tcW w:w="9700" w:type="dxa"/>
            <w:vAlign w:val="bottom"/>
            <w:gridSpan w:val="9"/>
          </w:tcPr>
          <w:p>
            <w:pPr>
              <w:spacing w:after="0" w:line="190" w:lineRule="exact"/>
              <w:rPr>
                <w:rFonts w:ascii="Arial" w:cs="Arial" w:eastAsia="Arial" w:hAnsi="Arial"/>
                <w:sz w:val="18"/>
                <w:szCs w:val="18"/>
                <w:color w:val="0000EE"/>
              </w:rPr>
            </w:pPr>
            <w:hyperlink w:anchor="page65">
              <w:r>
                <w:rPr>
                  <w:rFonts w:ascii="Arial" w:cs="Arial" w:eastAsia="Arial" w:hAnsi="Arial"/>
                  <w:sz w:val="18"/>
                  <w:szCs w:val="18"/>
                  <w:color w:val="0000EE"/>
                </w:rPr>
                <w:t>Consolidated Balance Sheets at December 31, 2010 and 2009</w:t>
              </w:r>
            </w:hyperlink>
          </w:p>
        </w:tc>
        <w:tc>
          <w:tcPr>
            <w:tcW w:w="1140" w:type="dxa"/>
            <w:vAlign w:val="bottom"/>
          </w:tcPr>
          <w:p>
            <w:pPr>
              <w:ind w:left="400"/>
              <w:spacing w:after="0" w:line="190" w:lineRule="exact"/>
              <w:rPr>
                <w:sz w:val="20"/>
                <w:szCs w:val="20"/>
                <w:color w:val="auto"/>
              </w:rPr>
            </w:pPr>
            <w:r>
              <w:rPr>
                <w:rFonts w:ascii="Arial" w:cs="Arial" w:eastAsia="Arial" w:hAnsi="Arial"/>
                <w:sz w:val="18"/>
                <w:szCs w:val="18"/>
                <w:color w:val="auto"/>
              </w:rPr>
              <w:t>F - 5</w:t>
            </w:r>
          </w:p>
        </w:tc>
      </w:tr>
      <w:tr>
        <w:trPr>
          <w:trHeight w:val="20"/>
        </w:trPr>
        <w:tc>
          <w:tcPr>
            <w:tcW w:w="58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9700" w:type="dxa"/>
            <w:vAlign w:val="bottom"/>
            <w:gridSpan w:val="9"/>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Consolidated Statements of Operations for the years ended December 31, 2010, 2009 and 2008</w:t>
              </w:r>
            </w:hyperlink>
          </w:p>
        </w:tc>
        <w:tc>
          <w:tcPr>
            <w:tcW w:w="1140" w:type="dxa"/>
            <w:vAlign w:val="bottom"/>
          </w:tcPr>
          <w:p>
            <w:pPr>
              <w:ind w:left="400"/>
              <w:spacing w:after="0" w:line="196" w:lineRule="exact"/>
              <w:rPr>
                <w:sz w:val="20"/>
                <w:szCs w:val="20"/>
                <w:color w:val="auto"/>
              </w:rPr>
            </w:pPr>
            <w:r>
              <w:rPr>
                <w:rFonts w:ascii="Arial" w:cs="Arial" w:eastAsia="Arial" w:hAnsi="Arial"/>
                <w:sz w:val="18"/>
                <w:szCs w:val="18"/>
                <w:color w:val="auto"/>
              </w:rPr>
              <w:t>F - 6</w:t>
            </w:r>
          </w:p>
        </w:tc>
      </w:tr>
      <w:tr>
        <w:trPr>
          <w:trHeight w:val="20"/>
        </w:trPr>
        <w:tc>
          <w:tcPr>
            <w:tcW w:w="58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37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9700" w:type="dxa"/>
            <w:vAlign w:val="bottom"/>
            <w:gridSpan w:val="9"/>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Statements of Comprehensive Income for the years ended December 31, 2010, 2009 and 2008</w:t>
              </w:r>
            </w:hyperlink>
          </w:p>
        </w:tc>
        <w:tc>
          <w:tcPr>
            <w:tcW w:w="1140" w:type="dxa"/>
            <w:vAlign w:val="bottom"/>
          </w:tcPr>
          <w:p>
            <w:pPr>
              <w:ind w:left="400"/>
              <w:spacing w:after="0" w:line="196" w:lineRule="exact"/>
              <w:rPr>
                <w:sz w:val="20"/>
                <w:szCs w:val="20"/>
                <w:color w:val="auto"/>
              </w:rPr>
            </w:pPr>
            <w:r>
              <w:rPr>
                <w:rFonts w:ascii="Arial" w:cs="Arial" w:eastAsia="Arial" w:hAnsi="Arial"/>
                <w:sz w:val="18"/>
                <w:szCs w:val="18"/>
                <w:color w:val="auto"/>
              </w:rPr>
              <w:t>F - 7</w:t>
            </w:r>
          </w:p>
        </w:tc>
      </w:tr>
      <w:tr>
        <w:trPr>
          <w:trHeight w:val="196"/>
        </w:trPr>
        <w:tc>
          <w:tcPr>
            <w:tcW w:w="580" w:type="dxa"/>
            <w:vAlign w:val="bottom"/>
          </w:tcPr>
          <w:p>
            <w:pPr>
              <w:spacing w:after="0"/>
              <w:rPr>
                <w:sz w:val="17"/>
                <w:szCs w:val="17"/>
                <w:color w:val="auto"/>
              </w:rPr>
            </w:pPr>
          </w:p>
        </w:tc>
        <w:tc>
          <w:tcPr>
            <w:tcW w:w="7780" w:type="dxa"/>
            <w:vAlign w:val="bottom"/>
            <w:tcBorders>
              <w:top w:val="single" w:sz="8" w:color="0000EE"/>
            </w:tcBorders>
            <w:gridSpan w:val="8"/>
          </w:tcPr>
          <w:p>
            <w:pPr>
              <w:spacing w:after="0" w:line="196" w:lineRule="exact"/>
              <w:rPr>
                <w:rFonts w:ascii="Arial" w:cs="Arial" w:eastAsia="Arial" w:hAnsi="Arial"/>
                <w:sz w:val="18"/>
                <w:szCs w:val="18"/>
                <w:color w:val="0000EE"/>
                <w:w w:val="94"/>
              </w:rPr>
            </w:pPr>
            <w:hyperlink w:anchor="page68">
              <w:r>
                <w:rPr>
                  <w:rFonts w:ascii="Arial" w:cs="Arial" w:eastAsia="Arial" w:hAnsi="Arial"/>
                  <w:sz w:val="18"/>
                  <w:szCs w:val="18"/>
                  <w:color w:val="0000EE"/>
                  <w:w w:val="94"/>
                </w:rPr>
                <w:t>Consolidated Statements of Changes in Equity for the years ended December 31, 2010, 2009 and 2008</w:t>
              </w:r>
            </w:hyperlink>
          </w:p>
        </w:tc>
        <w:tc>
          <w:tcPr>
            <w:tcW w:w="1920" w:type="dxa"/>
            <w:vAlign w:val="bottom"/>
          </w:tcPr>
          <w:p>
            <w:pPr>
              <w:spacing w:after="0"/>
              <w:rPr>
                <w:sz w:val="17"/>
                <w:szCs w:val="17"/>
                <w:color w:val="auto"/>
              </w:rPr>
            </w:pPr>
          </w:p>
        </w:tc>
        <w:tc>
          <w:tcPr>
            <w:tcW w:w="1140" w:type="dxa"/>
            <w:vAlign w:val="bottom"/>
          </w:tcPr>
          <w:p>
            <w:pPr>
              <w:ind w:left="400"/>
              <w:spacing w:after="0" w:line="196" w:lineRule="exact"/>
              <w:rPr>
                <w:sz w:val="20"/>
                <w:szCs w:val="20"/>
                <w:color w:val="auto"/>
              </w:rPr>
            </w:pPr>
            <w:r>
              <w:rPr>
                <w:rFonts w:ascii="Arial" w:cs="Arial" w:eastAsia="Arial" w:hAnsi="Arial"/>
                <w:sz w:val="18"/>
                <w:szCs w:val="18"/>
                <w:color w:val="auto"/>
              </w:rPr>
              <w:t>F - 8</w:t>
            </w:r>
          </w:p>
        </w:tc>
      </w:tr>
      <w:tr>
        <w:trPr>
          <w:trHeight w:val="196"/>
        </w:trPr>
        <w:tc>
          <w:tcPr>
            <w:tcW w:w="580" w:type="dxa"/>
            <w:vAlign w:val="bottom"/>
          </w:tcPr>
          <w:p>
            <w:pPr>
              <w:spacing w:after="0"/>
              <w:rPr>
                <w:sz w:val="17"/>
                <w:szCs w:val="17"/>
                <w:color w:val="auto"/>
              </w:rPr>
            </w:pPr>
          </w:p>
        </w:tc>
        <w:tc>
          <w:tcPr>
            <w:tcW w:w="69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Consolidated Statements of Cash Flows for the years ended December 31, 2010, 2009 and 2008</w:t>
              </w:r>
            </w:hyperlink>
          </w:p>
        </w:tc>
        <w:tc>
          <w:tcPr>
            <w:tcW w:w="480" w:type="dxa"/>
            <w:vAlign w:val="bottom"/>
            <w:tcBorders>
              <w:top w:val="single" w:sz="8" w:color="0000EE"/>
            </w:tcBorders>
          </w:tcPr>
          <w:p>
            <w:pPr>
              <w:spacing w:after="0"/>
              <w:rPr>
                <w:sz w:val="17"/>
                <w:szCs w:val="17"/>
                <w:color w:val="auto"/>
              </w:rPr>
            </w:pPr>
          </w:p>
        </w:tc>
        <w:tc>
          <w:tcPr>
            <w:tcW w:w="2300" w:type="dxa"/>
            <w:vAlign w:val="bottom"/>
            <w:gridSpan w:val="2"/>
          </w:tcPr>
          <w:p>
            <w:pPr>
              <w:spacing w:after="0"/>
              <w:rPr>
                <w:sz w:val="17"/>
                <w:szCs w:val="17"/>
                <w:color w:val="auto"/>
              </w:rPr>
            </w:pPr>
          </w:p>
        </w:tc>
        <w:tc>
          <w:tcPr>
            <w:tcW w:w="1140" w:type="dxa"/>
            <w:vAlign w:val="bottom"/>
          </w:tcPr>
          <w:p>
            <w:pPr>
              <w:ind w:left="400"/>
              <w:spacing w:after="0" w:line="196" w:lineRule="exact"/>
              <w:rPr>
                <w:sz w:val="20"/>
                <w:szCs w:val="20"/>
                <w:color w:val="auto"/>
              </w:rPr>
            </w:pPr>
            <w:r>
              <w:rPr>
                <w:rFonts w:ascii="Arial" w:cs="Arial" w:eastAsia="Arial" w:hAnsi="Arial"/>
                <w:sz w:val="18"/>
                <w:szCs w:val="18"/>
                <w:color w:val="auto"/>
              </w:rPr>
              <w:t>F - 9</w:t>
            </w:r>
          </w:p>
        </w:tc>
      </w:tr>
      <w:tr>
        <w:trPr>
          <w:trHeight w:val="196"/>
        </w:trPr>
        <w:tc>
          <w:tcPr>
            <w:tcW w:w="580" w:type="dxa"/>
            <w:vAlign w:val="bottom"/>
          </w:tcPr>
          <w:p>
            <w:pPr>
              <w:spacing w:after="0"/>
              <w:rPr>
                <w:sz w:val="17"/>
                <w:szCs w:val="17"/>
                <w:color w:val="auto"/>
              </w:rPr>
            </w:pPr>
          </w:p>
        </w:tc>
        <w:tc>
          <w:tcPr>
            <w:tcW w:w="9700" w:type="dxa"/>
            <w:vAlign w:val="bottom"/>
            <w:gridSpan w:val="9"/>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Notes to Consolidated Financial Statements</w:t>
              </w:r>
            </w:hyperlink>
          </w:p>
        </w:tc>
        <w:tc>
          <w:tcPr>
            <w:tcW w:w="1140" w:type="dxa"/>
            <w:vAlign w:val="bottom"/>
          </w:tcPr>
          <w:p>
            <w:pPr>
              <w:ind w:left="360"/>
              <w:spacing w:after="0" w:line="196" w:lineRule="exact"/>
              <w:rPr>
                <w:sz w:val="20"/>
                <w:szCs w:val="20"/>
                <w:color w:val="auto"/>
              </w:rPr>
            </w:pPr>
            <w:r>
              <w:rPr>
                <w:rFonts w:ascii="Arial" w:cs="Arial" w:eastAsia="Arial" w:hAnsi="Arial"/>
                <w:sz w:val="18"/>
                <w:szCs w:val="18"/>
                <w:color w:val="auto"/>
              </w:rPr>
              <w:t>F - 11</w:t>
            </w:r>
          </w:p>
        </w:tc>
      </w:tr>
      <w:tr>
        <w:trPr>
          <w:trHeight w:val="601"/>
        </w:trPr>
        <w:tc>
          <w:tcPr>
            <w:tcW w:w="580" w:type="dxa"/>
            <w:vAlign w:val="bottom"/>
          </w:tcPr>
          <w:p>
            <w:pPr>
              <w:spacing w:after="0"/>
              <w:rPr>
                <w:sz w:val="24"/>
                <w:szCs w:val="24"/>
                <w:color w:val="auto"/>
              </w:rPr>
            </w:pPr>
          </w:p>
        </w:tc>
        <w:tc>
          <w:tcPr>
            <w:tcW w:w="316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60" w:type="dxa"/>
            <w:vAlign w:val="bottom"/>
            <w:gridSpan w:val="5"/>
          </w:tcPr>
          <w:p>
            <w:pPr>
              <w:jc w:val="center"/>
              <w:ind w:right="3880"/>
              <w:spacing w:after="0"/>
              <w:rPr>
                <w:sz w:val="20"/>
                <w:szCs w:val="20"/>
                <w:color w:val="auto"/>
              </w:rPr>
            </w:pPr>
            <w:r>
              <w:rPr>
                <w:rFonts w:ascii="Arial" w:cs="Arial" w:eastAsia="Arial" w:hAnsi="Arial"/>
                <w:sz w:val="18"/>
                <w:szCs w:val="18"/>
                <w:color w:val="auto"/>
                <w:w w:val="96"/>
              </w:rPr>
              <w:t>F-1</w:t>
            </w:r>
          </w:p>
        </w:tc>
        <w:tc>
          <w:tcPr>
            <w:tcW w:w="1140" w:type="dxa"/>
            <w:vAlign w:val="bottom"/>
          </w:tcPr>
          <w:p>
            <w:pPr>
              <w:spacing w:after="0"/>
              <w:rPr>
                <w:sz w:val="24"/>
                <w:szCs w:val="24"/>
                <w:color w:val="auto"/>
              </w:rPr>
            </w:pPr>
          </w:p>
        </w:tc>
      </w:tr>
      <w:tr>
        <w:trPr>
          <w:trHeight w:val="105"/>
        </w:trPr>
        <w:tc>
          <w:tcPr>
            <w:tcW w:w="580" w:type="dxa"/>
            <w:vAlign w:val="bottom"/>
            <w:tcBorders>
              <w:bottom w:val="single" w:sz="8" w:color="808080"/>
            </w:tcBorders>
          </w:tcPr>
          <w:p>
            <w:pPr>
              <w:spacing w:after="0"/>
              <w:rPr>
                <w:sz w:val="9"/>
                <w:szCs w:val="9"/>
                <w:color w:val="auto"/>
              </w:rPr>
            </w:pPr>
          </w:p>
        </w:tc>
        <w:tc>
          <w:tcPr>
            <w:tcW w:w="31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1" w:name="page62"/>
    <w:bookmarkEnd w:id="61"/>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Ocwen Financial Corporation: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Ocwen Financial Corporation and subsidiaries (the “Company”) as of December 31, 2010 and 2009, and the related consolidated statements of operations, changes in equity, comprehensive income, and cash flows for the years then ended.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Ocwen Financial Corporation and subsidiaries as of December 31, 2010 and 2009, and the results of their operations and their cash flows for the years then ended, in conformity with accounting principles generally accepted in the United States of America.</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described in Note 1 to the consolidated financial statements, the Company adopted new accounting provisions with respect to consolidation of variable interest entities effective January 1, 2010.</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Company’s internal control over financial reporting as of December 31, 2010, based on the criteria established in Internal Control—Integrated Framework issued by the Committee of Sponsoring Organizations of the Treadway Commission and our report dated February 28, 2011 expressed an unqualified opinion on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216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216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2011</w:t>
      </w:r>
    </w:p>
    <w:p>
      <w:pPr>
        <w:spacing w:after="0" w:line="35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86" w:right="339" w:bottom="1440" w:gutter="0" w:footer="0" w:header="0"/>
        </w:sectPr>
      </w:pPr>
    </w:p>
    <w:bookmarkStart w:id="62" w:name="page63"/>
    <w:bookmarkEnd w:id="62"/>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Ocwen Financial Corporation:</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have audited the internal control over financial reporting of Ocwen Financial Corporation and subsidiaries (the “Company”) as of December 31, 2010, based on criteria established in Internal Control — Integrated Framework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 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In our opinion, the Company maintained, in all material respects, effective internal control over financial reporting as of December 31, 2010, based on the criteria established in Internal Control — Integrated Framework issued by the Committee of Sponsoring Organizations of the Treadway Commission.</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years ended December 31, 2010 and 2009 of the Company and our report dated February 28, 2011 expressed an unqualified opinion on those consolidated financial statements (and includes an explanatory paragraph related to the adoption of new accounting provisions with respect to consolidation of variable interest entities).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6700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6700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2011</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86" w:right="279" w:bottom="1440" w:gutter="0" w:footer="0" w:header="0"/>
        </w:sectPr>
      </w:pPr>
    </w:p>
    <w:bookmarkStart w:id="63" w:name="page64"/>
    <w:bookmarkEnd w:id="63"/>
    <w:p>
      <w:pPr>
        <w:ind w:left="2120"/>
        <w:spacing w:after="0"/>
        <w:rPr>
          <w:sz w:val="20"/>
          <w:szCs w:val="20"/>
          <w:color w:val="auto"/>
        </w:rPr>
      </w:pPr>
      <w:r>
        <w:rPr>
          <w:rFonts w:ascii="Arial" w:cs="Arial" w:eastAsia="Arial" w:hAnsi="Arial"/>
          <w:sz w:val="18"/>
          <w:szCs w:val="18"/>
          <w:b w:val="1"/>
          <w:bCs w:val="1"/>
          <w:color w:val="auto"/>
        </w:rPr>
        <w:t>REPORT OF INDEPENDENT REGISTERED CERTIFIED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Ocwen Financial Corporation:</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 our opinion, the consolidated statements of operations, comprehensive income, changes in equity and cash flows for the year ended December 31, 2008 present fairly, in all material respects, the results of operations, changes in equity and cash flows of Ocwen Financial Corporation for the year ended December 31, 2008 in conformity with accounting principles generally accepted in the United States of America. These financial statements are the responsibility of the Company’s management. Our responsibility is to express an opinion on these financial statements based on our audit. We conducted our audit of these statements in accordance with the standards of the Public Company Accounting Oversight Board (United States). Those standards require that we plan and perform the audit to obtain reasonable assurance about whether the financi 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182"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certain convertible debt instruments and the manner in which it accounts for noncontrolling interests effective January 1,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330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9330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Fort Lauderdale, Florida</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March 12, 2009, except for the effects of the change in accounting for certain convertible debt instruments and noncontrolling interests discussed in Note 1, as to which the date is July 16, 2009</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4" w:name="page65"/>
    <w:bookmarkEnd w:id="64"/>
    <w:p>
      <w:pPr>
        <w:jc w:val="center"/>
        <w:ind w:left="34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Cash</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127,796</w:t>
            </w:r>
          </w:p>
        </w:tc>
        <w:tc>
          <w:tcPr>
            <w:tcW w:w="2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90,919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Restricted cash – for securitization investors</w:t>
            </w: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727</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Trading securities, at fair value</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Auction rate</w:t>
            </w:r>
          </w:p>
        </w:tc>
        <w:tc>
          <w:tcPr>
            <w:tcW w:w="240" w:type="dxa"/>
            <w:vAlign w:val="bottom"/>
            <w:shd w:val="clear" w:color="auto" w:fill="EAF9E8"/>
          </w:tcPr>
          <w:p>
            <w:pPr>
              <w:spacing w:after="0"/>
              <w:rPr>
                <w:sz w:val="18"/>
                <w:szCs w:val="18"/>
                <w:color w:val="auto"/>
              </w:rPr>
            </w:pPr>
          </w:p>
        </w:tc>
        <w:tc>
          <w:tcPr>
            <w:tcW w:w="18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247,464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20"/>
              <w:spacing w:after="0"/>
              <w:rPr>
                <w:sz w:val="20"/>
                <w:szCs w:val="20"/>
                <w:color w:val="auto"/>
              </w:rPr>
            </w:pPr>
            <w:r>
              <w:rPr>
                <w:rFonts w:ascii="Arial" w:cs="Arial" w:eastAsia="Arial" w:hAnsi="Arial"/>
                <w:sz w:val="18"/>
                <w:szCs w:val="18"/>
                <w:color w:val="auto"/>
              </w:rPr>
              <w:t>Subordinates and residuals</w:t>
            </w:r>
          </w:p>
        </w:tc>
        <w:tc>
          <w:tcPr>
            <w:tcW w:w="2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Loans held for resale, at lower of cost or fair value</w:t>
            </w:r>
          </w:p>
        </w:tc>
        <w:tc>
          <w:tcPr>
            <w:tcW w:w="240" w:type="dxa"/>
            <w:vAlign w:val="bottom"/>
            <w:shd w:val="clear" w:color="auto" w:fill="EAF9E8"/>
          </w:tcPr>
          <w:p>
            <w:pPr>
              <w:spacing w:after="0"/>
              <w:rPr>
                <w:sz w:val="18"/>
                <w:szCs w:val="18"/>
                <w:color w:val="auto"/>
              </w:rPr>
            </w:pPr>
          </w:p>
        </w:tc>
        <w:tc>
          <w:tcPr>
            <w:tcW w:w="18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25,803</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Advances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184,833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145,914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Match funded advances</w:t>
            </w: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1,924,052</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822,615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Loans, net – restricted for securitization investors</w:t>
            </w:r>
          </w:p>
        </w:tc>
        <w:tc>
          <w:tcPr>
            <w:tcW w:w="2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67,340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Mortgage servicing rights, net</w:t>
            </w: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193,985</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117,802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Receivables, net</w:t>
            </w:r>
          </w:p>
        </w:tc>
        <w:tc>
          <w:tcPr>
            <w:tcW w:w="2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69,518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67,095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Deferred tax assets, net</w:t>
            </w: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138,716</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132,683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12,810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Premises and equipment, net</w:t>
            </w: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5,475</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Investments in unconsolidated entities</w:t>
            </w:r>
          </w:p>
        </w:tc>
        <w:tc>
          <w:tcPr>
            <w:tcW w:w="2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12,072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15,008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EAF9E8"/>
          </w:tcPr>
          <w:p>
            <w:pPr>
              <w:spacing w:after="0"/>
              <w:rPr>
                <w:sz w:val="19"/>
                <w:szCs w:val="19"/>
                <w:color w:val="auto"/>
              </w:rPr>
            </w:pPr>
          </w:p>
        </w:tc>
        <w:tc>
          <w:tcPr>
            <w:tcW w:w="16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158,282</w:t>
            </w:r>
          </w:p>
        </w:tc>
        <w:tc>
          <w:tcPr>
            <w:tcW w:w="24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auto"/>
            </w:tcBorders>
            <w:shd w:val="clear" w:color="auto" w:fill="EAF9E8"/>
          </w:tcPr>
          <w:p>
            <w:pPr>
              <w:spacing w:after="0"/>
              <w:rPr>
                <w:sz w:val="19"/>
                <w:szCs w:val="19"/>
                <w:color w:val="auto"/>
              </w:rPr>
            </w:pPr>
          </w:p>
        </w:tc>
        <w:tc>
          <w:tcPr>
            <w:tcW w:w="15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89,636</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2,921,409</w:t>
            </w:r>
          </w:p>
        </w:tc>
        <w:tc>
          <w:tcPr>
            <w:tcW w:w="2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1,769,350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ind w:left="160"/>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20"/>
              <w:spacing w:after="0"/>
              <w:rPr>
                <w:sz w:val="20"/>
                <w:szCs w:val="20"/>
                <w:color w:val="auto"/>
              </w:rPr>
            </w:pPr>
            <w:r>
              <w:rPr>
                <w:rFonts w:ascii="Arial" w:cs="Arial" w:eastAsia="Arial" w:hAnsi="Arial"/>
                <w:sz w:val="18"/>
                <w:szCs w:val="18"/>
                <w:color w:val="auto"/>
              </w:rPr>
              <w:t>Match funded liabilities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1,482,529</w:t>
            </w:r>
          </w:p>
        </w:tc>
        <w:tc>
          <w:tcPr>
            <w:tcW w:w="2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465,691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Secured borrowings – owed to securitization investors</w:t>
            </w:r>
          </w:p>
        </w:tc>
        <w:tc>
          <w:tcPr>
            <w:tcW w:w="240" w:type="dxa"/>
            <w:vAlign w:val="bottom"/>
            <w:shd w:val="clear" w:color="auto" w:fill="EAF9E8"/>
          </w:tcPr>
          <w:p>
            <w:pPr>
              <w:spacing w:after="0"/>
              <w:rPr>
                <w:sz w:val="18"/>
                <w:szCs w:val="18"/>
                <w:color w:val="auto"/>
              </w:rPr>
            </w:pPr>
          </w:p>
        </w:tc>
        <w:tc>
          <w:tcPr>
            <w:tcW w:w="18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62,705</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20"/>
              <w:spacing w:after="0"/>
              <w:rPr>
                <w:sz w:val="20"/>
                <w:szCs w:val="20"/>
                <w:color w:val="auto"/>
              </w:rPr>
            </w:pPr>
            <w:r>
              <w:rPr>
                <w:rFonts w:ascii="Arial" w:cs="Arial" w:eastAsia="Arial" w:hAnsi="Arial"/>
                <w:sz w:val="18"/>
                <w:szCs w:val="18"/>
                <w:color w:val="auto"/>
              </w:rPr>
              <w:t>Lines of credit and other secured borrowings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246,073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55,810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Investment line</w:t>
            </w:r>
          </w:p>
        </w:tc>
        <w:tc>
          <w:tcPr>
            <w:tcW w:w="240" w:type="dxa"/>
            <w:vAlign w:val="bottom"/>
            <w:shd w:val="clear" w:color="auto" w:fill="EAF9E8"/>
          </w:tcPr>
          <w:p>
            <w:pPr>
              <w:spacing w:after="0"/>
              <w:rPr>
                <w:sz w:val="18"/>
                <w:szCs w:val="18"/>
                <w:color w:val="auto"/>
              </w:rPr>
            </w:pPr>
          </w:p>
        </w:tc>
        <w:tc>
          <w:tcPr>
            <w:tcW w:w="18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156,968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20"/>
              <w:spacing w:after="0"/>
              <w:rPr>
                <w:sz w:val="20"/>
                <w:szCs w:val="20"/>
                <w:color w:val="auto"/>
              </w:rPr>
            </w:pPr>
            <w:r>
              <w:rPr>
                <w:rFonts w:ascii="Arial" w:cs="Arial" w:eastAsia="Arial" w:hAnsi="Arial"/>
                <w:sz w:val="18"/>
                <w:szCs w:val="18"/>
                <w:color w:val="auto"/>
              </w:rPr>
              <w:t>Servicer liabilities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2,492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38,672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Debt securities</w:t>
            </w:r>
          </w:p>
        </w:tc>
        <w:tc>
          <w:tcPr>
            <w:tcW w:w="240" w:type="dxa"/>
            <w:vAlign w:val="bottom"/>
            <w:shd w:val="clear" w:color="auto" w:fill="EAF9E8"/>
          </w:tcPr>
          <w:p>
            <w:pPr>
              <w:spacing w:after="0"/>
              <w:rPr>
                <w:sz w:val="18"/>
                <w:szCs w:val="18"/>
                <w:color w:val="auto"/>
              </w:rPr>
            </w:pPr>
          </w:p>
        </w:tc>
        <w:tc>
          <w:tcPr>
            <w:tcW w:w="18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82,554</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95,564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32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140,239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shd w:val="clear" w:color="auto" w:fill="EAF9E8"/>
          </w:tcPr>
          <w:p>
            <w:pPr>
              <w:ind w:left="48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EAF9E8"/>
          </w:tcPr>
          <w:p>
            <w:pPr>
              <w:spacing w:after="0"/>
              <w:rPr>
                <w:sz w:val="19"/>
                <w:szCs w:val="19"/>
                <w:color w:val="auto"/>
              </w:rPr>
            </w:pPr>
          </w:p>
        </w:tc>
        <w:tc>
          <w:tcPr>
            <w:tcW w:w="1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2,016,592</w:t>
            </w:r>
          </w:p>
        </w:tc>
        <w:tc>
          <w:tcPr>
            <w:tcW w:w="24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903,487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Commitments and Contingencies (Note 32)</w:t>
            </w: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Equity</w:t>
            </w: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Ocwen Financial Corporation stockholders’ equity</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0" w:type="dxa"/>
            <w:vAlign w:val="bottom"/>
            <w:shd w:val="clear" w:color="auto" w:fill="EAF9E8"/>
          </w:tcPr>
          <w:p>
            <w:pPr>
              <w:ind w:left="320"/>
              <w:spacing w:after="0" w:line="201" w:lineRule="exact"/>
              <w:rPr>
                <w:sz w:val="20"/>
                <w:szCs w:val="20"/>
                <w:color w:val="auto"/>
              </w:rPr>
            </w:pPr>
            <w:r>
              <w:rPr>
                <w:rFonts w:ascii="Arial" w:cs="Arial" w:eastAsia="Arial" w:hAnsi="Arial"/>
                <w:sz w:val="18"/>
                <w:szCs w:val="18"/>
                <w:color w:val="auto"/>
              </w:rPr>
              <w:t>Common stock, $.01 par value; 200,000,000 shares authorized; 100,726,947and</w:t>
            </w:r>
          </w:p>
        </w:tc>
        <w:tc>
          <w:tcPr>
            <w:tcW w:w="240" w:type="dxa"/>
            <w:vAlign w:val="bottom"/>
            <w:shd w:val="clear" w:color="auto" w:fill="EAF9E8"/>
          </w:tcPr>
          <w:p>
            <w:pPr>
              <w:spacing w:after="0"/>
              <w:rPr>
                <w:sz w:val="17"/>
                <w:szCs w:val="17"/>
                <w:color w:val="auto"/>
              </w:rPr>
            </w:pPr>
          </w:p>
        </w:tc>
        <w:tc>
          <w:tcPr>
            <w:tcW w:w="16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5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shd w:val="clear" w:color="auto" w:fill="EAF9E8"/>
          </w:tcPr>
          <w:p>
            <w:pPr>
              <w:ind w:left="480"/>
              <w:spacing w:after="0"/>
              <w:rPr>
                <w:sz w:val="20"/>
                <w:szCs w:val="20"/>
                <w:color w:val="auto"/>
              </w:rPr>
            </w:pPr>
            <w:r>
              <w:rPr>
                <w:rFonts w:ascii="Arial" w:cs="Arial" w:eastAsia="Arial" w:hAnsi="Arial"/>
                <w:sz w:val="18"/>
                <w:szCs w:val="18"/>
                <w:color w:val="auto"/>
                <w:w w:val="94"/>
              </w:rPr>
              <w:t>99,956,833 shares issued and outstanding at December 31, 2010 and 2009, respectively</w:t>
            </w:r>
          </w:p>
        </w:tc>
        <w:tc>
          <w:tcPr>
            <w:tcW w:w="240" w:type="dxa"/>
            <w:vAlign w:val="bottom"/>
            <w:shd w:val="clear" w:color="auto" w:fill="EAF9E8"/>
          </w:tcPr>
          <w:p>
            <w:pPr>
              <w:spacing w:after="0"/>
              <w:rPr>
                <w:sz w:val="20"/>
                <w:szCs w:val="20"/>
                <w:color w:val="auto"/>
              </w:rPr>
            </w:pPr>
          </w:p>
        </w:tc>
        <w:tc>
          <w:tcPr>
            <w:tcW w:w="1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1,007</w:t>
            </w:r>
          </w:p>
        </w:tc>
        <w:tc>
          <w:tcPr>
            <w:tcW w:w="24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467,500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459,542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EAF9E8"/>
          </w:tcPr>
          <w:p>
            <w:pPr>
              <w:spacing w:after="0"/>
              <w:rPr>
                <w:sz w:val="18"/>
                <w:szCs w:val="18"/>
                <w:color w:val="auto"/>
              </w:rPr>
            </w:pPr>
          </w:p>
        </w:tc>
        <w:tc>
          <w:tcPr>
            <w:tcW w:w="1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445,456</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405,198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320"/>
              <w:spacing w:after="0"/>
              <w:rPr>
                <w:sz w:val="20"/>
                <w:szCs w:val="20"/>
                <w:color w:val="auto"/>
              </w:rPr>
            </w:pPr>
            <w:r>
              <w:rPr>
                <w:rFonts w:ascii="Arial" w:cs="Arial" w:eastAsia="Arial" w:hAnsi="Arial"/>
                <w:sz w:val="18"/>
                <w:szCs w:val="18"/>
                <w:color w:val="auto"/>
              </w:rPr>
              <w:t>Accumulated other comprehensive loss, net of income taxes</w:t>
            </w:r>
          </w:p>
        </w:tc>
        <w:tc>
          <w:tcPr>
            <w:tcW w:w="240" w:type="dxa"/>
            <w:vAlign w:val="bottom"/>
          </w:tcPr>
          <w:p>
            <w:pPr>
              <w:spacing w:after="0"/>
              <w:rPr>
                <w:sz w:val="19"/>
                <w:szCs w:val="19"/>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(9,392)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ind w:left="480"/>
              <w:spacing w:after="0"/>
              <w:rPr>
                <w:sz w:val="20"/>
                <w:szCs w:val="20"/>
                <w:color w:val="auto"/>
              </w:rPr>
            </w:pPr>
            <w:r>
              <w:rPr>
                <w:rFonts w:ascii="Arial" w:cs="Arial" w:eastAsia="Arial" w:hAnsi="Arial"/>
                <w:sz w:val="18"/>
                <w:szCs w:val="18"/>
                <w:color w:val="auto"/>
              </w:rPr>
              <w:t>Total Ocwen Financial Corporation (OCN) stockholders’ equity</w:t>
            </w:r>
          </w:p>
        </w:tc>
        <w:tc>
          <w:tcPr>
            <w:tcW w:w="240" w:type="dxa"/>
            <w:vAlign w:val="bottom"/>
            <w:tcBorders>
              <w:top w:val="single" w:sz="8" w:color="auto"/>
            </w:tcBorders>
            <w:shd w:val="clear" w:color="auto" w:fill="EAF9E8"/>
          </w:tcPr>
          <w:p>
            <w:pPr>
              <w:spacing w:after="0"/>
              <w:rPr>
                <w:sz w:val="18"/>
                <w:szCs w:val="18"/>
                <w:color w:val="auto"/>
              </w:rPr>
            </w:pPr>
          </w:p>
        </w:tc>
        <w:tc>
          <w:tcPr>
            <w:tcW w:w="16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904,571</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15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865,611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Non-controlling interest in subsidiaries</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Borders>
              <w:bottom w:val="single" w:sz="8" w:color="EAF9E8"/>
            </w:tcBorders>
            <w:shd w:val="clear" w:color="auto" w:fill="EAF9E8"/>
          </w:tcPr>
          <w:p>
            <w:pPr>
              <w:ind w:left="32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shd w:val="clear" w:color="auto" w:fill="EAF9E8"/>
          </w:tcPr>
          <w:p>
            <w:pPr>
              <w:spacing w:after="0"/>
              <w:rPr>
                <w:sz w:val="19"/>
                <w:szCs w:val="19"/>
                <w:color w:val="auto"/>
              </w:rPr>
            </w:pPr>
          </w:p>
        </w:tc>
        <w:tc>
          <w:tcPr>
            <w:tcW w:w="16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904,817</w:t>
            </w:r>
          </w:p>
        </w:tc>
        <w:tc>
          <w:tcPr>
            <w:tcW w:w="24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auto"/>
            </w:tcBorders>
            <w:shd w:val="clear" w:color="auto" w:fill="EAF9E8"/>
          </w:tcPr>
          <w:p>
            <w:pPr>
              <w:spacing w:after="0"/>
              <w:rPr>
                <w:sz w:val="19"/>
                <w:szCs w:val="19"/>
                <w:color w:val="auto"/>
              </w:rPr>
            </w:pPr>
          </w:p>
        </w:tc>
        <w:tc>
          <w:tcPr>
            <w:tcW w:w="15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865,863</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80"/>
              <w:spacing w:after="0"/>
              <w:rPr>
                <w:sz w:val="20"/>
                <w:szCs w:val="20"/>
                <w:color w:val="auto"/>
              </w:rPr>
            </w:pPr>
            <w:r>
              <w:rPr>
                <w:rFonts w:ascii="Arial" w:cs="Arial" w:eastAsia="Arial" w:hAnsi="Arial"/>
                <w:sz w:val="18"/>
                <w:szCs w:val="18"/>
                <w:color w:val="auto"/>
              </w:rPr>
              <w:t>Total liabilities and equity</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2,921,409</w:t>
            </w:r>
          </w:p>
        </w:tc>
        <w:tc>
          <w:tcPr>
            <w:tcW w:w="2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1,769,350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5" w:name="page66"/>
    <w:bookmarkEnd w:id="65"/>
    <w:p>
      <w:pPr>
        <w:jc w:val="center"/>
        <w:ind w:left="34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8"/>
                <w:szCs w:val="18"/>
                <w:b w:val="1"/>
                <w:bCs w:val="1"/>
                <w:color w:val="auto"/>
              </w:rPr>
              <w:t>For the Years Ended 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Servicing and subservicing fees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321,699</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264,467</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368,026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Process management fees</w:t>
            </w:r>
          </w:p>
        </w:tc>
        <w:tc>
          <w:tcPr>
            <w:tcW w:w="22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33,704</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108,082</w:t>
            </w:r>
          </w:p>
        </w:tc>
        <w:tc>
          <w:tcPr>
            <w:tcW w:w="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113,244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Other revenues</w:t>
            </w:r>
          </w:p>
        </w:tc>
        <w:tc>
          <w:tcPr>
            <w:tcW w:w="2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4,978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8,179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10,858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EAF9E8"/>
          </w:tcPr>
          <w:p>
            <w:pPr>
              <w:spacing w:after="0"/>
              <w:rPr>
                <w:sz w:val="19"/>
                <w:szCs w:val="19"/>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360,381</w:t>
            </w:r>
          </w:p>
        </w:tc>
        <w:tc>
          <w:tcPr>
            <w:tcW w:w="2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380,728</w:t>
            </w:r>
          </w:p>
        </w:tc>
        <w:tc>
          <w:tcPr>
            <w:tcW w:w="18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492,128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Compensation and benefits</w:t>
            </w:r>
          </w:p>
        </w:tc>
        <w:tc>
          <w:tcPr>
            <w:tcW w:w="2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87,644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87,620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125,549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Amortization of servicing rights</w:t>
            </w:r>
          </w:p>
        </w:tc>
        <w:tc>
          <w:tcPr>
            <w:tcW w:w="22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31,455</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32,228</w:t>
            </w:r>
          </w:p>
        </w:tc>
        <w:tc>
          <w:tcPr>
            <w:tcW w:w="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52,461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Servicing and origination</w:t>
            </w:r>
          </w:p>
        </w:tc>
        <w:tc>
          <w:tcPr>
            <w:tcW w:w="2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6,851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38,653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Technology and communications</w:t>
            </w:r>
          </w:p>
        </w:tc>
        <w:tc>
          <w:tcPr>
            <w:tcW w:w="22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25,644</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20,066</w:t>
            </w:r>
          </w:p>
        </w:tc>
        <w:tc>
          <w:tcPr>
            <w:tcW w:w="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Professional services</w:t>
            </w:r>
          </w:p>
        </w:tc>
        <w:tc>
          <w:tcPr>
            <w:tcW w:w="2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42,837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26,200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Occupancy and equipment</w:t>
            </w:r>
          </w:p>
        </w:tc>
        <w:tc>
          <w:tcPr>
            <w:tcW w:w="22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32,924</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18,985</w:t>
            </w:r>
          </w:p>
        </w:tc>
        <w:tc>
          <w:tcPr>
            <w:tcW w:w="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Other operating expenses</w:t>
            </w:r>
          </w:p>
        </w:tc>
        <w:tc>
          <w:tcPr>
            <w:tcW w:w="2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9,119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11,902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12,474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EAF9E8"/>
          </w:tcPr>
          <w:p>
            <w:pPr>
              <w:spacing w:after="0"/>
              <w:rPr>
                <w:sz w:val="19"/>
                <w:szCs w:val="19"/>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236,474</w:t>
            </w:r>
          </w:p>
        </w:tc>
        <w:tc>
          <w:tcPr>
            <w:tcW w:w="2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235,654</w:t>
            </w:r>
          </w:p>
        </w:tc>
        <w:tc>
          <w:tcPr>
            <w:tcW w:w="18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323,355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shd w:val="clear" w:color="auto" w:fill="EAF9E8"/>
          </w:tcPr>
          <w:p>
            <w:pPr>
              <w:spacing w:after="0"/>
              <w:rPr>
                <w:sz w:val="19"/>
                <w:szCs w:val="19"/>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123,907</w:t>
            </w:r>
          </w:p>
        </w:tc>
        <w:tc>
          <w:tcPr>
            <w:tcW w:w="2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145,074</w:t>
            </w:r>
          </w:p>
        </w:tc>
        <w:tc>
          <w:tcPr>
            <w:tcW w:w="18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168,773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10,859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8,786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(85,923)</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(62,954)</w:t>
            </w:r>
          </w:p>
        </w:tc>
        <w:tc>
          <w:tcPr>
            <w:tcW w:w="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(86,574)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Gain (loss) on trading securities</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(7,968)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11,187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(35,480)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Loss on loans held for resale, net</w:t>
            </w:r>
          </w:p>
        </w:tc>
        <w:tc>
          <w:tcPr>
            <w:tcW w:w="22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(5,865)</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(11,132)</w:t>
            </w:r>
          </w:p>
        </w:tc>
        <w:tc>
          <w:tcPr>
            <w:tcW w:w="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(17,096)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Equity in earnings (losses) of unconsolidated entities</w:t>
            </w:r>
          </w:p>
        </w:tc>
        <w:tc>
          <w:tcPr>
            <w:tcW w:w="2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1,371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(2,933)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2,773</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5,233</w:t>
            </w:r>
          </w:p>
        </w:tc>
        <w:tc>
          <w:tcPr>
            <w:tcW w:w="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320"/>
              <w:spacing w:after="0"/>
              <w:rPr>
                <w:sz w:val="20"/>
                <w:szCs w:val="20"/>
                <w:color w:val="auto"/>
              </w:rPr>
            </w:pPr>
            <w:r>
              <w:rPr>
                <w:rFonts w:ascii="Arial" w:cs="Arial" w:eastAsia="Arial" w:hAnsi="Arial"/>
                <w:sz w:val="18"/>
                <w:szCs w:val="18"/>
                <w:color w:val="auto"/>
              </w:rPr>
              <w:t>Other expense, net</w:t>
            </w: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(84,753)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(51,813)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(137,791)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1040" w:type="dxa"/>
            <w:vAlign w:val="bottom"/>
            <w:tcBorders>
              <w:top w:val="single" w:sz="8" w:color="auto"/>
            </w:tcBorders>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4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39,154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93,261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5,545</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96,110</w:t>
            </w:r>
          </w:p>
        </w:tc>
        <w:tc>
          <w:tcPr>
            <w:tcW w:w="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12,006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b w:val="1"/>
                <w:bCs w:val="1"/>
                <w:color w:val="auto"/>
              </w:rPr>
              <w:t>Income (loss) from continuing operations</w:t>
            </w:r>
          </w:p>
        </w:tc>
        <w:tc>
          <w:tcPr>
            <w:tcW w:w="2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33,609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(2,849)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Income (loss) from discontinued operations, net of income taxes</w:t>
            </w:r>
          </w:p>
        </w:tc>
        <w:tc>
          <w:tcPr>
            <w:tcW w:w="22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4,383</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3,121</w:t>
            </w:r>
          </w:p>
        </w:tc>
        <w:tc>
          <w:tcPr>
            <w:tcW w:w="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(5,767)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37,992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272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Net loss (income) attributable to non-controlling interests</w:t>
            </w:r>
          </w:p>
        </w:tc>
        <w:tc>
          <w:tcPr>
            <w:tcW w:w="22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b w:val="1"/>
                <w:bCs w:val="1"/>
                <w:color w:val="auto"/>
              </w:rPr>
              <w:t>Net income attributable to OCN</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37,984</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297</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13,250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Basic earnings per share</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shd w:val="clear" w:color="auto" w:fill="EAF9E8"/>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0.34</w:t>
            </w:r>
          </w:p>
        </w:tc>
        <w:tc>
          <w:tcPr>
            <w:tcW w:w="4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(0.04)</w:t>
            </w:r>
          </w:p>
        </w:tc>
        <w:tc>
          <w:tcPr>
            <w:tcW w:w="5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0.04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 attributable to OCN</w:t>
            </w:r>
          </w:p>
        </w:tc>
        <w:tc>
          <w:tcPr>
            <w:tcW w:w="220" w:type="dxa"/>
            <w:vAlign w:val="bottom"/>
            <w:shd w:val="clear" w:color="auto" w:fill="EAF9E8"/>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0.38</w:t>
            </w:r>
          </w:p>
        </w:tc>
        <w:tc>
          <w:tcPr>
            <w:tcW w:w="4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Diluted earnings per share</w:t>
            </w: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0.32</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(0.04)</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0.04</w:t>
            </w:r>
          </w:p>
        </w:tc>
        <w:tc>
          <w:tcPr>
            <w:tcW w:w="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Net income attributable to OCN</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0.36</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100,273,121</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78,252,000</w:t>
            </w:r>
          </w:p>
        </w:tc>
        <w:tc>
          <w:tcPr>
            <w:tcW w:w="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99"/>
              </w:rPr>
              <w:t>62,670,957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107,483,015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78,252,000</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62,935,314</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6" w:name="page67"/>
    <w:bookmarkEnd w:id="66"/>
    <w:p>
      <w:pPr>
        <w:jc w:val="center"/>
        <w:ind w:left="34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8"/>
                <w:szCs w:val="18"/>
                <w:b w:val="1"/>
                <w:bCs w:val="1"/>
                <w:color w:val="auto"/>
              </w:rPr>
              <w:t>For the Years Ended December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EAF9E8"/>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37,992</w:t>
            </w:r>
          </w:p>
        </w:tc>
        <w:tc>
          <w:tcPr>
            <w:tcW w:w="4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272</w:t>
            </w:r>
          </w:p>
        </w:tc>
        <w:tc>
          <w:tcPr>
            <w:tcW w:w="5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13,209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Other comprehensive income (loss), net of income taxes:</w:t>
            </w: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Unrealized foreign currency translation gain (loss) arising during the year (1)</w:t>
            </w: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(58)</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(254)</w:t>
            </w: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tcPr>
          <w:p>
            <w:pPr>
              <w:ind w:left="160"/>
              <w:spacing w:after="0" w:line="201" w:lineRule="exact"/>
              <w:rPr>
                <w:sz w:val="20"/>
                <w:szCs w:val="20"/>
                <w:color w:val="auto"/>
              </w:rPr>
            </w:pPr>
            <w:r>
              <w:rPr>
                <w:rFonts w:ascii="Arial" w:cs="Arial" w:eastAsia="Arial" w:hAnsi="Arial"/>
                <w:sz w:val="18"/>
                <w:szCs w:val="18"/>
                <w:color w:val="auto"/>
              </w:rPr>
              <w:t>Reclassification adjustment for foreign currency translation loss included in net</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320"/>
              <w:spacing w:after="0"/>
              <w:rPr>
                <w:sz w:val="20"/>
                <w:szCs w:val="20"/>
                <w:color w:val="auto"/>
              </w:rPr>
            </w:pPr>
            <w:r>
              <w:rPr>
                <w:rFonts w:ascii="Arial" w:cs="Arial" w:eastAsia="Arial" w:hAnsi="Arial"/>
                <w:sz w:val="18"/>
                <w:szCs w:val="18"/>
                <w:color w:val="auto"/>
              </w:rPr>
              <w:t>income (2)</w:t>
            </w:r>
          </w:p>
        </w:tc>
        <w:tc>
          <w:tcPr>
            <w:tcW w:w="28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(1,751)</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Net change in unrealized foreign currency translation gain (loss)</w:t>
            </w:r>
          </w:p>
        </w:tc>
        <w:tc>
          <w:tcPr>
            <w:tcW w:w="28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(58)</w:t>
            </w:r>
          </w:p>
        </w:tc>
        <w:tc>
          <w:tcPr>
            <w:tcW w:w="2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(2,005)</w:t>
            </w:r>
          </w:p>
        </w:tc>
        <w:tc>
          <w:tcPr>
            <w:tcW w:w="18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Change in deferred gain (loss) on cash flow hedges arising during the year (3)</w:t>
            </w: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(9,335)</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tcPr>
          <w:p>
            <w:pPr>
              <w:ind w:left="160"/>
              <w:spacing w:after="0" w:line="201" w:lineRule="exact"/>
              <w:rPr>
                <w:sz w:val="20"/>
                <w:szCs w:val="20"/>
                <w:color w:val="auto"/>
              </w:rPr>
            </w:pPr>
            <w:r>
              <w:rPr>
                <w:rFonts w:ascii="Arial" w:cs="Arial" w:eastAsia="Arial" w:hAnsi="Arial"/>
                <w:sz w:val="18"/>
                <w:szCs w:val="18"/>
                <w:color w:val="auto"/>
                <w:w w:val="96"/>
              </w:rPr>
              <w:t>Reclassification adjustment for losses on cash flow hedges arising during the period</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40" w:type="dxa"/>
            <w:vAlign w:val="bottom"/>
            <w:gridSpan w:val="2"/>
          </w:tcPr>
          <w:p>
            <w:pPr>
              <w:ind w:left="34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Net change in deferred loss on cash flow hedges</w:t>
            </w:r>
          </w:p>
        </w:tc>
        <w:tc>
          <w:tcPr>
            <w:tcW w:w="28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(9,239)</w:t>
            </w:r>
          </w:p>
        </w:tc>
        <w:tc>
          <w:tcPr>
            <w:tcW w:w="2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(9,277)</w:t>
            </w:r>
          </w:p>
        </w:tc>
        <w:tc>
          <w:tcPr>
            <w:tcW w:w="2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(2,005)</w:t>
            </w:r>
          </w:p>
        </w:tc>
        <w:tc>
          <w:tcPr>
            <w:tcW w:w="18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Comprehensive income (loss)</w:t>
            </w: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28,715</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(1,733)</w:t>
            </w: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13,793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Comprehensive loss attributable to non-controlling interests</w:t>
            </w:r>
          </w:p>
        </w:tc>
        <w:tc>
          <w:tcPr>
            <w:tcW w:w="28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6</w:t>
            </w:r>
          </w:p>
        </w:tc>
        <w:tc>
          <w:tcPr>
            <w:tcW w:w="2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Comprehensive income (loss) attributable to OCN</w:t>
            </w:r>
          </w:p>
        </w:tc>
        <w:tc>
          <w:tcPr>
            <w:tcW w:w="280" w:type="dxa"/>
            <w:vAlign w:val="bottom"/>
            <w:shd w:val="clear" w:color="auto" w:fill="EAF9E8"/>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28,721</w:t>
            </w:r>
          </w:p>
        </w:tc>
        <w:tc>
          <w:tcPr>
            <w:tcW w:w="4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(1,579)</w:t>
            </w:r>
          </w:p>
        </w:tc>
        <w:tc>
          <w:tcPr>
            <w:tcW w:w="5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13,866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Net of tax benefit (expense) of $26, $148 and $(254) for 2010, 2009 and 2008, respectively.</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Net of tax benefit of $1,029 for 2009.</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Net of tax benefit (expense) of $5,251 and $(89) for 2010 and 2008, respectively.</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Net of tax benefit of $12 for 2010.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7" w:name="page68"/>
    <w:bookmarkEnd w:id="67"/>
    <w:p>
      <w:pPr>
        <w:jc w:val="center"/>
        <w:ind w:left="34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FOR THE YEARS ENDED DECEMBER 31, 2010, 2009 and 2008</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(Dollars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w w:val="93"/>
              </w:rPr>
              <w:t>OCN Shareholders</w:t>
            </w: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94"/>
              </w:rPr>
              <w:t>Accumulated Other</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Non-controlling</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360" w:type="dxa"/>
            <w:vAlign w:val="bottom"/>
            <w:gridSpan w:val="5"/>
            <w:vMerge w:val="restart"/>
          </w:tcPr>
          <w:p>
            <w:pPr>
              <w:jc w:val="right"/>
              <w:ind w:right="8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36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Income (Loss),</w:t>
            </w:r>
          </w:p>
        </w:tc>
        <w:tc>
          <w:tcPr>
            <w:tcW w:w="8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Interest in</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ind w:right="188"/>
              <w:spacing w:after="0" w:line="149" w:lineRule="exact"/>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48"/>
              <w:spacing w:after="0" w:line="149"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28"/>
              <w:spacing w:after="0" w:line="149"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48"/>
              <w:spacing w:after="0" w:line="149" w:lineRule="exact"/>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Net of Taxes</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8"/>
              <w:spacing w:after="0" w:line="14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EAF9E8"/>
          </w:tcPr>
          <w:p>
            <w:pPr>
              <w:spacing w:after="0" w:line="149" w:lineRule="exact"/>
              <w:rPr>
                <w:sz w:val="20"/>
                <w:szCs w:val="20"/>
                <w:color w:val="auto"/>
              </w:rPr>
            </w:pPr>
            <w:r>
              <w:rPr>
                <w:rFonts w:ascii="Arial" w:cs="Arial" w:eastAsia="Arial" w:hAnsi="Arial"/>
                <w:sz w:val="14"/>
                <w:szCs w:val="14"/>
                <w:b w:val="1"/>
                <w:bCs w:val="1"/>
                <w:color w:val="auto"/>
              </w:rPr>
              <w:t>Balance at December 31, 2007</w:t>
            </w:r>
          </w:p>
        </w:tc>
        <w:tc>
          <w:tcPr>
            <w:tcW w:w="9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62,527,360</w:t>
            </w:r>
          </w:p>
        </w:tc>
        <w:tc>
          <w:tcPr>
            <w:tcW w:w="240" w:type="dxa"/>
            <w:vAlign w:val="bottom"/>
            <w:shd w:val="clear" w:color="auto" w:fill="EAF9E8"/>
          </w:tcPr>
          <w:p>
            <w:pPr>
              <w:spacing w:after="0"/>
              <w:rPr>
                <w:sz w:val="12"/>
                <w:szCs w:val="12"/>
                <w:color w:val="auto"/>
              </w:rPr>
            </w:pPr>
          </w:p>
        </w:tc>
        <w:tc>
          <w:tcPr>
            <w:tcW w:w="1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625</w:t>
            </w:r>
          </w:p>
        </w:tc>
        <w:tc>
          <w:tcPr>
            <w:tcW w:w="240" w:type="dxa"/>
            <w:vAlign w:val="bottom"/>
            <w:shd w:val="clear" w:color="auto" w:fill="EAF9E8"/>
          </w:tcPr>
          <w:p>
            <w:pPr>
              <w:spacing w:after="0"/>
              <w:rPr>
                <w:sz w:val="12"/>
                <w:szCs w:val="12"/>
                <w:color w:val="auto"/>
              </w:rPr>
            </w:pPr>
          </w:p>
        </w:tc>
        <w:tc>
          <w:tcPr>
            <w:tcW w:w="1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196,974</w:t>
            </w:r>
          </w:p>
        </w:tc>
        <w:tc>
          <w:tcPr>
            <w:tcW w:w="240" w:type="dxa"/>
            <w:vAlign w:val="bottom"/>
            <w:gridSpan w:val="2"/>
            <w:shd w:val="clear" w:color="auto" w:fill="EAF9E8"/>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391,651</w:t>
            </w:r>
          </w:p>
        </w:tc>
        <w:tc>
          <w:tcPr>
            <w:tcW w:w="1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1,292</w:t>
            </w: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1,979</w:t>
            </w:r>
          </w:p>
        </w:tc>
        <w:tc>
          <w:tcPr>
            <w:tcW w:w="28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592,521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13,250</w:t>
            </w:r>
          </w:p>
        </w:tc>
        <w:tc>
          <w:tcPr>
            <w:tcW w:w="10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13,209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Repurchase of Convertible Notes</w:t>
            </w:r>
          </w:p>
        </w:tc>
        <w:tc>
          <w:tcPr>
            <w:tcW w:w="118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1,726</w:t>
            </w:r>
          </w:p>
        </w:tc>
        <w:tc>
          <w:tcPr>
            <w:tcW w:w="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36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118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82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1,726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tcPr>
          <w:p>
            <w:pPr>
              <w:spacing w:after="0" w:line="130" w:lineRule="exact"/>
              <w:rPr>
                <w:sz w:val="20"/>
                <w:szCs w:val="20"/>
                <w:color w:val="auto"/>
              </w:rPr>
            </w:pPr>
            <w:r>
              <w:rPr>
                <w:rFonts w:ascii="Arial" w:cs="Arial" w:eastAsia="Arial" w:hAnsi="Arial"/>
                <w:sz w:val="14"/>
                <w:szCs w:val="14"/>
                <w:color w:val="auto"/>
              </w:rPr>
              <w:t>Issuance of common stock awards to</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tcPr>
          <w:p>
            <w:pPr>
              <w:ind w:left="160"/>
              <w:spacing w:after="0"/>
              <w:rPr>
                <w:sz w:val="20"/>
                <w:szCs w:val="20"/>
                <w:color w:val="auto"/>
              </w:rPr>
            </w:pPr>
            <w:r>
              <w:rPr>
                <w:rFonts w:ascii="Arial" w:cs="Arial" w:eastAsia="Arial" w:hAnsi="Arial"/>
                <w:sz w:val="14"/>
                <w:szCs w:val="14"/>
                <w:color w:val="auto"/>
              </w:rPr>
              <w:t>employees</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169,632</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(137)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Exercise of common stock options</w:t>
            </w:r>
          </w:p>
        </w:tc>
        <w:tc>
          <w:tcPr>
            <w:tcW w:w="118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3,008</w:t>
            </w:r>
          </w:p>
        </w:tc>
        <w:tc>
          <w:tcPr>
            <w:tcW w:w="14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8</w:t>
            </w: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36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118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82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line="149" w:lineRule="exact"/>
              <w:rPr>
                <w:sz w:val="20"/>
                <w:szCs w:val="20"/>
                <w:color w:val="auto"/>
              </w:rPr>
            </w:pPr>
            <w:r>
              <w:rPr>
                <w:rFonts w:ascii="Arial" w:cs="Arial" w:eastAsia="Arial" w:hAnsi="Arial"/>
                <w:sz w:val="14"/>
                <w:szCs w:val="14"/>
                <w:color w:val="auto"/>
              </w:rPr>
              <w:t>Expiration of common stock options (1)</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1,060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Equity-based compensation</w:t>
            </w:r>
          </w:p>
        </w:tc>
        <w:tc>
          <w:tcPr>
            <w:tcW w:w="118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16,530</w:t>
            </w:r>
          </w:p>
        </w:tc>
        <w:tc>
          <w:tcPr>
            <w:tcW w:w="14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2,200</w:t>
            </w:r>
          </w:p>
        </w:tc>
        <w:tc>
          <w:tcPr>
            <w:tcW w:w="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36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118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82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2,200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tcPr>
          <w:p>
            <w:pPr>
              <w:spacing w:after="0" w:line="130" w:lineRule="exact"/>
              <w:rPr>
                <w:sz w:val="20"/>
                <w:szCs w:val="20"/>
                <w:color w:val="auto"/>
              </w:rPr>
            </w:pPr>
            <w:r>
              <w:rPr>
                <w:rFonts w:ascii="Arial" w:cs="Arial" w:eastAsia="Arial" w:hAnsi="Arial"/>
                <w:sz w:val="14"/>
                <w:szCs w:val="14"/>
                <w:color w:val="auto"/>
              </w:rPr>
              <w:t>Distribution to noncontrolling interest</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tcPr>
          <w:p>
            <w:pPr>
              <w:ind w:left="160"/>
              <w:spacing w:after="0"/>
              <w:rPr>
                <w:sz w:val="20"/>
                <w:szCs w:val="20"/>
                <w:color w:val="auto"/>
              </w:rPr>
            </w:pPr>
            <w:r>
              <w:rPr>
                <w:rFonts w:ascii="Arial" w:cs="Arial" w:eastAsia="Arial" w:hAnsi="Arial"/>
                <w:sz w:val="14"/>
                <w:szCs w:val="14"/>
                <w:color w:val="auto"/>
              </w:rPr>
              <w:t>holder</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(1,500)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rPr>
              <w:t>Other comprehensive income (loss), net of</w:t>
            </w:r>
          </w:p>
        </w:tc>
        <w:tc>
          <w:tcPr>
            <w:tcW w:w="94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94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86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14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06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EAF9E8"/>
          </w:tcPr>
          <w:p>
            <w:pPr>
              <w:ind w:left="160"/>
              <w:spacing w:after="0"/>
              <w:rPr>
                <w:sz w:val="20"/>
                <w:szCs w:val="20"/>
                <w:color w:val="auto"/>
              </w:rPr>
            </w:pPr>
            <w:r>
              <w:rPr>
                <w:rFonts w:ascii="Arial" w:cs="Arial" w:eastAsia="Arial" w:hAnsi="Arial"/>
                <w:sz w:val="14"/>
                <w:szCs w:val="14"/>
                <w:color w:val="auto"/>
              </w:rPr>
              <w:t>income taxes</w:t>
            </w:r>
          </w:p>
        </w:tc>
        <w:tc>
          <w:tcPr>
            <w:tcW w:w="1180" w:type="dxa"/>
            <w:vAlign w:val="bottom"/>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4"/>
                <w:szCs w:val="14"/>
                <w:color w:val="auto"/>
              </w:rPr>
            </w:pPr>
          </w:p>
        </w:tc>
        <w:tc>
          <w:tcPr>
            <w:tcW w:w="1040" w:type="dxa"/>
            <w:vAlign w:val="bottom"/>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4"/>
                <w:szCs w:val="14"/>
                <w:color w:val="auto"/>
              </w:rPr>
            </w:pPr>
          </w:p>
        </w:tc>
        <w:tc>
          <w:tcPr>
            <w:tcW w:w="10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4"/>
                <w:szCs w:val="14"/>
                <w:color w:val="auto"/>
              </w:rPr>
            </w:pPr>
          </w:p>
        </w:tc>
        <w:tc>
          <w:tcPr>
            <w:tcW w:w="160" w:type="dxa"/>
            <w:vAlign w:val="bottom"/>
            <w:shd w:val="clear" w:color="auto" w:fill="EAF9E8"/>
          </w:tcPr>
          <w:p>
            <w:pPr>
              <w:spacing w:after="0"/>
              <w:rPr>
                <w:sz w:val="14"/>
                <w:szCs w:val="14"/>
                <w:color w:val="auto"/>
              </w:rPr>
            </w:pPr>
          </w:p>
        </w:tc>
        <w:tc>
          <w:tcPr>
            <w:tcW w:w="10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4"/>
                <w:szCs w:val="14"/>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584</w:t>
            </w:r>
          </w:p>
        </w:tc>
        <w:tc>
          <w:tcPr>
            <w:tcW w:w="220" w:type="dxa"/>
            <w:vAlign w:val="bottom"/>
            <w:shd w:val="clear" w:color="auto" w:fill="EAF9E8"/>
          </w:tcPr>
          <w:p>
            <w:pPr>
              <w:spacing w:after="0"/>
              <w:rPr>
                <w:sz w:val="14"/>
                <w:szCs w:val="14"/>
                <w:color w:val="auto"/>
              </w:rPr>
            </w:pPr>
          </w:p>
        </w:tc>
        <w:tc>
          <w:tcPr>
            <w:tcW w:w="80" w:type="dxa"/>
            <w:vAlign w:val="bottom"/>
            <w:shd w:val="clear" w:color="auto" w:fill="EAF9E8"/>
          </w:tcPr>
          <w:p>
            <w:pPr>
              <w:spacing w:after="0"/>
              <w:rPr>
                <w:sz w:val="14"/>
                <w:szCs w:val="14"/>
                <w:color w:val="auto"/>
              </w:rPr>
            </w:pPr>
          </w:p>
        </w:tc>
        <w:tc>
          <w:tcPr>
            <w:tcW w:w="118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(32)</w:t>
            </w:r>
          </w:p>
        </w:tc>
        <w:tc>
          <w:tcPr>
            <w:tcW w:w="80" w:type="dxa"/>
            <w:vAlign w:val="bottom"/>
            <w:shd w:val="clear" w:color="auto" w:fill="EAF9E8"/>
          </w:tcPr>
          <w:p>
            <w:pPr>
              <w:spacing w:after="0"/>
              <w:rPr>
                <w:sz w:val="14"/>
                <w:szCs w:val="14"/>
                <w:color w:val="auto"/>
              </w:rPr>
            </w:pPr>
          </w:p>
        </w:tc>
        <w:tc>
          <w:tcPr>
            <w:tcW w:w="200" w:type="dxa"/>
            <w:vAlign w:val="bottom"/>
            <w:shd w:val="clear" w:color="auto" w:fill="EAF9E8"/>
          </w:tcPr>
          <w:p>
            <w:pPr>
              <w:spacing w:after="0"/>
              <w:rPr>
                <w:sz w:val="14"/>
                <w:szCs w:val="14"/>
                <w:color w:val="auto"/>
              </w:rPr>
            </w:pPr>
          </w:p>
        </w:tc>
        <w:tc>
          <w:tcPr>
            <w:tcW w:w="82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20" w:type="dxa"/>
            <w:vAlign w:val="bottom"/>
            <w:shd w:val="clear" w:color="auto" w:fill="EAF9E8"/>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80" w:type="dxa"/>
            <w:vAlign w:val="bottom"/>
            <w:shd w:val="clear" w:color="auto" w:fill="EAF9E8"/>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8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20" w:type="dxa"/>
            <w:vAlign w:val="bottom"/>
          </w:tcPr>
          <w:p>
            <w:pPr>
              <w:spacing w:after="0" w:line="149" w:lineRule="exact"/>
              <w:rPr>
                <w:sz w:val="20"/>
                <w:szCs w:val="20"/>
                <w:color w:val="auto"/>
              </w:rPr>
            </w:pPr>
            <w:r>
              <w:rPr>
                <w:rFonts w:ascii="Arial" w:cs="Arial" w:eastAsia="Arial" w:hAnsi="Arial"/>
                <w:sz w:val="14"/>
                <w:szCs w:val="14"/>
                <w:b w:val="1"/>
                <w:bCs w:val="1"/>
                <w:color w:val="auto"/>
              </w:rPr>
              <w:t>Balance at December 31, 2008</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62,716,530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627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201,831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404,901</w:t>
            </w:r>
          </w:p>
        </w:tc>
        <w:tc>
          <w:tcPr>
            <w:tcW w:w="10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1,876</w:t>
            </w:r>
          </w:p>
        </w:tc>
        <w:tc>
          <w:tcPr>
            <w:tcW w:w="8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609,641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Net income (loss)</w:t>
            </w:r>
          </w:p>
        </w:tc>
        <w:tc>
          <w:tcPr>
            <w:tcW w:w="118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297</w:t>
            </w:r>
          </w:p>
        </w:tc>
        <w:tc>
          <w:tcPr>
            <w:tcW w:w="100" w:type="dxa"/>
            <w:vAlign w:val="bottom"/>
            <w:shd w:val="clear" w:color="auto" w:fill="EAF9E8"/>
          </w:tcPr>
          <w:p>
            <w:pPr>
              <w:spacing w:after="0"/>
              <w:rPr>
                <w:sz w:val="12"/>
                <w:szCs w:val="12"/>
                <w:color w:val="auto"/>
              </w:rPr>
            </w:pPr>
          </w:p>
        </w:tc>
        <w:tc>
          <w:tcPr>
            <w:tcW w:w="136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118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(25)</w:t>
            </w:r>
          </w:p>
        </w:tc>
        <w:tc>
          <w:tcPr>
            <w:tcW w:w="8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82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tcPr>
          <w:p>
            <w:pPr>
              <w:spacing w:after="0" w:line="130" w:lineRule="exact"/>
              <w:rPr>
                <w:sz w:val="20"/>
                <w:szCs w:val="20"/>
                <w:color w:val="auto"/>
              </w:rPr>
            </w:pPr>
            <w:r>
              <w:rPr>
                <w:rFonts w:ascii="Arial" w:cs="Arial" w:eastAsia="Arial" w:hAnsi="Arial"/>
                <w:sz w:val="14"/>
                <w:szCs w:val="14"/>
                <w:color w:val="auto"/>
              </w:rPr>
              <w:t>Net assets distributed in connection with</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ind w:left="160"/>
              <w:spacing w:after="0" w:line="149" w:lineRule="exact"/>
              <w:rPr>
                <w:sz w:val="20"/>
                <w:szCs w:val="20"/>
                <w:color w:val="auto"/>
              </w:rPr>
            </w:pPr>
            <w:r>
              <w:rPr>
                <w:rFonts w:ascii="Arial" w:cs="Arial" w:eastAsia="Arial" w:hAnsi="Arial"/>
                <w:sz w:val="14"/>
                <w:szCs w:val="14"/>
                <w:color w:val="auto"/>
              </w:rPr>
              <w:t>the spin-off of Altisource Portfolio</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ind w:left="160"/>
              <w:spacing w:after="0" w:line="149" w:lineRule="exact"/>
              <w:rPr>
                <w:sz w:val="20"/>
                <w:szCs w:val="20"/>
                <w:color w:val="auto"/>
              </w:rPr>
            </w:pPr>
            <w:r>
              <w:rPr>
                <w:rFonts w:ascii="Arial" w:cs="Arial" w:eastAsia="Arial" w:hAnsi="Arial"/>
                <w:sz w:val="14"/>
                <w:szCs w:val="14"/>
                <w:color w:val="auto"/>
              </w:rPr>
              <w:t>Solutions S.A. (formerly Ocwen</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tcPr>
          <w:p>
            <w:pPr>
              <w:ind w:left="160"/>
              <w:spacing w:after="0"/>
              <w:rPr>
                <w:sz w:val="20"/>
                <w:szCs w:val="20"/>
                <w:color w:val="auto"/>
              </w:rPr>
            </w:pPr>
            <w:r>
              <w:rPr>
                <w:rFonts w:ascii="Arial" w:cs="Arial" w:eastAsia="Arial" w:hAnsi="Arial"/>
                <w:sz w:val="14"/>
                <w:szCs w:val="14"/>
                <w:color w:val="auto"/>
              </w:rPr>
              <w:t>Solutions)</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(72,146)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(72,146)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Issuance of common stock</w:t>
            </w:r>
          </w:p>
        </w:tc>
        <w:tc>
          <w:tcPr>
            <w:tcW w:w="9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37,671,500</w:t>
            </w:r>
          </w:p>
        </w:tc>
        <w:tc>
          <w:tcPr>
            <w:tcW w:w="24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377</w:t>
            </w:r>
          </w:p>
        </w:tc>
        <w:tc>
          <w:tcPr>
            <w:tcW w:w="2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334,752</w:t>
            </w:r>
          </w:p>
        </w:tc>
        <w:tc>
          <w:tcPr>
            <w:tcW w:w="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36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118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82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335,129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line="149" w:lineRule="exact"/>
              <w:rPr>
                <w:sz w:val="20"/>
                <w:szCs w:val="20"/>
                <w:color w:val="auto"/>
              </w:rPr>
            </w:pPr>
            <w:r>
              <w:rPr>
                <w:rFonts w:ascii="Arial" w:cs="Arial" w:eastAsia="Arial" w:hAnsi="Arial"/>
                <w:sz w:val="14"/>
                <w:szCs w:val="14"/>
                <w:color w:val="auto"/>
              </w:rPr>
              <w:t>Repurchase of common stock</w:t>
            </w: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(1,000,000)</w:t>
            </w:r>
          </w:p>
        </w:tc>
        <w:tc>
          <w:tcPr>
            <w:tcW w:w="14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(10,990)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Repurchase of 3.25% Convertible Notes</w:t>
            </w:r>
          </w:p>
        </w:tc>
        <w:tc>
          <w:tcPr>
            <w:tcW w:w="118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36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118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820" w:type="dxa"/>
            <w:vAlign w:val="bottom"/>
            <w:gridSpan w:val="2"/>
            <w:shd w:val="clear" w:color="auto" w:fill="EAF9E8"/>
          </w:tcPr>
          <w:p>
            <w:pPr>
              <w:jc w:val="right"/>
              <w:ind w:right="6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tcPr>
          <w:p>
            <w:pPr>
              <w:spacing w:after="0" w:line="130" w:lineRule="exact"/>
              <w:rPr>
                <w:sz w:val="20"/>
                <w:szCs w:val="20"/>
                <w:color w:val="auto"/>
              </w:rPr>
            </w:pPr>
            <w:r>
              <w:rPr>
                <w:rFonts w:ascii="Arial" w:cs="Arial" w:eastAsia="Arial" w:hAnsi="Arial"/>
                <w:sz w:val="14"/>
                <w:szCs w:val="14"/>
                <w:color w:val="auto"/>
              </w:rPr>
              <w:t>Issuance of common stock awards to</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tcPr>
          <w:p>
            <w:pPr>
              <w:ind w:left="160"/>
              <w:spacing w:after="0"/>
              <w:rPr>
                <w:sz w:val="20"/>
                <w:szCs w:val="20"/>
                <w:color w:val="auto"/>
              </w:rPr>
            </w:pPr>
            <w:r>
              <w:rPr>
                <w:rFonts w:ascii="Arial" w:cs="Arial" w:eastAsia="Arial" w:hAnsi="Arial"/>
                <w:sz w:val="14"/>
                <w:szCs w:val="14"/>
                <w:color w:val="auto"/>
              </w:rPr>
              <w:t>employees</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29,907</w:t>
            </w:r>
          </w:p>
        </w:tc>
        <w:tc>
          <w:tcPr>
            <w:tcW w:w="14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(138)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Exercise of common stock options</w:t>
            </w:r>
          </w:p>
        </w:tc>
        <w:tc>
          <w:tcPr>
            <w:tcW w:w="118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526,749</w:t>
            </w:r>
          </w:p>
        </w:tc>
        <w:tc>
          <w:tcPr>
            <w:tcW w:w="140" w:type="dxa"/>
            <w:vAlign w:val="bottom"/>
            <w:shd w:val="clear" w:color="auto" w:fill="EAF9E8"/>
          </w:tcPr>
          <w:p>
            <w:pPr>
              <w:spacing w:after="0"/>
              <w:rPr>
                <w:sz w:val="12"/>
                <w:szCs w:val="12"/>
                <w:color w:val="auto"/>
              </w:rPr>
            </w:pPr>
          </w:p>
        </w:tc>
        <w:tc>
          <w:tcPr>
            <w:tcW w:w="8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6</w:t>
            </w:r>
          </w:p>
        </w:tc>
        <w:tc>
          <w:tcPr>
            <w:tcW w:w="2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3,740</w:t>
            </w:r>
          </w:p>
        </w:tc>
        <w:tc>
          <w:tcPr>
            <w:tcW w:w="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36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118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82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3,746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line="149" w:lineRule="exact"/>
              <w:rPr>
                <w:sz w:val="20"/>
                <w:szCs w:val="20"/>
                <w:color w:val="auto"/>
              </w:rPr>
            </w:pPr>
            <w:r>
              <w:rPr>
                <w:rFonts w:ascii="Arial" w:cs="Arial" w:eastAsia="Arial" w:hAnsi="Arial"/>
                <w:sz w:val="14"/>
                <w:szCs w:val="14"/>
                <w:color w:val="auto"/>
              </w:rPr>
              <w:t>Equity-based compensation</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12,147</w:t>
            </w:r>
          </w:p>
        </w:tc>
        <w:tc>
          <w:tcPr>
            <w:tcW w:w="14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2,497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2,497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rPr>
              <w:t>Other comprehensive loss, net of income</w:t>
            </w:r>
          </w:p>
        </w:tc>
        <w:tc>
          <w:tcPr>
            <w:tcW w:w="94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94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86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14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06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EAF9E8"/>
          </w:tcPr>
          <w:p>
            <w:pPr>
              <w:ind w:left="160"/>
              <w:spacing w:after="0"/>
              <w:rPr>
                <w:sz w:val="20"/>
                <w:szCs w:val="20"/>
                <w:color w:val="auto"/>
              </w:rPr>
            </w:pPr>
            <w:r>
              <w:rPr>
                <w:rFonts w:ascii="Arial" w:cs="Arial" w:eastAsia="Arial" w:hAnsi="Arial"/>
                <w:sz w:val="14"/>
                <w:szCs w:val="14"/>
                <w:color w:val="auto"/>
              </w:rPr>
              <w:t>taxes</w:t>
            </w:r>
          </w:p>
        </w:tc>
        <w:tc>
          <w:tcPr>
            <w:tcW w:w="1180" w:type="dxa"/>
            <w:vAlign w:val="bottom"/>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4"/>
                <w:szCs w:val="14"/>
                <w:color w:val="auto"/>
              </w:rPr>
            </w:pPr>
          </w:p>
        </w:tc>
        <w:tc>
          <w:tcPr>
            <w:tcW w:w="1040" w:type="dxa"/>
            <w:vAlign w:val="bottom"/>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4"/>
                <w:szCs w:val="14"/>
                <w:color w:val="auto"/>
              </w:rPr>
            </w:pPr>
          </w:p>
        </w:tc>
        <w:tc>
          <w:tcPr>
            <w:tcW w:w="10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4"/>
                <w:szCs w:val="14"/>
                <w:color w:val="auto"/>
              </w:rPr>
            </w:pPr>
          </w:p>
        </w:tc>
        <w:tc>
          <w:tcPr>
            <w:tcW w:w="160" w:type="dxa"/>
            <w:vAlign w:val="bottom"/>
            <w:shd w:val="clear" w:color="auto" w:fill="EAF9E8"/>
          </w:tcPr>
          <w:p>
            <w:pPr>
              <w:spacing w:after="0"/>
              <w:rPr>
                <w:sz w:val="14"/>
                <w:szCs w:val="14"/>
                <w:color w:val="auto"/>
              </w:rPr>
            </w:pPr>
          </w:p>
        </w:tc>
        <w:tc>
          <w:tcPr>
            <w:tcW w:w="10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4"/>
                <w:szCs w:val="14"/>
                <w:color w:val="auto"/>
              </w:rPr>
            </w:pPr>
          </w:p>
        </w:tc>
        <w:tc>
          <w:tcPr>
            <w:tcW w:w="1360" w:type="dxa"/>
            <w:vAlign w:val="bottom"/>
            <w:gridSpan w:val="2"/>
            <w:shd w:val="clear" w:color="auto" w:fill="EAF9E8"/>
          </w:tcPr>
          <w:p>
            <w:pPr>
              <w:jc w:val="right"/>
              <w:ind w:right="180"/>
              <w:spacing w:after="0"/>
              <w:rPr>
                <w:sz w:val="20"/>
                <w:szCs w:val="20"/>
                <w:color w:val="auto"/>
              </w:rPr>
            </w:pPr>
            <w:r>
              <w:rPr>
                <w:rFonts w:ascii="Arial" w:cs="Arial" w:eastAsia="Arial" w:hAnsi="Arial"/>
                <w:sz w:val="14"/>
                <w:szCs w:val="14"/>
                <w:color w:val="auto"/>
              </w:rPr>
              <w:t>(2,005)</w:t>
            </w:r>
          </w:p>
        </w:tc>
        <w:tc>
          <w:tcPr>
            <w:tcW w:w="80" w:type="dxa"/>
            <w:vAlign w:val="bottom"/>
            <w:shd w:val="clear" w:color="auto" w:fill="EAF9E8"/>
          </w:tcPr>
          <w:p>
            <w:pPr>
              <w:spacing w:after="0"/>
              <w:rPr>
                <w:sz w:val="14"/>
                <w:szCs w:val="14"/>
                <w:color w:val="auto"/>
              </w:rPr>
            </w:pPr>
          </w:p>
        </w:tc>
        <w:tc>
          <w:tcPr>
            <w:tcW w:w="118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(129)</w:t>
            </w:r>
          </w:p>
        </w:tc>
        <w:tc>
          <w:tcPr>
            <w:tcW w:w="80" w:type="dxa"/>
            <w:vAlign w:val="bottom"/>
            <w:shd w:val="clear" w:color="auto" w:fill="EAF9E8"/>
          </w:tcPr>
          <w:p>
            <w:pPr>
              <w:spacing w:after="0"/>
              <w:rPr>
                <w:sz w:val="14"/>
                <w:szCs w:val="14"/>
                <w:color w:val="auto"/>
              </w:rPr>
            </w:pPr>
          </w:p>
        </w:tc>
        <w:tc>
          <w:tcPr>
            <w:tcW w:w="200" w:type="dxa"/>
            <w:vAlign w:val="bottom"/>
            <w:shd w:val="clear" w:color="auto" w:fill="EAF9E8"/>
          </w:tcPr>
          <w:p>
            <w:pPr>
              <w:spacing w:after="0"/>
              <w:rPr>
                <w:sz w:val="14"/>
                <w:szCs w:val="14"/>
                <w:color w:val="auto"/>
              </w:rPr>
            </w:pPr>
          </w:p>
        </w:tc>
        <w:tc>
          <w:tcPr>
            <w:tcW w:w="820" w:type="dxa"/>
            <w:vAlign w:val="bottom"/>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(2,134)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20" w:type="dxa"/>
            <w:vAlign w:val="bottom"/>
            <w:shd w:val="clear" w:color="auto" w:fill="EAF9E8"/>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80" w:type="dxa"/>
            <w:vAlign w:val="bottom"/>
            <w:shd w:val="clear" w:color="auto" w:fill="EAF9E8"/>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8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20" w:type="dxa"/>
            <w:vAlign w:val="bottom"/>
          </w:tcPr>
          <w:p>
            <w:pPr>
              <w:spacing w:after="0" w:line="149" w:lineRule="exact"/>
              <w:rPr>
                <w:sz w:val="20"/>
                <w:szCs w:val="20"/>
                <w:color w:val="auto"/>
              </w:rPr>
            </w:pPr>
            <w:r>
              <w:rPr>
                <w:rFonts w:ascii="Arial" w:cs="Arial" w:eastAsia="Arial" w:hAnsi="Arial"/>
                <w:sz w:val="14"/>
                <w:szCs w:val="14"/>
                <w:b w:val="1"/>
                <w:bCs w:val="1"/>
                <w:color w:val="auto"/>
              </w:rPr>
              <w:t>Balance at December 31, 2009</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99,956,833</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459,542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405,198</w:t>
            </w:r>
          </w:p>
        </w:tc>
        <w:tc>
          <w:tcPr>
            <w:tcW w:w="100" w:type="dxa"/>
            <w:vAlign w:val="bottom"/>
          </w:tcPr>
          <w:p>
            <w:pPr>
              <w:spacing w:after="0"/>
              <w:rPr>
                <w:sz w:val="12"/>
                <w:szCs w:val="12"/>
                <w:color w:val="auto"/>
              </w:rPr>
            </w:pPr>
          </w:p>
        </w:tc>
        <w:tc>
          <w:tcPr>
            <w:tcW w:w="1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(129)</w:t>
            </w:r>
          </w:p>
        </w:tc>
        <w:tc>
          <w:tcPr>
            <w:tcW w:w="8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865,863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rPr>
              <w:t>Adoption of ASC 810 (FASB Statement</w:t>
            </w:r>
          </w:p>
        </w:tc>
        <w:tc>
          <w:tcPr>
            <w:tcW w:w="94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94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86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14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06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EAF9E8"/>
          </w:tcPr>
          <w:p>
            <w:pPr>
              <w:ind w:left="160"/>
              <w:spacing w:after="0"/>
              <w:rPr>
                <w:sz w:val="20"/>
                <w:szCs w:val="20"/>
                <w:color w:val="auto"/>
              </w:rPr>
            </w:pPr>
            <w:r>
              <w:rPr>
                <w:rFonts w:ascii="Arial" w:cs="Arial" w:eastAsia="Arial" w:hAnsi="Arial"/>
                <w:sz w:val="14"/>
                <w:szCs w:val="14"/>
                <w:color w:val="auto"/>
              </w:rPr>
              <w:t>No. 167), net of tax</w:t>
            </w:r>
          </w:p>
        </w:tc>
        <w:tc>
          <w:tcPr>
            <w:tcW w:w="1180" w:type="dxa"/>
            <w:vAlign w:val="bottom"/>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4"/>
                <w:szCs w:val="14"/>
                <w:color w:val="auto"/>
              </w:rPr>
            </w:pPr>
          </w:p>
        </w:tc>
        <w:tc>
          <w:tcPr>
            <w:tcW w:w="1040" w:type="dxa"/>
            <w:vAlign w:val="bottom"/>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4"/>
                <w:szCs w:val="14"/>
                <w:color w:val="auto"/>
              </w:rPr>
            </w:pPr>
          </w:p>
        </w:tc>
        <w:tc>
          <w:tcPr>
            <w:tcW w:w="10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4"/>
                <w:szCs w:val="14"/>
                <w:color w:val="auto"/>
              </w:rPr>
            </w:pPr>
          </w:p>
        </w:tc>
        <w:tc>
          <w:tcPr>
            <w:tcW w:w="160" w:type="dxa"/>
            <w:vAlign w:val="bottom"/>
            <w:shd w:val="clear" w:color="auto" w:fill="EAF9E8"/>
          </w:tcPr>
          <w:p>
            <w:pPr>
              <w:spacing w:after="0"/>
              <w:rPr>
                <w:sz w:val="14"/>
                <w:szCs w:val="14"/>
                <w:color w:val="auto"/>
              </w:rPr>
            </w:pPr>
          </w:p>
        </w:tc>
        <w:tc>
          <w:tcPr>
            <w:tcW w:w="10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2,274</w:t>
            </w:r>
          </w:p>
        </w:tc>
        <w:tc>
          <w:tcPr>
            <w:tcW w:w="100" w:type="dxa"/>
            <w:vAlign w:val="bottom"/>
            <w:shd w:val="clear" w:color="auto" w:fill="EAF9E8"/>
          </w:tcPr>
          <w:p>
            <w:pPr>
              <w:spacing w:after="0"/>
              <w:rPr>
                <w:sz w:val="14"/>
                <w:szCs w:val="14"/>
                <w:color w:val="auto"/>
              </w:rPr>
            </w:pPr>
          </w:p>
        </w:tc>
        <w:tc>
          <w:tcPr>
            <w:tcW w:w="136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4"/>
                <w:szCs w:val="14"/>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4"/>
                <w:szCs w:val="14"/>
                <w:color w:val="auto"/>
              </w:rPr>
            </w:pPr>
          </w:p>
        </w:tc>
        <w:tc>
          <w:tcPr>
            <w:tcW w:w="200" w:type="dxa"/>
            <w:vAlign w:val="bottom"/>
            <w:shd w:val="clear" w:color="auto" w:fill="EAF9E8"/>
          </w:tcPr>
          <w:p>
            <w:pPr>
              <w:spacing w:after="0"/>
              <w:rPr>
                <w:sz w:val="14"/>
                <w:szCs w:val="14"/>
                <w:color w:val="auto"/>
              </w:rPr>
            </w:pPr>
          </w:p>
        </w:tc>
        <w:tc>
          <w:tcPr>
            <w:tcW w:w="82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2,274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37,984</w:t>
            </w:r>
          </w:p>
        </w:tc>
        <w:tc>
          <w:tcPr>
            <w:tcW w:w="10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37,992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rPr>
              <w:t>Issuance of common stock awards to</w:t>
            </w:r>
          </w:p>
        </w:tc>
        <w:tc>
          <w:tcPr>
            <w:tcW w:w="94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94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86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14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06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EAF9E8"/>
          </w:tcPr>
          <w:p>
            <w:pPr>
              <w:ind w:left="160"/>
              <w:spacing w:after="0"/>
              <w:rPr>
                <w:sz w:val="20"/>
                <w:szCs w:val="20"/>
                <w:color w:val="auto"/>
              </w:rPr>
            </w:pPr>
            <w:r>
              <w:rPr>
                <w:rFonts w:ascii="Arial" w:cs="Arial" w:eastAsia="Arial" w:hAnsi="Arial"/>
                <w:sz w:val="14"/>
                <w:szCs w:val="14"/>
                <w:color w:val="auto"/>
              </w:rPr>
              <w:t>employees</w:t>
            </w:r>
          </w:p>
        </w:tc>
        <w:tc>
          <w:tcPr>
            <w:tcW w:w="1180" w:type="dxa"/>
            <w:vAlign w:val="bottom"/>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9,865</w:t>
            </w:r>
          </w:p>
        </w:tc>
        <w:tc>
          <w:tcPr>
            <w:tcW w:w="140" w:type="dxa"/>
            <w:vAlign w:val="bottom"/>
            <w:shd w:val="clear" w:color="auto" w:fill="EAF9E8"/>
          </w:tcPr>
          <w:p>
            <w:pPr>
              <w:spacing w:after="0"/>
              <w:rPr>
                <w:sz w:val="14"/>
                <w:szCs w:val="14"/>
                <w:color w:val="auto"/>
              </w:rPr>
            </w:pPr>
          </w:p>
        </w:tc>
        <w:tc>
          <w:tcPr>
            <w:tcW w:w="1040" w:type="dxa"/>
            <w:vAlign w:val="bottom"/>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4"/>
                <w:szCs w:val="14"/>
                <w:color w:val="auto"/>
              </w:rPr>
            </w:pPr>
          </w:p>
        </w:tc>
        <w:tc>
          <w:tcPr>
            <w:tcW w:w="108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4"/>
                <w:szCs w:val="14"/>
                <w:color w:val="auto"/>
              </w:rPr>
            </w:pPr>
          </w:p>
        </w:tc>
        <w:tc>
          <w:tcPr>
            <w:tcW w:w="160" w:type="dxa"/>
            <w:vAlign w:val="bottom"/>
            <w:shd w:val="clear" w:color="auto" w:fill="EAF9E8"/>
          </w:tcPr>
          <w:p>
            <w:pPr>
              <w:spacing w:after="0"/>
              <w:rPr>
                <w:sz w:val="14"/>
                <w:szCs w:val="14"/>
                <w:color w:val="auto"/>
              </w:rPr>
            </w:pPr>
          </w:p>
        </w:tc>
        <w:tc>
          <w:tcPr>
            <w:tcW w:w="10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4"/>
                <w:szCs w:val="14"/>
                <w:color w:val="auto"/>
              </w:rPr>
            </w:pPr>
          </w:p>
        </w:tc>
        <w:tc>
          <w:tcPr>
            <w:tcW w:w="136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4"/>
                <w:szCs w:val="14"/>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4"/>
                <w:szCs w:val="14"/>
                <w:color w:val="auto"/>
              </w:rPr>
            </w:pPr>
          </w:p>
        </w:tc>
        <w:tc>
          <w:tcPr>
            <w:tcW w:w="200" w:type="dxa"/>
            <w:vAlign w:val="bottom"/>
            <w:shd w:val="clear" w:color="auto" w:fill="EAF9E8"/>
          </w:tcPr>
          <w:p>
            <w:pPr>
              <w:spacing w:after="0"/>
              <w:rPr>
                <w:sz w:val="14"/>
                <w:szCs w:val="14"/>
                <w:color w:val="auto"/>
              </w:rPr>
            </w:pPr>
          </w:p>
        </w:tc>
        <w:tc>
          <w:tcPr>
            <w:tcW w:w="82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line="149" w:lineRule="exact"/>
              <w:rPr>
                <w:sz w:val="20"/>
                <w:szCs w:val="20"/>
                <w:color w:val="auto"/>
              </w:rPr>
            </w:pPr>
            <w:r>
              <w:rPr>
                <w:rFonts w:ascii="Arial" w:cs="Arial" w:eastAsia="Arial" w:hAnsi="Arial"/>
                <w:sz w:val="14"/>
                <w:szCs w:val="14"/>
                <w:color w:val="auto"/>
              </w:rPr>
              <w:t>Exercise of common stock options</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752,595</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3,604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Equity-based compensation</w:t>
            </w:r>
          </w:p>
        </w:tc>
        <w:tc>
          <w:tcPr>
            <w:tcW w:w="118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7,654</w:t>
            </w:r>
          </w:p>
        </w:tc>
        <w:tc>
          <w:tcPr>
            <w:tcW w:w="14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4,354</w:t>
            </w:r>
          </w:p>
        </w:tc>
        <w:tc>
          <w:tcPr>
            <w:tcW w:w="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36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118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82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4,354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tcPr>
          <w:p>
            <w:pPr>
              <w:spacing w:after="0" w:line="130" w:lineRule="exact"/>
              <w:rPr>
                <w:sz w:val="20"/>
                <w:szCs w:val="20"/>
                <w:color w:val="auto"/>
              </w:rPr>
            </w:pPr>
            <w:r>
              <w:rPr>
                <w:rFonts w:ascii="Arial" w:cs="Arial" w:eastAsia="Arial" w:hAnsi="Arial"/>
                <w:sz w:val="14"/>
                <w:szCs w:val="14"/>
                <w:color w:val="auto"/>
              </w:rPr>
              <w:t>Other comprehensive loss, net of income</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tcPr>
          <w:p>
            <w:pPr>
              <w:ind w:left="160"/>
              <w:spacing w:after="0"/>
              <w:rPr>
                <w:sz w:val="20"/>
                <w:szCs w:val="20"/>
                <w:color w:val="auto"/>
              </w:rPr>
            </w:pPr>
            <w:r>
              <w:rPr>
                <w:rFonts w:ascii="Arial" w:cs="Arial" w:eastAsia="Arial" w:hAnsi="Arial"/>
                <w:sz w:val="14"/>
                <w:szCs w:val="14"/>
                <w:color w:val="auto"/>
              </w:rPr>
              <w:t>taxes</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(9,263)</w:t>
            </w:r>
          </w:p>
        </w:tc>
        <w:tc>
          <w:tcPr>
            <w:tcW w:w="8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(9,277)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720" w:type="dxa"/>
            <w:vAlign w:val="bottom"/>
            <w:shd w:val="clear" w:color="auto" w:fill="EAF9E8"/>
          </w:tcPr>
          <w:p>
            <w:pPr>
              <w:spacing w:after="0"/>
              <w:rPr>
                <w:sz w:val="20"/>
                <w:szCs w:val="20"/>
                <w:color w:val="auto"/>
              </w:rPr>
            </w:pPr>
            <w:r>
              <w:rPr>
                <w:rFonts w:ascii="Arial" w:cs="Arial" w:eastAsia="Arial" w:hAnsi="Arial"/>
                <w:sz w:val="14"/>
                <w:szCs w:val="14"/>
                <w:b w:val="1"/>
                <w:bCs w:val="1"/>
                <w:color w:val="auto"/>
              </w:rPr>
              <w:t>Balance at December 31, 2010</w:t>
            </w:r>
          </w:p>
        </w:tc>
        <w:tc>
          <w:tcPr>
            <w:tcW w:w="9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100,726,947</w:t>
            </w:r>
          </w:p>
        </w:tc>
        <w:tc>
          <w:tcPr>
            <w:tcW w:w="240" w:type="dxa"/>
            <w:vAlign w:val="bottom"/>
            <w:shd w:val="clear" w:color="auto" w:fill="EAF9E8"/>
          </w:tcPr>
          <w:p>
            <w:pPr>
              <w:spacing w:after="0"/>
              <w:rPr>
                <w:sz w:val="20"/>
                <w:szCs w:val="20"/>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1,007</w:t>
            </w:r>
          </w:p>
        </w:tc>
        <w:tc>
          <w:tcPr>
            <w:tcW w:w="240" w:type="dxa"/>
            <w:vAlign w:val="bottom"/>
            <w:shd w:val="clear" w:color="auto" w:fill="EAF9E8"/>
          </w:tcPr>
          <w:p>
            <w:pPr>
              <w:spacing w:after="0"/>
              <w:rPr>
                <w:sz w:val="20"/>
                <w:szCs w:val="20"/>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467,500</w:t>
            </w:r>
          </w:p>
        </w:tc>
        <w:tc>
          <w:tcPr>
            <w:tcW w:w="14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60" w:type="dxa"/>
            <w:vAlign w:val="bottom"/>
            <w:shd w:val="clear" w:color="auto" w:fill="EAF9E8"/>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445,456</w:t>
            </w:r>
          </w:p>
        </w:tc>
        <w:tc>
          <w:tcPr>
            <w:tcW w:w="10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EAF9E8"/>
          </w:tcPr>
          <w:p>
            <w:pPr>
              <w:jc w:val="right"/>
              <w:ind w:right="180"/>
              <w:spacing w:after="0"/>
              <w:rPr>
                <w:sz w:val="20"/>
                <w:szCs w:val="20"/>
                <w:color w:val="auto"/>
              </w:rPr>
            </w:pPr>
            <w:r>
              <w:rPr>
                <w:rFonts w:ascii="Arial" w:cs="Arial" w:eastAsia="Arial" w:hAnsi="Arial"/>
                <w:sz w:val="14"/>
                <w:szCs w:val="14"/>
                <w:color w:val="auto"/>
              </w:rPr>
              <w:t>(9,392)</w:t>
            </w: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246</w:t>
            </w:r>
          </w:p>
        </w:tc>
        <w:tc>
          <w:tcPr>
            <w:tcW w:w="28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904,817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top w:val="single" w:sz="8" w:color="EAF9E8"/>
            </w:tcBorders>
            <w:shd w:val="clear" w:color="auto" w:fill="EAF9E8"/>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Net of tax effect of $347 resulting from the reduction of the deferred tax asset.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8" w:name="page69"/>
    <w:bookmarkEnd w:id="68"/>
    <w:p>
      <w:pPr>
        <w:jc w:val="center"/>
        <w:ind w:left="34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8"/>
                <w:szCs w:val="18"/>
                <w:b w:val="1"/>
                <w:bCs w:val="1"/>
                <w:color w:val="auto"/>
              </w:rPr>
              <w:t>For the Years Ended December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37,992</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272</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Amortization of mortgage servicing rights</w:t>
            </w: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31,455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32,228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Discount amortization and accretion, net</w:t>
            </w: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5,389</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5,172</w:t>
            </w: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Depreciation and amortization of intangible assets</w:t>
            </w: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7,512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6,366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Write-off of investment in commercial real estate partnership</w:t>
            </w: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Provision for (reversal of) valuation allowance on mortgage servicing assets</w:t>
            </w: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(670)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Provision for (reversal of) valuation allowance on discontinued operations</w:t>
            </w: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(1,227)</w:t>
            </w: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Gain on disposition of subsidiaries</w:t>
            </w: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(4,749)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Loss (gain) on trading securities</w:t>
            </w: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7,968</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(11,187)</w:t>
            </w: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35,480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Loss on loans held for resale, net</w:t>
            </w: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5,865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11,132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Equity in (earnings) losses of unconsolidated entities</w:t>
            </w: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(1,371)</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2,933</w:t>
            </w: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Decrease (increase) in deferred tax assets, net</w:t>
            </w: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(7,764)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40,758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cash provided (used) by trading activities</w:t>
            </w: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239,555</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3,700</w:t>
            </w: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(236,710)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Net cash provided by loans held for resale activities</w:t>
            </w: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1,771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4,576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Changes in assets and liabilities:</w:t>
            </w: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Arial" w:cs="Arial" w:eastAsia="Arial" w:hAnsi="Arial"/>
                <w:sz w:val="18"/>
                <w:szCs w:val="18"/>
                <w:color w:val="auto"/>
              </w:rPr>
              <w:t>Decrease in advances and match funded advances</w:t>
            </w: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447,219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227,271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215,078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Decrease (increase) in receivables and other assets, net</w:t>
            </w: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(46,382)</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(32,846)</w:t>
            </w: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53,884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Arial" w:cs="Arial" w:eastAsia="Arial" w:hAnsi="Arial"/>
                <w:sz w:val="18"/>
                <w:szCs w:val="18"/>
                <w:color w:val="auto"/>
              </w:rPr>
              <w:t>Decrease in servicer liabilities</w:t>
            </w: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(36,180)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(97,079)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(68,733)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Increase (decrease) in other liabilities</w:t>
            </w: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24,637</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19,387</w:t>
            </w: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(8,971)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6,968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609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727,544</w:t>
            </w:r>
          </w:p>
        </w:tc>
        <w:tc>
          <w:tcPr>
            <w:tcW w:w="2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206,646</w:t>
            </w:r>
          </w:p>
        </w:tc>
        <w:tc>
          <w:tcPr>
            <w:tcW w:w="18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123,091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Cash paid to acquire HomEq Servicing (a business within Barclays Bank PLC)</w:t>
            </w: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(1,167,122)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Purchase of mortgage servicing rights</w:t>
            </w: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(23,425)</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(10,241)</w:t>
            </w: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Proceeds from the sale of mortgage servicing rights</w:t>
            </w: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shd w:val="clear" w:color="auto" w:fill="EAF9E8"/>
          </w:tcPr>
          <w:p>
            <w:pPr>
              <w:ind w:left="160"/>
              <w:spacing w:after="0" w:line="201" w:lineRule="exact"/>
              <w:rPr>
                <w:sz w:val="20"/>
                <w:szCs w:val="20"/>
                <w:color w:val="auto"/>
              </w:rPr>
            </w:pPr>
            <w:r>
              <w:rPr>
                <w:rFonts w:ascii="Arial" w:cs="Arial" w:eastAsia="Arial" w:hAnsi="Arial"/>
                <w:sz w:val="18"/>
                <w:szCs w:val="18"/>
                <w:color w:val="auto"/>
              </w:rPr>
              <w:t>Acquisition of advances and other assets in connection with the purchase of</w:t>
            </w:r>
          </w:p>
        </w:tc>
        <w:tc>
          <w:tcPr>
            <w:tcW w:w="2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mortgage servicing rights</w:t>
            </w:r>
          </w:p>
        </w:tc>
        <w:tc>
          <w:tcPr>
            <w:tcW w:w="280" w:type="dxa"/>
            <w:vAlign w:val="bottom"/>
            <w:shd w:val="clear" w:color="auto" w:fill="EAF9E8"/>
          </w:tcPr>
          <w:p>
            <w:pPr>
              <w:spacing w:after="0"/>
              <w:rPr>
                <w:sz w:val="20"/>
                <w:szCs w:val="20"/>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(528,882)</w:t>
            </w:r>
          </w:p>
        </w:tc>
        <w:tc>
          <w:tcPr>
            <w:tcW w:w="200" w:type="dxa"/>
            <w:vAlign w:val="bottom"/>
            <w:shd w:val="clear" w:color="auto" w:fill="EAF9E8"/>
          </w:tcPr>
          <w:p>
            <w:pPr>
              <w:spacing w:after="0"/>
              <w:rPr>
                <w:sz w:val="20"/>
                <w:szCs w:val="20"/>
                <w:color w:val="auto"/>
              </w:rPr>
            </w:pPr>
          </w:p>
        </w:tc>
        <w:tc>
          <w:tcPr>
            <w:tcW w:w="260" w:type="dxa"/>
            <w:vAlign w:val="bottom"/>
            <w:shd w:val="clear" w:color="auto" w:fill="EAF9E8"/>
          </w:tcPr>
          <w:p>
            <w:pPr>
              <w:spacing w:after="0"/>
              <w:rPr>
                <w:sz w:val="20"/>
                <w:szCs w:val="20"/>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Increase in restricted cash – for securitization investors</w:t>
            </w: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1,028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Principal payments received on loans – restricted for securitization investors</w:t>
            </w: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5,616</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Additions to premises and equipment</w:t>
            </w: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(3,821)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(3,700)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Proceeds from sale of investments in affordable housing investments</w:t>
            </w: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6,036</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Distributions of capital from unconsolidated entities</w:t>
            </w: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3,542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6,658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Investment in unconsolidated entities</w:t>
            </w: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(62)</w:t>
            </w: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Proceeds from sales of real estate</w:t>
            </w: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2,434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2,600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Proceeds from the sale of subsidiaries, net of cash sold</w:t>
            </w: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1,584</w:t>
            </w: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888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Net cash provided (used) by investing activities</w:t>
            </w: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(1,703,706)</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(3,161)</w:t>
            </w: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40,440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OCWEN FINANCIAL CORPORATION AND SUBSIDIARIES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20" w:type="dxa"/>
            <w:vAlign w:val="bottom"/>
            <w:gridSpan w:val="6"/>
          </w:tcPr>
          <w:p>
            <w:pPr>
              <w:ind w:left="3020"/>
              <w:spacing w:after="0"/>
              <w:rPr>
                <w:sz w:val="20"/>
                <w:szCs w:val="20"/>
                <w:color w:val="auto"/>
              </w:rPr>
            </w:pPr>
            <w:r>
              <w:rPr>
                <w:rFonts w:ascii="Arial" w:cs="Arial" w:eastAsia="Arial" w:hAnsi="Arial"/>
                <w:sz w:val="18"/>
                <w:szCs w:val="18"/>
                <w:b w:val="1"/>
                <w:bCs w:val="1"/>
                <w:color w:val="auto"/>
              </w:rPr>
              <w:t>CONSOLIDATED STATEMENTS OF CASH FLOWS – (Continued)</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900" w:type="dxa"/>
            <w:vAlign w:val="bottom"/>
            <w:gridSpan w:val="2"/>
          </w:tcPr>
          <w:p>
            <w:pPr>
              <w:jc w:val="right"/>
              <w:ind w:right="125"/>
              <w:spacing w:after="0"/>
              <w:rPr>
                <w:sz w:val="20"/>
                <w:szCs w:val="20"/>
                <w:color w:val="auto"/>
              </w:rPr>
            </w:pPr>
            <w:r>
              <w:rPr>
                <w:rFonts w:ascii="Arial" w:cs="Arial" w:eastAsia="Arial" w:hAnsi="Arial"/>
                <w:sz w:val="18"/>
                <w:szCs w:val="18"/>
                <w:b w:val="1"/>
                <w:bCs w:val="1"/>
                <w:color w:val="auto"/>
              </w:rPr>
              <w:t>(Dollars in thousands)</w:t>
            </w: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8"/>
                <w:szCs w:val="18"/>
                <w:b w:val="1"/>
                <w:bCs w:val="1"/>
                <w:color w:val="auto"/>
              </w:rPr>
              <w:t>For the Years Ended 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w w:val="99"/>
              </w:rPr>
              <w:t>Distribution of cash in connection with the spin-off of Altisource Portfolio Solutions</w:t>
            </w:r>
          </w:p>
        </w:tc>
        <w:tc>
          <w:tcPr>
            <w:tcW w:w="28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(20,028)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Proceeds from (repayment of) match funded liabilities, net</w:t>
            </w:r>
          </w:p>
        </w:tc>
        <w:tc>
          <w:tcPr>
            <w:tcW w:w="28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1,016,838</w:t>
            </w:r>
          </w:p>
        </w:tc>
        <w:tc>
          <w:tcPr>
            <w:tcW w:w="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(491,416)</w:t>
            </w: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(39,854)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Repayment of secured borrowings – owed to securitization investors</w:t>
            </w:r>
          </w:p>
        </w:tc>
        <w:tc>
          <w:tcPr>
            <w:tcW w:w="28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(9,346)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Proceeds from (repayment of) lines of credit and other secured borrowings, net</w:t>
            </w:r>
          </w:p>
        </w:tc>
        <w:tc>
          <w:tcPr>
            <w:tcW w:w="28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(223,106)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Proceeds from lines of credit and other secured borrowings</w:t>
            </w:r>
          </w:p>
        </w:tc>
        <w:tc>
          <w:tcPr>
            <w:tcW w:w="28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448,316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102,106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Repayments of lines of credit and other secured borrowings</w:t>
            </w:r>
          </w:p>
        </w:tc>
        <w:tc>
          <w:tcPr>
            <w:tcW w:w="28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(263,442)</w:t>
            </w:r>
          </w:p>
        </w:tc>
        <w:tc>
          <w:tcPr>
            <w:tcW w:w="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(151,976)</w:t>
            </w: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Payment of debt issuance costs – senior secured term loan</w:t>
            </w:r>
          </w:p>
        </w:tc>
        <w:tc>
          <w:tcPr>
            <w:tcW w:w="28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(10,689)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Proceeds from investment line</w:t>
            </w:r>
          </w:p>
        </w:tc>
        <w:tc>
          <w:tcPr>
            <w:tcW w:w="28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299,964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Repayment of investment line</w:t>
            </w:r>
          </w:p>
        </w:tc>
        <w:tc>
          <w:tcPr>
            <w:tcW w:w="28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(156,968)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(43,751)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(99,245)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Repurchase of debt securities, net</w:t>
            </w:r>
          </w:p>
        </w:tc>
        <w:tc>
          <w:tcPr>
            <w:tcW w:w="28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(11,659)</w:t>
            </w:r>
          </w:p>
        </w:tc>
        <w:tc>
          <w:tcPr>
            <w:tcW w:w="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(37,289)</w:t>
            </w: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(10,797)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Issuance of common stock</w:t>
            </w:r>
          </w:p>
        </w:tc>
        <w:tc>
          <w:tcPr>
            <w:tcW w:w="28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335,129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Repurchase of common stock</w:t>
            </w:r>
          </w:p>
        </w:tc>
        <w:tc>
          <w:tcPr>
            <w:tcW w:w="28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(11,000)</w:t>
            </w: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Exercise of common stock options</w:t>
            </w:r>
          </w:p>
        </w:tc>
        <w:tc>
          <w:tcPr>
            <w:tcW w:w="28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3,146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3,358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cash paid in connection with assignment of Orlando property lease</w:t>
            </w:r>
          </w:p>
        </w:tc>
        <w:tc>
          <w:tcPr>
            <w:tcW w:w="28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(3,157)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1,276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Net cash provided (used) by financing activities</w:t>
            </w:r>
          </w:p>
        </w:tc>
        <w:tc>
          <w:tcPr>
            <w:tcW w:w="280" w:type="dxa"/>
            <w:vAlign w:val="bottom"/>
            <w:shd w:val="clear" w:color="auto" w:fill="EAF9E8"/>
          </w:tcPr>
          <w:p>
            <w:pPr>
              <w:spacing w:after="0"/>
              <w:rPr>
                <w:sz w:val="19"/>
                <w:szCs w:val="19"/>
                <w:color w:val="auto"/>
              </w:rPr>
            </w:pPr>
          </w:p>
        </w:tc>
        <w:tc>
          <w:tcPr>
            <w:tcW w:w="136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1,013,039</w:t>
            </w:r>
          </w:p>
        </w:tc>
        <w:tc>
          <w:tcPr>
            <w:tcW w:w="1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(313,591)</w:t>
            </w:r>
          </w:p>
        </w:tc>
        <w:tc>
          <w:tcPr>
            <w:tcW w:w="18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0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(76,749)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80" w:type="dxa"/>
            <w:vAlign w:val="bottom"/>
            <w:tcBorders>
              <w:top w:val="single" w:sz="8" w:color="EAF9E8"/>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Net increase (decrease) in cash</w:t>
            </w:r>
          </w:p>
        </w:tc>
        <w:tc>
          <w:tcPr>
            <w:tcW w:w="28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36,877</w:t>
            </w:r>
          </w:p>
        </w:tc>
        <w:tc>
          <w:tcPr>
            <w:tcW w:w="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(110,106)</w:t>
            </w: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86,782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 at beginning of year</w:t>
            </w:r>
          </w:p>
        </w:tc>
        <w:tc>
          <w:tcPr>
            <w:tcW w:w="28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90,919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201,025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114,243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Cash at end of year</w:t>
            </w:r>
          </w:p>
        </w:tc>
        <w:tc>
          <w:tcPr>
            <w:tcW w:w="280" w:type="dxa"/>
            <w:vAlign w:val="bottom"/>
            <w:shd w:val="clear" w:color="auto" w:fill="EAF9E8"/>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127,796</w:t>
            </w:r>
          </w:p>
        </w:tc>
        <w:tc>
          <w:tcPr>
            <w:tcW w:w="3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90,919</w:t>
            </w:r>
          </w:p>
        </w:tc>
        <w:tc>
          <w:tcPr>
            <w:tcW w:w="5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201,025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80" w:type="dxa"/>
            <w:vAlign w:val="bottom"/>
            <w:tcBorders>
              <w:top w:val="single" w:sz="8" w:color="EAF9E8"/>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Interest paid</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88,354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56,692</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Income tax (payments) refunds</w:t>
            </w:r>
          </w:p>
        </w:tc>
        <w:tc>
          <w:tcPr>
            <w:tcW w:w="28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(6,756)</w:t>
            </w:r>
          </w:p>
        </w:tc>
        <w:tc>
          <w:tcPr>
            <w:tcW w:w="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(52,910)</w:t>
            </w: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8,474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tcPr>
          <w:p>
            <w:pPr>
              <w:ind w:left="160"/>
              <w:spacing w:after="0" w:line="201" w:lineRule="exact"/>
              <w:rPr>
                <w:sz w:val="20"/>
                <w:szCs w:val="20"/>
                <w:color w:val="auto"/>
              </w:rPr>
            </w:pPr>
            <w:r>
              <w:rPr>
                <w:rFonts w:ascii="Arial" w:cs="Arial" w:eastAsia="Arial" w:hAnsi="Arial"/>
                <w:sz w:val="18"/>
                <w:szCs w:val="18"/>
                <w:color w:val="auto"/>
              </w:rPr>
              <w:t>Net assets distributed in connection with the spin-off of Altisource Portfolio</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320"/>
              <w:spacing w:after="0"/>
              <w:rPr>
                <w:sz w:val="20"/>
                <w:szCs w:val="20"/>
                <w:color w:val="auto"/>
              </w:rPr>
            </w:pPr>
            <w:r>
              <w:rPr>
                <w:rFonts w:ascii="Arial" w:cs="Arial" w:eastAsia="Arial" w:hAnsi="Arial"/>
                <w:sz w:val="18"/>
                <w:szCs w:val="18"/>
                <w:color w:val="auto"/>
              </w:rPr>
              <w:t>Solutions, excluding cash</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52,118</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Real estate acquired through foreclosure</w:t>
            </w:r>
          </w:p>
        </w:tc>
        <w:tc>
          <w:tcPr>
            <w:tcW w:w="28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7,569</w:t>
            </w:r>
          </w:p>
        </w:tc>
        <w:tc>
          <w:tcPr>
            <w:tcW w:w="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11,473</w:t>
            </w: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17,230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Derecognition of premises and equipment</w:t>
            </w:r>
          </w:p>
        </w:tc>
        <w:tc>
          <w:tcPr>
            <w:tcW w:w="28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Derecognition of lease obligation</w:t>
            </w:r>
          </w:p>
        </w:tc>
        <w:tc>
          <w:tcPr>
            <w:tcW w:w="28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24,322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Supplemental business acquisition information</w:t>
            </w: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Fair value of assets acquired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Advances</w:t>
            </w:r>
          </w:p>
        </w:tc>
        <w:tc>
          <w:tcPr>
            <w:tcW w:w="280" w:type="dxa"/>
            <w:vAlign w:val="bottom"/>
            <w:shd w:val="clear" w:color="auto" w:fill="EAF9E8"/>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(1,063,180)</w:t>
            </w:r>
          </w:p>
        </w:tc>
        <w:tc>
          <w:tcPr>
            <w:tcW w:w="3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Arial" w:cs="Arial" w:eastAsia="Arial" w:hAnsi="Arial"/>
                <w:sz w:val="18"/>
                <w:szCs w:val="18"/>
                <w:color w:val="auto"/>
              </w:rPr>
              <w:t>Mortgage servicing rights</w:t>
            </w:r>
          </w:p>
        </w:tc>
        <w:tc>
          <w:tcPr>
            <w:tcW w:w="28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(84,324)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(12,810)</w:t>
            </w:r>
          </w:p>
        </w:tc>
        <w:tc>
          <w:tcPr>
            <w:tcW w:w="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(7,957)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Premises and equipment</w:t>
            </w:r>
          </w:p>
        </w:tc>
        <w:tc>
          <w:tcPr>
            <w:tcW w:w="28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(6,728)</w:t>
            </w:r>
          </w:p>
        </w:tc>
        <w:tc>
          <w:tcPr>
            <w:tcW w:w="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(1,174,999)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Fair value of liabilities assumed</w:t>
            </w: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9,326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480"/>
              <w:spacing w:after="0"/>
              <w:rPr>
                <w:sz w:val="20"/>
                <w:szCs w:val="20"/>
                <w:color w:val="auto"/>
              </w:rPr>
            </w:pPr>
            <w:r>
              <w:rPr>
                <w:rFonts w:ascii="Arial" w:cs="Arial" w:eastAsia="Arial" w:hAnsi="Arial"/>
                <w:sz w:val="18"/>
                <w:szCs w:val="18"/>
                <w:color w:val="auto"/>
              </w:rPr>
              <w:t>Total consideration</w:t>
            </w:r>
          </w:p>
        </w:tc>
        <w:tc>
          <w:tcPr>
            <w:tcW w:w="28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(1,165,673)</w:t>
            </w:r>
          </w:p>
        </w:tc>
        <w:tc>
          <w:tcPr>
            <w:tcW w:w="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Amount due from seller for purchase price adjustments</w:t>
            </w:r>
          </w:p>
        </w:tc>
        <w:tc>
          <w:tcPr>
            <w:tcW w:w="28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Cash paid</w:t>
            </w:r>
          </w:p>
        </w:tc>
        <w:tc>
          <w:tcPr>
            <w:tcW w:w="28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(1,167,122)</w:t>
            </w:r>
          </w:p>
        </w:tc>
        <w:tc>
          <w:tcPr>
            <w:tcW w:w="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Less cash acquired</w:t>
            </w:r>
          </w:p>
        </w:tc>
        <w:tc>
          <w:tcPr>
            <w:tcW w:w="28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Net cash paid</w:t>
            </w:r>
          </w:p>
        </w:tc>
        <w:tc>
          <w:tcPr>
            <w:tcW w:w="280" w:type="dxa"/>
            <w:vAlign w:val="bottom"/>
            <w:shd w:val="clear" w:color="auto" w:fill="EAF9E8"/>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(1,167,122)</w:t>
            </w:r>
          </w:p>
        </w:tc>
        <w:tc>
          <w:tcPr>
            <w:tcW w:w="3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70" w:name="page71"/>
    <w:bookmarkEnd w:id="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w:t>
      </w:r>
    </w:p>
    <w:p>
      <w:pPr>
        <w:spacing w:after="0" w:line="20" w:lineRule="exact"/>
        <w:rPr>
          <w:sz w:val="20"/>
          <w:szCs w:val="20"/>
          <w:color w:val="auto"/>
        </w:rPr>
      </w:pPr>
      <w:r>
        <w:rPr>
          <w:sz w:val="20"/>
          <w:szCs w:val="20"/>
          <w:color w:val="auto"/>
        </w:rPr>
        <w:br w:type="column"/>
      </w:r>
    </w:p>
    <w:p>
      <w:pPr>
        <w:ind w:left="188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DECEMBER 31, 2010, 2009 AND 2008</w:t>
      </w:r>
    </w:p>
    <w:p>
      <w:pPr>
        <w:spacing w:after="0" w:line="225"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00" w:lineRule="exact"/>
        <w:rPr>
          <w:sz w:val="20"/>
          <w:szCs w:val="20"/>
          <w:color w:val="auto"/>
        </w:rPr>
      </w:pPr>
    </w:p>
    <w:p>
      <w:pPr>
        <w:sectPr>
          <w:pgSz w:w="11900" w:h="16838" w:orient="portrait"/>
          <w:cols w:equalWidth="0" w:num="2">
            <w:col w:w="660" w:space="720"/>
            <w:col w:w="10040"/>
          </w:cols>
          <w:pgMar w:left="240" w:top="486" w:right="239" w:bottom="144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Organization</w:t>
      </w:r>
    </w:p>
    <w:p>
      <w:pPr>
        <w:sectPr>
          <w:pgSz w:w="11900" w:h="16838" w:orient="portrait"/>
          <w:cols w:equalWidth="0" w:num="1">
            <w:col w:w="11420"/>
          </w:cols>
          <w:pgMar w:left="240" w:top="486" w:right="239" w:bottom="1440" w:gutter="0" w:footer="0" w:header="0"/>
          <w:type w:val="continuous"/>
        </w:sectPr>
      </w:pPr>
    </w:p>
    <w:p>
      <w:pPr>
        <w:spacing w:after="0" w:line="252" w:lineRule="exact"/>
        <w:rPr>
          <w:sz w:val="20"/>
          <w:szCs w:val="20"/>
          <w:color w:val="auto"/>
        </w:rPr>
      </w:pPr>
    </w:p>
    <w:p>
      <w:pPr>
        <w:ind w:right="60" w:firstLine="486"/>
        <w:spacing w:after="0" w:line="302" w:lineRule="auto"/>
        <w:rPr>
          <w:sz w:val="20"/>
          <w:szCs w:val="20"/>
          <w:color w:val="auto"/>
        </w:rPr>
      </w:pPr>
      <w:r>
        <w:rPr>
          <w:rFonts w:ascii="Arial" w:cs="Arial" w:eastAsia="Arial" w:hAnsi="Arial"/>
          <w:sz w:val="16"/>
          <w:szCs w:val="16"/>
          <w:color w:val="auto"/>
        </w:rPr>
        <w:t>Ocwen Financial Corporation (Ocwen or OCN), through its subsidiaries, is a leading provider of residential and commercial mortgage loan servicing, special servicing and asset management services. Ocwen is headquartered in Atlanta, Georgia with offices in West Palm Beach, Florida, Orlando, Florida, the District of Columbia and support operations in India and Uruguay. OCN is a Florida corporation organized in February 1988. Ocwen Loan Servicing, LLC (OLS), a wholly-owned subsidiary of Ocwen, is a licensed mortgage servicer in all 50 states, the District of Columbia and two U.S. territories.</w:t>
      </w:r>
    </w:p>
    <w:p>
      <w:pPr>
        <w:spacing w:after="0" w:line="154" w:lineRule="exact"/>
        <w:rPr>
          <w:sz w:val="20"/>
          <w:szCs w:val="20"/>
          <w:color w:val="auto"/>
        </w:rPr>
      </w:pPr>
    </w:p>
    <w:p>
      <w:pPr>
        <w:ind w:right="360" w:firstLine="656"/>
        <w:spacing w:after="0" w:line="302" w:lineRule="auto"/>
        <w:rPr>
          <w:sz w:val="20"/>
          <w:szCs w:val="20"/>
          <w:color w:val="auto"/>
        </w:rPr>
      </w:pPr>
      <w:r>
        <w:rPr>
          <w:rFonts w:ascii="Arial" w:cs="Arial" w:eastAsia="Arial" w:hAnsi="Arial"/>
          <w:sz w:val="16"/>
          <w:szCs w:val="16"/>
          <w:color w:val="auto"/>
        </w:rPr>
        <w:t>At December 31, 2010, Ocwen owned all of the outstanding stock of its primary subsidiaries: OLS; Ocwen Financial Solutions, Private Limited (OFSPL); and Investors Mortgage Insurance Holding Company. OCN also holds a 25% interest in Ocwen Structured Investments, LLC (OSI) and an approximate 25% interest in Ocwen Nonperforming Loans, LLC (ONL) and Ocwen REO, LLC (OREO). While OCN continues to own 70% of Global Servicing Solutions, LLC (GSS) with the remaining 30% interest held by ML IBK Positions, Inc., GSS has no material operations and no material assets.</w:t>
      </w:r>
    </w:p>
    <w:p>
      <w:pPr>
        <w:spacing w:after="0" w:line="154" w:lineRule="exact"/>
        <w:rPr>
          <w:sz w:val="20"/>
          <w:szCs w:val="20"/>
          <w:color w:val="auto"/>
        </w:rPr>
      </w:pPr>
    </w:p>
    <w:p>
      <w:pPr>
        <w:ind w:right="60" w:firstLine="666"/>
        <w:spacing w:after="0" w:line="257" w:lineRule="auto"/>
        <w:rPr>
          <w:sz w:val="20"/>
          <w:szCs w:val="20"/>
          <w:color w:val="auto"/>
        </w:rPr>
      </w:pPr>
      <w:r>
        <w:rPr>
          <w:rFonts w:ascii="Arial" w:cs="Arial" w:eastAsia="Arial" w:hAnsi="Arial"/>
          <w:sz w:val="18"/>
          <w:szCs w:val="18"/>
          <w:color w:val="auto"/>
        </w:rPr>
        <w:t>Ocwen also holds a 45% interest in BHI Liquidation, Inc. (BHI, formerly BMS Holdings, Inc. which changed its name to BHI Liquidation, Inc. on October 15, 2010). BHI no longer owns any interest in Bankruptcy Management Solutions, Inc. (BMS). The stock of BMS was transferred to debt holders on October 1, 2010 as part of a restructuring plan. Ocwen no longer has a business relationship with BMS or its affiliates. Following the restructuring, BHI has no assets or operations. BHI had acquired BMS on July 31, 2006. Effective with the second quarter of 2008, we have carried our investment in BHI at zero and have not recognized any income or losses.</w:t>
      </w:r>
    </w:p>
    <w:p>
      <w:pPr>
        <w:spacing w:after="0" w:line="188" w:lineRule="exact"/>
        <w:rPr>
          <w:sz w:val="20"/>
          <w:szCs w:val="20"/>
          <w:color w:val="auto"/>
        </w:rPr>
      </w:pPr>
    </w:p>
    <w:p>
      <w:pPr>
        <w:ind w:right="40" w:firstLine="666"/>
        <w:spacing w:after="0" w:line="254" w:lineRule="auto"/>
        <w:rPr>
          <w:sz w:val="20"/>
          <w:szCs w:val="20"/>
          <w:color w:val="auto"/>
        </w:rPr>
      </w:pPr>
      <w:r>
        <w:rPr>
          <w:rFonts w:ascii="Arial" w:cs="Arial" w:eastAsia="Arial" w:hAnsi="Arial"/>
          <w:sz w:val="18"/>
          <w:szCs w:val="18"/>
          <w:color w:val="auto"/>
        </w:rPr>
        <w:t>On August 10, 2009, we completed the distribution of our Ocwen Solutions line of business, except for BMS Holdings and GSS, via the spin-off of a separate publicly-traded company, Altisource Portfolio Solutions S.A. (Altisource). Altisource common stock is listed on the NASDAQ market under the ticker symbol “ASPS.” We distributed all of the shares of Altisource common stock to OCN’s shareholders of record as of August 4, 2009 (the Separation). We eliminated the assets and liabilities of Altisource from our Consolidated Balance Sheet effective at the close of business on August 9, 2009. Beginning August 10, 2009, the operating results of Altisource are no longer included in our operating results. We do not report the historical operating resul ts of Altisource as a discontinued operation because of the significance of the continuing involvement between Altisource and Ocwen under the long-term services agreements described in Note 30. Accordingly, for periods prior to August 10, 2009, the historical operating results of Altisource are presented in continuing operations.</w:t>
      </w:r>
    </w:p>
    <w:p>
      <w:pPr>
        <w:spacing w:after="0" w:line="192" w:lineRule="exact"/>
        <w:rPr>
          <w:sz w:val="20"/>
          <w:szCs w:val="20"/>
          <w:color w:val="auto"/>
        </w:rPr>
      </w:pPr>
    </w:p>
    <w:p>
      <w:pPr>
        <w:ind w:right="40" w:firstLine="666"/>
        <w:spacing w:after="0" w:line="259" w:lineRule="auto"/>
        <w:rPr>
          <w:sz w:val="20"/>
          <w:szCs w:val="20"/>
          <w:color w:val="auto"/>
        </w:rPr>
      </w:pPr>
      <w:r>
        <w:rPr>
          <w:rFonts w:ascii="Arial" w:cs="Arial" w:eastAsia="Arial" w:hAnsi="Arial"/>
          <w:sz w:val="18"/>
          <w:szCs w:val="18"/>
          <w:color w:val="auto"/>
        </w:rPr>
        <w:t>On September 1, 2010, Ocwen, through OLS, completed its acquisition (the “HomEq Acquisition”) of the U.S. non-prime mortgage servicing business known as “HomEq Servicing” including, but not limited to, the mortgage servicing rights and associated servicer advances of the business as well as the servicing platforms based in Sacramento, California and Raleigh, North Carolina. See Note 2 for additional information regarding the HomEq Acquisition.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jc w:val="both"/>
        <w:ind w:firstLine="666"/>
        <w:spacing w:after="0" w:line="286" w:lineRule="auto"/>
        <w:rPr>
          <w:sz w:val="20"/>
          <w:szCs w:val="20"/>
          <w:color w:val="auto"/>
        </w:rPr>
      </w:pPr>
      <w:r>
        <w:rPr>
          <w:rFonts w:ascii="Arial" w:cs="Arial" w:eastAsia="Arial" w:hAnsi="Arial"/>
          <w:sz w:val="17"/>
          <w:szCs w:val="17"/>
          <w:color w:val="auto"/>
        </w:rPr>
        <w:t>Our financial statements include the accounts of OCN and its majority-owned subsidiaries. We apply the equity method of accounting to investments when the entity is not a variable interest entity (VIE) and we are able to exercise significant influence, but not control, over the policies and procedures of the entity but own less than 50% of the voting securities. We have eliminated intercompany accounts and transactions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225" w:lineRule="exact"/>
        <w:rPr>
          <w:sz w:val="20"/>
          <w:szCs w:val="20"/>
          <w:color w:val="auto"/>
        </w:rPr>
      </w:pPr>
    </w:p>
    <w:p>
      <w:pPr>
        <w:ind w:right="60" w:firstLine="663"/>
        <w:spacing w:after="0" w:line="277" w:lineRule="auto"/>
        <w:rPr>
          <w:sz w:val="20"/>
          <w:szCs w:val="20"/>
          <w:color w:val="auto"/>
        </w:rPr>
      </w:pPr>
      <w:r>
        <w:rPr>
          <w:rFonts w:ascii="Arial" w:cs="Arial" w:eastAsia="Arial" w:hAnsi="Arial"/>
          <w:sz w:val="18"/>
          <w:szCs w:val="18"/>
          <w:color w:val="auto"/>
        </w:rPr>
        <w:t>We evaluate each special purpose entity (SPE) for classification as a VIE. When an SPE meets the definition of a VIE and we determine that Ocwen is the primary beneficiary, we include the SPE in our consolidated financial statements.</w:t>
      </w:r>
    </w:p>
    <w:p>
      <w:pPr>
        <w:spacing w:after="0" w:line="170" w:lineRule="exact"/>
        <w:rPr>
          <w:sz w:val="20"/>
          <w:szCs w:val="20"/>
          <w:color w:val="auto"/>
        </w:rPr>
      </w:pPr>
    </w:p>
    <w:p>
      <w:pPr>
        <w:jc w:val="both"/>
        <w:ind w:right="180" w:firstLine="663"/>
        <w:spacing w:after="0" w:line="264" w:lineRule="auto"/>
        <w:rPr>
          <w:sz w:val="20"/>
          <w:szCs w:val="20"/>
          <w:color w:val="auto"/>
        </w:rPr>
      </w:pPr>
      <w:r>
        <w:rPr>
          <w:rFonts w:ascii="Arial" w:cs="Arial" w:eastAsia="Arial" w:hAnsi="Arial"/>
          <w:sz w:val="18"/>
          <w:szCs w:val="18"/>
          <w:color w:val="auto"/>
        </w:rPr>
        <w:t>We have determined that the SPEs created in connection with the match funded financing facilities discussed below are VIEs of which we are the primary beneficiary. We have also determined that we are the primary beneficiary for certain residential mortgage loan securitization trusts. The accounts of these SPEs are included in our consolidated financial statements.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i w:val="1"/>
          <w:iCs w:val="1"/>
          <w:color w:val="auto"/>
        </w:rPr>
        <w:t>Securitizations or Asset Backed Financing Arrangements</w:t>
      </w:r>
    </w:p>
    <w:p>
      <w:pPr>
        <w:spacing w:after="0" w:line="225" w:lineRule="exact"/>
        <w:rPr>
          <w:sz w:val="20"/>
          <w:szCs w:val="20"/>
          <w:color w:val="auto"/>
        </w:rPr>
      </w:pPr>
    </w:p>
    <w:p>
      <w:pPr>
        <w:ind w:right="260" w:firstLine="666"/>
        <w:spacing w:after="0" w:line="286" w:lineRule="auto"/>
        <w:rPr>
          <w:sz w:val="20"/>
          <w:szCs w:val="20"/>
          <w:color w:val="auto"/>
        </w:rPr>
      </w:pPr>
      <w:r>
        <w:rPr>
          <w:rFonts w:ascii="Arial" w:cs="Arial" w:eastAsia="Arial" w:hAnsi="Arial"/>
          <w:sz w:val="17"/>
          <w:szCs w:val="17"/>
          <w:color w:val="auto"/>
        </w:rPr>
        <w:t>Ocwen or its subsidiaries have been a transferor in connection with a number of securitizations or asset-backed financing arrangements. As of January 1, 2010, we had continuing involvement with the financial assets of eight of these securitizations or asset-backed financing arrangements. We also hold residual interests in and are the servicer for three securitizations where we were not a transferor.</w:t>
      </w:r>
    </w:p>
    <w:p>
      <w:pPr>
        <w:spacing w:after="0" w:line="166" w:lineRule="exact"/>
        <w:rPr>
          <w:sz w:val="20"/>
          <w:szCs w:val="20"/>
          <w:color w:val="auto"/>
        </w:rPr>
      </w:pPr>
    </w:p>
    <w:p>
      <w:pPr>
        <w:ind w:right="60" w:firstLine="663"/>
        <w:spacing w:after="0" w:line="277" w:lineRule="auto"/>
        <w:rPr>
          <w:sz w:val="20"/>
          <w:szCs w:val="20"/>
          <w:color w:val="auto"/>
        </w:rPr>
      </w:pPr>
      <w:r>
        <w:rPr>
          <w:rFonts w:ascii="Arial" w:cs="Arial" w:eastAsia="Arial" w:hAnsi="Arial"/>
          <w:sz w:val="18"/>
          <w:szCs w:val="18"/>
          <w:color w:val="auto"/>
        </w:rPr>
        <w:t>We have aggregated these securitizations and asset-backed financing arrangements into two groups: (1) securitizations of residential mortgage loans and (2) financings of advances on loans serviced for others.</w:t>
      </w:r>
    </w:p>
    <w:p>
      <w:pPr>
        <w:spacing w:after="0" w:line="170" w:lineRule="exact"/>
        <w:rPr>
          <w:sz w:val="20"/>
          <w:szCs w:val="20"/>
          <w:color w:val="auto"/>
        </w:rPr>
      </w:pPr>
    </w:p>
    <w:p>
      <w:pPr>
        <w:ind w:right="20" w:firstLine="666"/>
        <w:spacing w:after="0" w:line="259" w:lineRule="auto"/>
        <w:rPr>
          <w:sz w:val="20"/>
          <w:szCs w:val="20"/>
          <w:color w:val="auto"/>
        </w:rPr>
      </w:pPr>
      <w:r>
        <w:rPr>
          <w:rFonts w:ascii="Arial" w:cs="Arial" w:eastAsia="Arial" w:hAnsi="Arial"/>
          <w:sz w:val="18"/>
          <w:szCs w:val="18"/>
          <w:i w:val="1"/>
          <w:iCs w:val="1"/>
          <w:color w:val="auto"/>
        </w:rPr>
        <w:t xml:space="preserve">Securitizations of Residential Mortgage Loans. </w:t>
      </w:r>
      <w:r>
        <w:rPr>
          <w:rFonts w:ascii="Arial" w:cs="Arial" w:eastAsia="Arial" w:hAnsi="Arial"/>
          <w:sz w:val="18"/>
          <w:szCs w:val="18"/>
          <w:color w:val="auto"/>
        </w:rPr>
        <w:t>In prior years, we securitized residential mortgage loans using certain trusts. These transactions were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as sales even though we continued to be involved with the trusts, typically by acting as the servicer or sub-servicer for the loans held by the trust and by retaining a beneficial ownership interest in the trust. The beneficial interests we held consisted of both subordinate and residual securities that were either retained at the time of the securitization or acquired subsequently.</w:t>
      </w:r>
    </w:p>
    <w:p>
      <w:pPr>
        <w:spacing w:after="0" w:line="187" w:lineRule="exact"/>
        <w:rPr>
          <w:sz w:val="20"/>
          <w:szCs w:val="20"/>
          <w:color w:val="auto"/>
        </w:rPr>
      </w:pPr>
    </w:p>
    <w:p>
      <w:pPr>
        <w:ind w:right="40" w:firstLine="656"/>
        <w:spacing w:after="0" w:line="279" w:lineRule="auto"/>
        <w:rPr>
          <w:sz w:val="20"/>
          <w:szCs w:val="20"/>
          <w:color w:val="auto"/>
        </w:rPr>
      </w:pPr>
      <w:r>
        <w:rPr>
          <w:rFonts w:ascii="Arial" w:cs="Arial" w:eastAsia="Arial" w:hAnsi="Arial"/>
          <w:sz w:val="17"/>
          <w:szCs w:val="17"/>
          <w:color w:val="auto"/>
        </w:rPr>
        <w:t>As a result of our adoption of Accounting Standards Update (ASU) No. 2009-16 (Accounting Standards Codification (ASC) 860, Transfers and Servicing) and ASU 2009-17 (ASC 810, Consolidation), we have included four of these trusts in our consolidated financial statements. For each of these four trusts, we have determined that our involvement represents a variable interest and that we are the primary beneficiary. Our involvement with each of the remaining trusts does not represent a variable interest are therefore we exclude them from our consolidated financial statements.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We have determined that Ocwen is the primary beneficiary of the four consolidated securitization trusts because:</w:t>
      </w:r>
    </w:p>
    <w:p>
      <w:pPr>
        <w:spacing w:after="0" w:line="225" w:lineRule="exact"/>
        <w:rPr>
          <w:sz w:val="20"/>
          <w:szCs w:val="20"/>
          <w:color w:val="auto"/>
        </w:rPr>
      </w:pPr>
    </w:p>
    <w:p>
      <w:pPr>
        <w:ind w:left="1160" w:right="380" w:hanging="585"/>
        <w:spacing w:after="0" w:line="277" w:lineRule="auto"/>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 the servicer we have the right to direct the activities that most significantly impact the economic performance of the trusts through our ability to manage the delinquent assets of the trusts and</w:t>
      </w:r>
    </w:p>
    <w:p>
      <w:pPr>
        <w:spacing w:after="0" w:line="170" w:lineRule="exact"/>
        <w:rPr>
          <w:rFonts w:ascii="Arial" w:cs="Arial" w:eastAsia="Arial" w:hAnsi="Arial"/>
          <w:sz w:val="18"/>
          <w:szCs w:val="18"/>
          <w:color w:val="auto"/>
        </w:rPr>
      </w:pPr>
    </w:p>
    <w:p>
      <w:pPr>
        <w:ind w:left="1160" w:hanging="585"/>
        <w:spacing w:after="0" w:line="264" w:lineRule="auto"/>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 holder of all or a portion of the residual tranches of the securities issued by the trust, we have the obligation to absorb losses of the trusts, to the extent of the value of our investment, and the right to receive benefits from the trust both of which could potentially be significant to the trusts.</w:t>
      </w:r>
    </w:p>
    <w:p>
      <w:pPr>
        <w:spacing w:after="0" w:line="181" w:lineRule="exact"/>
        <w:rPr>
          <w:sz w:val="20"/>
          <w:szCs w:val="20"/>
          <w:color w:val="auto"/>
        </w:rPr>
      </w:pPr>
    </w:p>
    <w:p>
      <w:pPr>
        <w:ind w:right="80" w:firstLine="666"/>
        <w:spacing w:after="0" w:line="264" w:lineRule="auto"/>
        <w:rPr>
          <w:sz w:val="20"/>
          <w:szCs w:val="20"/>
          <w:color w:val="auto"/>
        </w:rPr>
      </w:pPr>
      <w:r>
        <w:rPr>
          <w:rFonts w:ascii="Arial" w:cs="Arial" w:eastAsia="Arial" w:hAnsi="Arial"/>
          <w:sz w:val="18"/>
          <w:szCs w:val="18"/>
          <w:color w:val="auto"/>
        </w:rPr>
        <w:t>Upon adoption of ASU 2009-17 (ASC 810, Consolidation) on January 1, 2010 we began consolidating the four trusts and recorded a $75,506 increase in total assets, a $73,232 increase in liabilities and a $2,274 increase in the opening balance of retained earnings. Included in these amounts were the following transition adjustments:</w:t>
      </w:r>
    </w:p>
    <w:p>
      <w:pPr>
        <w:spacing w:after="0" w:line="181" w:lineRule="exact"/>
        <w:rPr>
          <w:sz w:val="20"/>
          <w:szCs w:val="20"/>
          <w:color w:val="auto"/>
        </w:rPr>
      </w:pPr>
    </w:p>
    <w:p>
      <w:pPr>
        <w:ind w:left="1160" w:hanging="571"/>
        <w:spacing w:after="0"/>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Consolidation of $1,755 of cash held by the trusts (Restricted cash – for securitization investors);</w:t>
      </w:r>
    </w:p>
    <w:p>
      <w:pPr>
        <w:spacing w:after="0" w:line="225" w:lineRule="exact"/>
        <w:rPr>
          <w:rFonts w:ascii="Arial" w:cs="Arial" w:eastAsia="Arial" w:hAnsi="Arial"/>
          <w:sz w:val="18"/>
          <w:szCs w:val="18"/>
          <w:color w:val="auto"/>
        </w:rPr>
      </w:pPr>
    </w:p>
    <w:p>
      <w:pPr>
        <w:ind w:left="1160" w:right="700" w:hanging="571"/>
        <w:spacing w:after="0" w:line="277" w:lineRule="auto"/>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Consolidation of loans held by the trust with an unpaid principal balance (UPB) of $77,939 (Loans, net – restricted for securitization investors), including $14,780 of non-performing collateral;</w:t>
      </w:r>
    </w:p>
    <w:p>
      <w:pPr>
        <w:spacing w:after="0" w:line="170" w:lineRule="exact"/>
        <w:rPr>
          <w:rFonts w:ascii="Arial" w:cs="Arial" w:eastAsia="Arial" w:hAnsi="Arial"/>
          <w:sz w:val="18"/>
          <w:szCs w:val="18"/>
          <w:color w:val="auto"/>
        </w:rPr>
      </w:pPr>
    </w:p>
    <w:p>
      <w:pPr>
        <w:ind w:left="1160" w:hanging="571"/>
        <w:spacing w:after="0"/>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Recording of an allowance for loan losses of $4,461, not previously required, for the newly consolidated loans;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Consolidation of $2,346 of real estate owned from the trusts (included in Other assets);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Consolidation of $72,918 of certificates issued by the trusts (Secured borrowings – owed to securitization investors);</w:t>
      </w:r>
    </w:p>
    <w:p>
      <w:pPr>
        <w:spacing w:after="0" w:line="225" w:lineRule="exact"/>
        <w:rPr>
          <w:rFonts w:ascii="Arial" w:cs="Arial" w:eastAsia="Arial" w:hAnsi="Arial"/>
          <w:sz w:val="18"/>
          <w:szCs w:val="18"/>
          <w:color w:val="auto"/>
        </w:rPr>
      </w:pPr>
    </w:p>
    <w:p>
      <w:pPr>
        <w:ind w:left="1160" w:right="160" w:hanging="571"/>
        <w:spacing w:after="0" w:line="277" w:lineRule="auto"/>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Elimination of our $3,634 investment in trading securities that were issued by the newly consolidated trusts against $867 of the face amount of the related certificates and retained earnings;</w:t>
      </w:r>
    </w:p>
    <w:p>
      <w:pPr>
        <w:spacing w:after="0" w:line="170" w:lineRule="exact"/>
        <w:rPr>
          <w:rFonts w:ascii="Arial" w:cs="Arial" w:eastAsia="Arial" w:hAnsi="Arial"/>
          <w:sz w:val="18"/>
          <w:szCs w:val="18"/>
          <w:color w:val="auto"/>
        </w:rPr>
      </w:pPr>
    </w:p>
    <w:p>
      <w:pPr>
        <w:ind w:left="1160" w:right="400" w:hanging="571"/>
        <w:spacing w:after="0" w:line="277" w:lineRule="auto"/>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Recording of net deferred tax assets of $1,561, principally related to establishing an allowance for loan losses for the newly consolidated loans; and</w:t>
      </w:r>
    </w:p>
    <w:p>
      <w:pPr>
        <w:spacing w:after="0" w:line="170" w:lineRule="exact"/>
        <w:rPr>
          <w:rFonts w:ascii="Arial" w:cs="Arial" w:eastAsia="Arial" w:hAnsi="Arial"/>
          <w:sz w:val="18"/>
          <w:szCs w:val="18"/>
          <w:color w:val="auto"/>
        </w:rPr>
      </w:pPr>
    </w:p>
    <w:p>
      <w:pPr>
        <w:ind w:left="1160" w:right="140" w:hanging="571"/>
        <w:spacing w:after="0" w:line="277" w:lineRule="auto"/>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Recording of $1,181 of other liabilities representing accrued interest payable and the fair value of interest rate swap instruments entered into by one of the consolidated trusts.</w:t>
      </w:r>
    </w:p>
    <w:p>
      <w:pPr>
        <w:spacing w:after="0" w:line="170" w:lineRule="exact"/>
        <w:rPr>
          <w:sz w:val="20"/>
          <w:szCs w:val="20"/>
          <w:color w:val="auto"/>
        </w:rPr>
      </w:pPr>
    </w:p>
    <w:p>
      <w:pPr>
        <w:ind w:right="280" w:firstLine="666"/>
        <w:spacing w:after="0" w:line="264" w:lineRule="auto"/>
        <w:rPr>
          <w:sz w:val="20"/>
          <w:szCs w:val="20"/>
          <w:color w:val="auto"/>
        </w:rPr>
      </w:pPr>
      <w:r>
        <w:rPr>
          <w:rFonts w:ascii="Arial" w:cs="Arial" w:eastAsia="Arial" w:hAnsi="Arial"/>
          <w:sz w:val="18"/>
          <w:szCs w:val="18"/>
          <w:color w:val="auto"/>
        </w:rPr>
        <w:t>For the year ended December 31, 2010, the four consolidated trusts generated income from continuing operations before income taxes of $1,388. The consolidation of the four trusts on January 1, 2010 did not affect Cash and, therefore, the transition adjustments are not reported in the Consolidated Statement of Cash Flows.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72" w:name="page73"/>
    <w:bookmarkEnd w:id="72"/>
    <w:p>
      <w:pPr>
        <w:ind w:right="500" w:firstLine="666"/>
        <w:spacing w:after="0" w:line="264" w:lineRule="auto"/>
        <w:rPr>
          <w:sz w:val="20"/>
          <w:szCs w:val="20"/>
          <w:color w:val="auto"/>
        </w:rPr>
      </w:pPr>
      <w:r>
        <w:rPr>
          <w:rFonts w:ascii="Arial" w:cs="Arial" w:eastAsia="Arial" w:hAnsi="Arial"/>
          <w:sz w:val="18"/>
          <w:szCs w:val="18"/>
          <w:color w:val="auto"/>
        </w:rPr>
        <w:t>Our Consolidated Statements of Operations for 2009 and 2008 and our Consolidated Balance Sheet at December 31, 2009 have not been retroactively adjusted to reflect the effect of our adoption of ASU 2009-16 and ASU 2009-17. Therefore, current period results and balances will not be comparable to prior period amounts particularly with regard to the following financial statement line items:</w:t>
      </w:r>
    </w:p>
    <w:p>
      <w:pPr>
        <w:spacing w:after="0" w:line="181" w:lineRule="exact"/>
        <w:rPr>
          <w:sz w:val="20"/>
          <w:szCs w:val="20"/>
          <w:color w:val="auto"/>
        </w:rPr>
      </w:pPr>
    </w:p>
    <w:p>
      <w:pPr>
        <w:ind w:left="1160" w:hanging="571"/>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Trading securities (Subordinates and residuals)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Loans, net – restricted for securitization investors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Deferred tax assets, net</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Secured borrowings – owed to securitization investors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Interest income</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Interest expense</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Gain (loss) on trading securities</w:t>
      </w:r>
    </w:p>
    <w:p>
      <w:pPr>
        <w:spacing w:after="0" w:line="225" w:lineRule="exact"/>
        <w:rPr>
          <w:sz w:val="20"/>
          <w:szCs w:val="20"/>
          <w:color w:val="auto"/>
        </w:rPr>
      </w:pPr>
    </w:p>
    <w:p>
      <w:pPr>
        <w:ind w:right="140" w:firstLine="666"/>
        <w:spacing w:after="0" w:line="277" w:lineRule="auto"/>
        <w:rPr>
          <w:sz w:val="20"/>
          <w:szCs w:val="20"/>
          <w:color w:val="auto"/>
        </w:rPr>
      </w:pPr>
      <w:r>
        <w:rPr>
          <w:rFonts w:ascii="Arial" w:cs="Arial" w:eastAsia="Arial" w:hAnsi="Arial"/>
          <w:sz w:val="18"/>
          <w:szCs w:val="18"/>
          <w:color w:val="auto"/>
        </w:rPr>
        <w:t>Beginning January 1, 2010, interest income on the securities that we hold that were issued by the securitization trusts is eliminated in consolidation against the interest expense of the trusts.</w:t>
      </w:r>
    </w:p>
    <w:p>
      <w:pPr>
        <w:spacing w:after="0" w:line="170" w:lineRule="exact"/>
        <w:rPr>
          <w:sz w:val="20"/>
          <w:szCs w:val="20"/>
          <w:color w:val="auto"/>
        </w:rPr>
      </w:pPr>
    </w:p>
    <w:p>
      <w:pPr>
        <w:ind w:right="20" w:firstLine="663"/>
        <w:spacing w:after="0" w:line="302" w:lineRule="auto"/>
        <w:rPr>
          <w:sz w:val="20"/>
          <w:szCs w:val="20"/>
          <w:color w:val="auto"/>
        </w:rPr>
      </w:pPr>
      <w:r>
        <w:rPr>
          <w:rFonts w:ascii="Arial" w:cs="Arial" w:eastAsia="Arial" w:hAnsi="Arial"/>
          <w:sz w:val="16"/>
          <w:szCs w:val="16"/>
          <w:color w:val="auto"/>
        </w:rPr>
        <w:t>The following table presents a summary of the involvement of Ocwen with unconsolidated securitization trusts and summary financial information for the trusts where we are the transferor and hold beneficial interests. Although we are the servicer for these trusts, the residual interests that we hold in these entities have no value and no potential return of significant cash flows. As a result, we are exposed to no loss from these holdings. Further, since our valuation of the residual interest is based on anticipated cash flows, we are unlikely to receive any future benefits from our residual interests in these trusts.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 (1)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Total cash received on beneficial interests held</w:t>
            </w:r>
          </w:p>
        </w:tc>
        <w:tc>
          <w:tcPr>
            <w:tcW w:w="200" w:type="dxa"/>
            <w:vAlign w:val="bottom"/>
            <w:shd w:val="clear" w:color="auto" w:fill="EAF9E8"/>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2,600</w:t>
            </w:r>
          </w:p>
        </w:tc>
        <w:tc>
          <w:tcPr>
            <w:tcW w:w="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3,324</w:t>
            </w:r>
          </w:p>
        </w:tc>
      </w:tr>
      <w:tr>
        <w:trPr>
          <w:trHeight w:val="230"/>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Total servicing and subservicing fee revenues</w:t>
            </w:r>
          </w:p>
        </w:tc>
        <w:tc>
          <w:tcPr>
            <w:tcW w:w="2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3,633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4,509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5,581</w:t>
            </w:r>
          </w:p>
        </w:tc>
      </w:tr>
      <w:tr>
        <w:trPr>
          <w:trHeight w:val="425"/>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40" w:type="dxa"/>
            <w:vAlign w:val="bottom"/>
            <w:gridSpan w:val="6"/>
          </w:tcPr>
          <w:p>
            <w:pPr>
              <w:ind w:left="50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 (1)</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Total servicing advances</w:t>
            </w:r>
          </w:p>
        </w:tc>
        <w:tc>
          <w:tcPr>
            <w:tcW w:w="2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440" w:type="dxa"/>
            <w:vAlign w:val="bottom"/>
            <w:gridSpan w:val="3"/>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16,886</w:t>
            </w:r>
          </w:p>
        </w:tc>
        <w:tc>
          <w:tcPr>
            <w:tcW w:w="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21,715</w:t>
            </w: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Total beneficial interests held at fair value (2)</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1,327</w:t>
            </w: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Total mortgage servicing rights at amortized cost</w:t>
            </w:r>
          </w:p>
        </w:tc>
        <w:tc>
          <w:tcPr>
            <w:tcW w:w="2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1,330</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1,659</w:t>
            </w:r>
          </w:p>
        </w:tc>
      </w:tr>
    </w:tbl>
    <w:p>
      <w:pPr>
        <w:spacing w:after="0" w:line="200" w:lineRule="exact"/>
        <w:rPr>
          <w:sz w:val="20"/>
          <w:szCs w:val="20"/>
          <w:color w:val="auto"/>
        </w:rPr>
      </w:pPr>
    </w:p>
    <w:p>
      <w:pPr>
        <w:spacing w:after="0" w:line="218" w:lineRule="exact"/>
        <w:rPr>
          <w:sz w:val="20"/>
          <w:szCs w:val="20"/>
          <w:color w:val="auto"/>
        </w:rPr>
      </w:pPr>
    </w:p>
    <w:p>
      <w:pPr>
        <w:ind w:left="580" w:hanging="572"/>
        <w:spacing w:after="0"/>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Excludes the four consolidated trusts.</w:t>
      </w:r>
    </w:p>
    <w:p>
      <w:pPr>
        <w:spacing w:after="0" w:line="225" w:lineRule="exact"/>
        <w:rPr>
          <w:rFonts w:ascii="Arial" w:cs="Arial" w:eastAsia="Arial" w:hAnsi="Arial"/>
          <w:sz w:val="18"/>
          <w:szCs w:val="18"/>
          <w:color w:val="auto"/>
        </w:rPr>
      </w:pPr>
    </w:p>
    <w:p>
      <w:pPr>
        <w:ind w:left="580" w:right="100" w:hanging="572"/>
        <w:spacing w:after="0" w:line="277" w:lineRule="auto"/>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Includes investments in subordinate and residual securities that we retained in connection with the loan securitization transactions completed in prior years.</w:t>
      </w:r>
    </w:p>
    <w:p>
      <w:pPr>
        <w:spacing w:after="0" w:line="170" w:lineRule="exact"/>
        <w:rPr>
          <w:sz w:val="20"/>
          <w:szCs w:val="20"/>
          <w:color w:val="auto"/>
        </w:rPr>
      </w:pPr>
    </w:p>
    <w:p>
      <w:pPr>
        <w:ind w:firstLine="663"/>
        <w:spacing w:after="0" w:line="254" w:lineRule="auto"/>
        <w:rPr>
          <w:sz w:val="20"/>
          <w:szCs w:val="20"/>
          <w:color w:val="auto"/>
        </w:rPr>
      </w:pPr>
      <w:r>
        <w:rPr>
          <w:rFonts w:ascii="Arial" w:cs="Arial" w:eastAsia="Arial" w:hAnsi="Arial"/>
          <w:sz w:val="18"/>
          <w:szCs w:val="18"/>
          <w:color w:val="auto"/>
        </w:rPr>
        <w:t>With regard to both the consolidated and the unconsolidated securitization trusts, we have no obligation to provide financial support to the trusts and have provided no such support. The creditors of the trusts can look only to the assets of the trusts themselves for satisfaction of the debt and have no recourse against the assets of Ocwen. Similarly, the general creditors of Ocwen have no claim on the assets of the trusts. Our exposure to loss as a result of our continuing involvement is limited to the carrying values of our investments in the residual and subordinate securities of the trusts, our mortgage servicing rights that are related to the trusts and our advances to the trusts. We consider the probability of loss arising from our advances to be remote because of their position ahead of most of the other liabilities of the trusts. At December 31, 2010, our investment in the securities of the trusts was $2,691, all of which is eliminated in consolidation. See Note 4, Note 6, Note 7 and Note 9 for additional information regarding Trading securities, Advances, Match funded advances and Mortgage servicing rights.</w:t>
      </w:r>
    </w:p>
    <w:p>
      <w:pPr>
        <w:spacing w:after="0" w:line="192" w:lineRule="exact"/>
        <w:rPr>
          <w:sz w:val="20"/>
          <w:szCs w:val="20"/>
          <w:color w:val="auto"/>
        </w:rPr>
      </w:pPr>
    </w:p>
    <w:p>
      <w:pPr>
        <w:ind w:right="20" w:firstLine="666"/>
        <w:spacing w:after="0" w:line="270" w:lineRule="auto"/>
        <w:rPr>
          <w:sz w:val="20"/>
          <w:szCs w:val="20"/>
          <w:color w:val="auto"/>
        </w:rPr>
      </w:pPr>
      <w:r>
        <w:rPr>
          <w:rFonts w:ascii="Arial" w:cs="Arial" w:eastAsia="Arial" w:hAnsi="Arial"/>
          <w:sz w:val="17"/>
          <w:szCs w:val="17"/>
          <w:i w:val="1"/>
          <w:iCs w:val="1"/>
          <w:color w:val="auto"/>
        </w:rPr>
        <w:t xml:space="preserve">Match Funded Advances on Loans Serviced for Others. </w:t>
      </w:r>
      <w:r>
        <w:rPr>
          <w:rFonts w:ascii="Arial" w:cs="Arial" w:eastAsia="Arial" w:hAnsi="Arial"/>
          <w:sz w:val="17"/>
          <w:szCs w:val="17"/>
          <w:color w:val="auto"/>
        </w:rPr>
        <w:t>Match funded advances on loans serviced for others result from our transfers of residential</w:t>
      </w:r>
      <w:r>
        <w:rPr>
          <w:rFonts w:ascii="Arial" w:cs="Arial" w:eastAsia="Arial" w:hAnsi="Arial"/>
          <w:sz w:val="17"/>
          <w:szCs w:val="17"/>
          <w:i w:val="1"/>
          <w:iCs w:val="1"/>
          <w:color w:val="auto"/>
        </w:rPr>
        <w:t xml:space="preserve"> </w:t>
      </w:r>
      <w:r>
        <w:rPr>
          <w:rFonts w:ascii="Arial" w:cs="Arial" w:eastAsia="Arial" w:hAnsi="Arial"/>
          <w:sz w:val="17"/>
          <w:szCs w:val="17"/>
          <w:color w:val="auto"/>
        </w:rPr>
        <w:t>loan servicing advances to SPEs in exchange for cash. These SPEs issue debt supported by collections on the transferred advances. We made these transfers under the terms of five advance facility agreements, one of which we terminated in December 2010. These transfers do not qualify for sales accounting because we retain control over the transferred assets. As a result, we account for these transfers as financings and classify the transferred advances on our Consolidated Balance Sheet as Match funded advances and the related liabilities as Match funded liabilities . Collections on the advances pledged to the SPEs are used to repay principal and interest and to pay the expenses of the entity. Holders of the debt issued by these entities can look only to the assets of the entities themselves for satisfaction of the debt and have no recourse against OCN. However, OLS has guaranteed the payment of the obligations under the securitization documents of one of the entities, Ocwen Servicer Advance Funding (Wachovia), LLC (OSAFW). The maximum amount payable under the guarantee is limited to 10% of the notes outstanding at the end of the facility’s revolving period on May 5, 2011. As of December 31, 2010, OSAFW had $250,119 of notes outstanding.</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3" w:name="page74"/>
    <w:bookmarkEnd w:id="73"/>
    <w:p>
      <w:pPr>
        <w:ind w:left="680"/>
        <w:spacing w:after="0"/>
        <w:rPr>
          <w:sz w:val="20"/>
          <w:szCs w:val="20"/>
          <w:color w:val="auto"/>
        </w:rPr>
      </w:pPr>
      <w:r>
        <w:rPr>
          <w:rFonts w:ascii="Arial" w:cs="Arial" w:eastAsia="Arial" w:hAnsi="Arial"/>
          <w:sz w:val="16"/>
          <w:szCs w:val="16"/>
          <w:color w:val="auto"/>
        </w:rPr>
        <w:t>The following table summarizes the assets and liabilities of the SPEs formed in connection with our match funded advance facilities, at December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spacing w:after="0"/>
              <w:rPr>
                <w:sz w:val="20"/>
                <w:szCs w:val="20"/>
                <w:color w:val="auto"/>
              </w:rPr>
            </w:pPr>
            <w:r>
              <w:rPr>
                <w:rFonts w:ascii="Arial" w:cs="Arial" w:eastAsia="Arial" w:hAnsi="Arial"/>
                <w:sz w:val="18"/>
                <w:szCs w:val="18"/>
                <w:color w:val="auto"/>
              </w:rPr>
              <w:t>Match funded advances</w:t>
            </w:r>
          </w:p>
        </w:tc>
        <w:tc>
          <w:tcPr>
            <w:tcW w:w="260" w:type="dxa"/>
            <w:vAlign w:val="bottom"/>
            <w:shd w:val="clear" w:color="auto" w:fill="EAF9E8"/>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1,924,052</w:t>
            </w:r>
          </w:p>
        </w:tc>
        <w:tc>
          <w:tcPr>
            <w:tcW w:w="7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822,615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103,448</w:t>
            </w:r>
          </w:p>
        </w:tc>
        <w:tc>
          <w:tcPr>
            <w:tcW w:w="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EAF9E8"/>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2,027,500</w:t>
            </w:r>
          </w:p>
        </w:tc>
        <w:tc>
          <w:tcPr>
            <w:tcW w:w="7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841,958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4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4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EAF9E8"/>
          </w:tcPr>
          <w:p>
            <w:pPr>
              <w:spacing w:after="0"/>
              <w:rPr>
                <w:sz w:val="20"/>
                <w:szCs w:val="20"/>
                <w:color w:val="auto"/>
              </w:rPr>
            </w:pPr>
            <w:r>
              <w:rPr>
                <w:rFonts w:ascii="Arial" w:cs="Arial" w:eastAsia="Arial" w:hAnsi="Arial"/>
                <w:sz w:val="18"/>
                <w:szCs w:val="18"/>
                <w:color w:val="auto"/>
              </w:rPr>
              <w:t>Match funded liabilities</w:t>
            </w:r>
          </w:p>
        </w:tc>
        <w:tc>
          <w:tcPr>
            <w:tcW w:w="260" w:type="dxa"/>
            <w:vAlign w:val="bottom"/>
            <w:shd w:val="clear" w:color="auto" w:fill="EAF9E8"/>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1,482,529</w:t>
            </w:r>
          </w:p>
        </w:tc>
        <w:tc>
          <w:tcPr>
            <w:tcW w:w="7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465,691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Due to affiliates (1)</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262,900</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136,860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shd w:val="clear" w:color="auto" w:fill="EAF9E8"/>
          </w:tcPr>
          <w:p>
            <w:pPr>
              <w:spacing w:after="0"/>
              <w:rPr>
                <w:sz w:val="19"/>
                <w:szCs w:val="19"/>
                <w:color w:val="auto"/>
              </w:rPr>
            </w:pPr>
          </w:p>
        </w:tc>
        <w:tc>
          <w:tcPr>
            <w:tcW w:w="10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2,890</w:t>
            </w:r>
          </w:p>
        </w:tc>
        <w:tc>
          <w:tcPr>
            <w:tcW w:w="440" w:type="dxa"/>
            <w:vAlign w:val="bottom"/>
            <w:tcBorders>
              <w:bottom w:val="single" w:sz="8" w:color="EAF9E8"/>
            </w:tcBorders>
            <w:shd w:val="clear" w:color="auto" w:fill="EAF9E8"/>
          </w:tcPr>
          <w:p>
            <w:pPr>
              <w:spacing w:after="0"/>
              <w:rPr>
                <w:sz w:val="19"/>
                <w:szCs w:val="19"/>
                <w:color w:val="auto"/>
              </w:rPr>
            </w:pPr>
          </w:p>
        </w:tc>
        <w:tc>
          <w:tcPr>
            <w:tcW w:w="280" w:type="dxa"/>
            <w:vAlign w:val="bottom"/>
            <w:tcBorders>
              <w:bottom w:val="single" w:sz="8" w:color="auto"/>
            </w:tcBorders>
            <w:shd w:val="clear" w:color="auto" w:fill="EAF9E8"/>
          </w:tcPr>
          <w:p>
            <w:pPr>
              <w:spacing w:after="0"/>
              <w:rPr>
                <w:sz w:val="19"/>
                <w:szCs w:val="19"/>
                <w:color w:val="auto"/>
              </w:rPr>
            </w:pP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1,748,319</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603,901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Amounts are payable to Ocwen and its consolidated affiliates and eliminated in consolidation.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29" w:lineRule="exact"/>
        <w:rPr>
          <w:sz w:val="20"/>
          <w:szCs w:val="20"/>
          <w:color w:val="auto"/>
        </w:rPr>
      </w:pPr>
    </w:p>
    <w:p>
      <w:pPr>
        <w:jc w:val="both"/>
        <w:ind w:right="40" w:firstLine="663"/>
        <w:spacing w:after="0" w:line="264" w:lineRule="auto"/>
        <w:rPr>
          <w:sz w:val="20"/>
          <w:szCs w:val="20"/>
          <w:color w:val="auto"/>
        </w:rPr>
      </w:pPr>
      <w:r>
        <w:rPr>
          <w:rFonts w:ascii="Arial" w:cs="Arial" w:eastAsia="Arial" w:hAnsi="Arial"/>
          <w:sz w:val="18"/>
          <w:szCs w:val="18"/>
          <w:color w:val="auto"/>
        </w:rPr>
        <w:t>Within the operating activities section of the Consolidated Statement of Cash Flows for 2009, we reclassified the $3,437 adjustment for amortization of the discount on the fee reimbursement advance borrowing from the Increase (decrease) in other liabilities line item to Discount amortization and accretion, net, to conform to the 2010 presentation.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Cash includes both interest-bearing and non-interest-bearing demand deposits with financial institutions with original maturities of 90 days or less.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Securities</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Trading securities includes other investments with original maturities of three months or less that we do not treat as cash equivalents.</w:t>
      </w:r>
    </w:p>
    <w:p>
      <w:pPr>
        <w:spacing w:after="0" w:line="225" w:lineRule="exact"/>
        <w:rPr>
          <w:sz w:val="20"/>
          <w:szCs w:val="20"/>
          <w:color w:val="auto"/>
        </w:rPr>
      </w:pPr>
    </w:p>
    <w:p>
      <w:pPr>
        <w:ind w:right="60" w:firstLine="663"/>
        <w:spacing w:after="0" w:line="264" w:lineRule="auto"/>
        <w:rPr>
          <w:sz w:val="20"/>
          <w:szCs w:val="20"/>
          <w:color w:val="auto"/>
        </w:rPr>
      </w:pPr>
      <w:r>
        <w:rPr>
          <w:rFonts w:ascii="Arial" w:cs="Arial" w:eastAsia="Arial" w:hAnsi="Arial"/>
          <w:sz w:val="18"/>
          <w:szCs w:val="18"/>
          <w:color w:val="auto"/>
        </w:rPr>
        <w:t>We account for our auction rate, investment grade, residual and subordinate securities as trading securities at fair value. We report changes in fair value in gain (loss) on trading securities in the period of the change. We determine fair value based either on third party dealer quotations, where available, or on internal values determined using market based assumptions.</w:t>
      </w:r>
    </w:p>
    <w:p>
      <w:pPr>
        <w:spacing w:after="0" w:line="181" w:lineRule="exact"/>
        <w:rPr>
          <w:sz w:val="20"/>
          <w:szCs w:val="20"/>
          <w:color w:val="auto"/>
        </w:rPr>
      </w:pPr>
    </w:p>
    <w:p>
      <w:pPr>
        <w:ind w:right="80" w:firstLine="663"/>
        <w:spacing w:after="0" w:line="286" w:lineRule="auto"/>
        <w:rPr>
          <w:sz w:val="20"/>
          <w:szCs w:val="20"/>
          <w:color w:val="auto"/>
        </w:rPr>
      </w:pPr>
      <w:r>
        <w:rPr>
          <w:rFonts w:ascii="Arial" w:cs="Arial" w:eastAsia="Arial" w:hAnsi="Arial"/>
          <w:sz w:val="17"/>
          <w:szCs w:val="17"/>
          <w:color w:val="auto"/>
        </w:rPr>
        <w:t>We recognize interest income on subordinate and residual securities through an “effective yield” method with changes in expected future cash flows reflected in the yield on a prospective basis. We adjust the prospective yield each time the estimates of expected future cash flows change or the actual cash flows differ from projections. We use the newly calculated yield in the accrual of interest income for subsequent reporting periods.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Resale</w:t>
      </w:r>
    </w:p>
    <w:p>
      <w:pPr>
        <w:spacing w:after="0" w:line="229" w:lineRule="exact"/>
        <w:rPr>
          <w:sz w:val="20"/>
          <w:szCs w:val="20"/>
          <w:color w:val="auto"/>
        </w:rPr>
      </w:pPr>
    </w:p>
    <w:p>
      <w:pPr>
        <w:jc w:val="both"/>
        <w:ind w:right="40" w:firstLine="663"/>
        <w:spacing w:after="0" w:line="279" w:lineRule="auto"/>
        <w:rPr>
          <w:sz w:val="20"/>
          <w:szCs w:val="20"/>
          <w:color w:val="auto"/>
        </w:rPr>
      </w:pPr>
      <w:r>
        <w:rPr>
          <w:rFonts w:ascii="Arial" w:cs="Arial" w:eastAsia="Arial" w:hAnsi="Arial"/>
          <w:sz w:val="17"/>
          <w:szCs w:val="17"/>
          <w:color w:val="auto"/>
        </w:rPr>
        <w:t>We classify loans that we do not intend to hold to maturity as loans held for resale, and we report them at the lower of cost or fair value computed on an aggregate basis. We account for the excess of cost over fair value as a valuation allowance and include changes in the valuation allowance in gain (loss) on loans held for resale, net, in the period in which the change occurs. We have deferred loan origination fees and direct loan origination costs until the loans are sold. These fees and costs are included in the carrying value of the loans when determining a valuation allowance.</w:t>
      </w:r>
    </w:p>
    <w:p>
      <w:pPr>
        <w:spacing w:after="0" w:line="171" w:lineRule="exact"/>
        <w:rPr>
          <w:sz w:val="20"/>
          <w:szCs w:val="20"/>
          <w:color w:val="auto"/>
        </w:rPr>
      </w:pPr>
    </w:p>
    <w:p>
      <w:pPr>
        <w:jc w:val="both"/>
        <w:ind w:right="40" w:firstLine="663"/>
        <w:spacing w:after="0" w:line="312" w:lineRule="auto"/>
        <w:rPr>
          <w:sz w:val="20"/>
          <w:szCs w:val="20"/>
          <w:color w:val="auto"/>
        </w:rPr>
      </w:pPr>
      <w:r>
        <w:rPr>
          <w:rFonts w:ascii="Arial" w:cs="Arial" w:eastAsia="Arial" w:hAnsi="Arial"/>
          <w:sz w:val="16"/>
          <w:szCs w:val="16"/>
          <w:color w:val="auto"/>
        </w:rPr>
        <w:t>We accrue interest income as earned. We place loans on non-accrual status after any portion of principal or interest has been delinquent greater than 89 days or earlier if management determines the borrower is unable to continue performance. When we place a loan on non-accrual status, we reverse interest accrued but not received. We return loans to accrual status only when we reinstate the loan and have no significant uncertainty as to collectibility.</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Mortgage Servicing Rights (MSRs)</w:t>
      </w:r>
    </w:p>
    <w:p>
      <w:pPr>
        <w:spacing w:after="0" w:line="229" w:lineRule="exact"/>
        <w:rPr>
          <w:sz w:val="20"/>
          <w:szCs w:val="20"/>
          <w:color w:val="auto"/>
        </w:rPr>
      </w:pPr>
    </w:p>
    <w:p>
      <w:pPr>
        <w:ind w:right="40" w:firstLine="666"/>
        <w:spacing w:after="0" w:line="277" w:lineRule="auto"/>
        <w:rPr>
          <w:sz w:val="20"/>
          <w:szCs w:val="20"/>
          <w:color w:val="auto"/>
        </w:rPr>
      </w:pPr>
      <w:r>
        <w:rPr>
          <w:rFonts w:ascii="Arial" w:cs="Arial" w:eastAsia="Arial" w:hAnsi="Arial"/>
          <w:sz w:val="18"/>
          <w:szCs w:val="18"/>
          <w:color w:val="auto"/>
        </w:rPr>
        <w:t>MSRs are an intangible asset representing the right to service a portfolio of mortgage loans. We generally obtain MSRs by purchasing them from the owners of the mortgage loans.</w:t>
      </w:r>
    </w:p>
    <w:p>
      <w:pPr>
        <w:spacing w:after="0" w:line="170" w:lineRule="exact"/>
        <w:rPr>
          <w:sz w:val="20"/>
          <w:szCs w:val="20"/>
          <w:color w:val="auto"/>
        </w:rPr>
      </w:pPr>
    </w:p>
    <w:p>
      <w:pPr>
        <w:jc w:val="both"/>
        <w:ind w:right="200" w:firstLine="656"/>
        <w:spacing w:after="0" w:line="264" w:lineRule="auto"/>
        <w:rPr>
          <w:sz w:val="20"/>
          <w:szCs w:val="20"/>
          <w:color w:val="auto"/>
        </w:rPr>
      </w:pPr>
      <w:r>
        <w:rPr>
          <w:rFonts w:ascii="Arial" w:cs="Arial" w:eastAsia="Arial" w:hAnsi="Arial"/>
          <w:sz w:val="18"/>
          <w:szCs w:val="18"/>
          <w:color w:val="auto"/>
        </w:rPr>
        <w:t>An agreement between the various parties to a mortgage securitization transaction typically specifies the rights and obligations of the holder of the MSRs which include guidelines and procedures for servicing the loans. Two examples of these guidelines and procedures include remittance and reporting requirements. Assets serviced for others are not included on our balance sheet.</w:t>
      </w:r>
    </w:p>
    <w:p>
      <w:pPr>
        <w:spacing w:after="0" w:line="181" w:lineRule="exact"/>
        <w:rPr>
          <w:sz w:val="20"/>
          <w:szCs w:val="20"/>
          <w:color w:val="auto"/>
        </w:rPr>
      </w:pPr>
    </w:p>
    <w:p>
      <w:pPr>
        <w:ind w:right="40" w:firstLine="666"/>
        <w:spacing w:after="0" w:line="264" w:lineRule="auto"/>
        <w:rPr>
          <w:sz w:val="20"/>
          <w:szCs w:val="20"/>
          <w:color w:val="auto"/>
        </w:rPr>
      </w:pPr>
      <w:r>
        <w:rPr>
          <w:rFonts w:ascii="Arial" w:cs="Arial" w:eastAsia="Arial" w:hAnsi="Arial"/>
          <w:sz w:val="18"/>
          <w:szCs w:val="18"/>
          <w:color w:val="auto"/>
        </w:rPr>
        <w:t>Custodial accounts, which hold funds representing collections of principal and interest we receive from borrowers, are escrowed with an unaffiliated bank and excluded from our balance sheet. Custodial accounts amounted to approximately $320,300 and $234,100 at December 31, 2010 and 2009, respectively.</w:t>
      </w:r>
    </w:p>
    <w:p>
      <w:pPr>
        <w:spacing w:after="0" w:line="181" w:lineRule="exact"/>
        <w:rPr>
          <w:sz w:val="20"/>
          <w:szCs w:val="20"/>
          <w:color w:val="auto"/>
        </w:rPr>
      </w:pPr>
    </w:p>
    <w:p>
      <w:pPr>
        <w:ind w:right="40" w:firstLine="663"/>
        <w:spacing w:after="0" w:line="285" w:lineRule="auto"/>
        <w:rPr>
          <w:sz w:val="20"/>
          <w:szCs w:val="20"/>
          <w:color w:val="auto"/>
        </w:rPr>
      </w:pPr>
      <w:r>
        <w:rPr>
          <w:rFonts w:ascii="Arial" w:cs="Arial" w:eastAsia="Arial" w:hAnsi="Arial"/>
          <w:sz w:val="16"/>
          <w:szCs w:val="16"/>
          <w:color w:val="auto"/>
        </w:rPr>
        <w:t>We account for our residential and commercial classes of servicing assets using the amortization method. All newly acquired MSRs are initially measured at fair value. We amortize the balance of servicing assets or liabilities in proportion to and over the period of estimated net servicing income or net servicing loss and assess servicing assets or liabilities for impairment or increased obligation based on fair value at each reporting date. We determine estimated net servicing income using the estimated future balance of the underlying mortgage loan portfolio, which, absent new purchases, declines over time from prepayments and scheduled loan amortization. We adjust amortization prospectively in response to changes in estimated projections of future cash flows</w:t>
      </w:r>
    </w:p>
    <w:p>
      <w:pPr>
        <w:spacing w:after="0" w:line="2" w:lineRule="exact"/>
        <w:rPr>
          <w:sz w:val="20"/>
          <w:szCs w:val="20"/>
          <w:color w:val="auto"/>
        </w:rPr>
      </w:pPr>
    </w:p>
    <w:p>
      <w:pPr>
        <w:ind w:right="100" w:firstLine="8"/>
        <w:spacing w:after="0" w:line="323" w:lineRule="auto"/>
        <w:tabs>
          <w:tab w:leader="none" w:pos="9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We perform an impairment analysis based on the difference between the carrying amount and estimated fair value after grouping our loans into the applicable strata based on one or more of the predominant risk characteristics of the underlying loans (see Note 3—Fair Value—Mortgage Servicing Rights).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Fees and Advances</w:t>
      </w:r>
    </w:p>
    <w:p>
      <w:pPr>
        <w:spacing w:after="0" w:line="229" w:lineRule="exact"/>
        <w:rPr>
          <w:sz w:val="20"/>
          <w:szCs w:val="20"/>
          <w:color w:val="auto"/>
        </w:rPr>
      </w:pPr>
    </w:p>
    <w:p>
      <w:pPr>
        <w:ind w:right="20" w:firstLine="663"/>
        <w:spacing w:after="0" w:line="259" w:lineRule="auto"/>
        <w:rPr>
          <w:sz w:val="20"/>
          <w:szCs w:val="20"/>
          <w:color w:val="auto"/>
        </w:rPr>
      </w:pPr>
      <w:r>
        <w:rPr>
          <w:rFonts w:ascii="Arial" w:cs="Arial" w:eastAsia="Arial" w:hAnsi="Arial"/>
          <w:sz w:val="18"/>
          <w:szCs w:val="18"/>
          <w:color w:val="auto"/>
        </w:rPr>
        <w:t>We earn fees for servicing mortgage loans. We collect servicing fees, generally expressed as a percent of unpaid principal balance from the borrowers’ payments. We also include late fees, prepayment penalties, float earnings and other ancillary fees in servicing income. We recognize servicing fees as revenue when the fees are earned which is generally when the borrowers’ payments are collected or when loans are modified or liquidated through the sale of the underlying real estate collateral or otherwise.</w:t>
      </w:r>
    </w:p>
    <w:p>
      <w:pPr>
        <w:spacing w:after="0" w:line="187" w:lineRule="exact"/>
        <w:rPr>
          <w:sz w:val="20"/>
          <w:szCs w:val="20"/>
          <w:color w:val="auto"/>
        </w:rPr>
      </w:pPr>
    </w:p>
    <w:p>
      <w:pPr>
        <w:ind w:right="60" w:firstLine="666"/>
        <w:spacing w:after="0" w:line="279" w:lineRule="auto"/>
        <w:rPr>
          <w:sz w:val="20"/>
          <w:szCs w:val="20"/>
          <w:color w:val="auto"/>
        </w:rPr>
      </w:pPr>
      <w:r>
        <w:rPr>
          <w:rFonts w:ascii="Arial" w:cs="Arial" w:eastAsia="Arial" w:hAnsi="Arial"/>
          <w:sz w:val="17"/>
          <w:szCs w:val="17"/>
          <w:color w:val="auto"/>
        </w:rPr>
        <w:t>During any period in which the borrower does not make payments, most of our servicing agreements require that we advance our own funds to meet contractual principal and interest remittance requirements for the investors, pay property taxes and insurance premiums and process foreclosures. We also advance funds to maintain, repair and market foreclosed real estate properties on behalf of investors. These advances are made pursuant to the terms of each servicing contract. Each servicing contract is associated with specific loans, identified as a pool.</w:t>
      </w:r>
    </w:p>
    <w:p>
      <w:pPr>
        <w:spacing w:after="0" w:line="171" w:lineRule="exact"/>
        <w:rPr>
          <w:sz w:val="20"/>
          <w:szCs w:val="20"/>
          <w:color w:val="auto"/>
        </w:rPr>
      </w:pPr>
    </w:p>
    <w:p>
      <w:pPr>
        <w:ind w:right="80" w:firstLine="663"/>
        <w:spacing w:after="0" w:line="276" w:lineRule="auto"/>
        <w:rPr>
          <w:sz w:val="20"/>
          <w:szCs w:val="20"/>
          <w:color w:val="auto"/>
        </w:rPr>
      </w:pPr>
      <w:r>
        <w:rPr>
          <w:rFonts w:ascii="Arial" w:cs="Arial" w:eastAsia="Arial" w:hAnsi="Arial"/>
          <w:sz w:val="17"/>
          <w:szCs w:val="17"/>
          <w:color w:val="auto"/>
        </w:rPr>
        <w:t>When we make an advance on a loan under each servicing contract, we are entitled to recover that advance either from the borrower, for reinstated and performing loans, or from investors, for foreclosed loans. Most of our servicing contracts provide that the advances made under the respective agreement have priority over all other cash payments from the proceeds of the loan, and in the majority of cases, the proceeds of the pool of loans, which are the subject of that servicing contract. As a result, we are entitled to repayment from loan proceeds before any interest or principal is paid on the bonds, and in the majority of cases, advances in excess of loan proceeds may be recovered from pool level proceeds.</w:t>
      </w:r>
    </w:p>
    <w:p>
      <w:pPr>
        <w:spacing w:after="0" w:line="173" w:lineRule="exact"/>
        <w:rPr>
          <w:sz w:val="20"/>
          <w:szCs w:val="20"/>
          <w:color w:val="auto"/>
        </w:rPr>
      </w:pPr>
    </w:p>
    <w:p>
      <w:pPr>
        <w:ind w:firstLine="663"/>
        <w:spacing w:after="0" w:line="255" w:lineRule="auto"/>
        <w:rPr>
          <w:sz w:val="20"/>
          <w:szCs w:val="20"/>
          <w:color w:val="auto"/>
        </w:rPr>
      </w:pPr>
      <w:r>
        <w:rPr>
          <w:rFonts w:ascii="Arial" w:cs="Arial" w:eastAsia="Arial" w:hAnsi="Arial"/>
          <w:sz w:val="18"/>
          <w:szCs w:val="18"/>
          <w:color w:val="auto"/>
        </w:rPr>
        <w:t>We record a charge to earnings to the extent that we believe advances are uncollectible under the provisions of each servicing contract taking into consideration historical loss and delinquency experience, length of delinquency and the amount of the advance. However, we are generally only obligated to advance funds to the extent that we believe the advances are recoverable from expected proceeds from the loan. We assess collectibility using proprietary cash flow projection models which incorporate a number of different factors, depending on the characteristics of the mortgage loan or pool, including, for example, time to a foreclosure sale, estimated costs of foreclosure action, future property tax payments and the value of the underlying property net of carry ing costs, commissions and closing costs.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300" w:firstLine="666"/>
        <w:spacing w:after="0" w:line="264" w:lineRule="auto"/>
        <w:rPr>
          <w:sz w:val="20"/>
          <w:szCs w:val="20"/>
          <w:color w:val="auto"/>
        </w:rPr>
      </w:pPr>
      <w:r>
        <w:rPr>
          <w:rFonts w:ascii="Arial" w:cs="Arial" w:eastAsia="Arial" w:hAnsi="Arial"/>
          <w:sz w:val="18"/>
          <w:szCs w:val="18"/>
          <w:color w:val="auto"/>
        </w:rPr>
        <w:t>Goodwill represents the cost of acquired businesses in excess of the fair value of the net assets acquired. In 2009 the entire balance of goodwill, which related to our former Ocwen Solutions line of business, was distributed to Altisource as part of the Separation. In 2010 we recorded goodwill in our Servicing segment in connection with the HomEq Acquisition.</w:t>
      </w:r>
    </w:p>
    <w:p>
      <w:pPr>
        <w:spacing w:after="0" w:line="181" w:lineRule="exact"/>
        <w:rPr>
          <w:sz w:val="20"/>
          <w:szCs w:val="20"/>
          <w:color w:val="auto"/>
        </w:rPr>
      </w:pPr>
    </w:p>
    <w:p>
      <w:pPr>
        <w:ind w:right="60" w:firstLine="663"/>
        <w:spacing w:after="0" w:line="242" w:lineRule="auto"/>
        <w:rPr>
          <w:sz w:val="20"/>
          <w:szCs w:val="20"/>
          <w:color w:val="auto"/>
        </w:rPr>
      </w:pPr>
      <w:r>
        <w:rPr>
          <w:rFonts w:ascii="Arial" w:cs="Arial" w:eastAsia="Arial" w:hAnsi="Arial"/>
          <w:sz w:val="18"/>
          <w:szCs w:val="18"/>
          <w:color w:val="auto"/>
        </w:rPr>
        <w:t>We utilize a two-step method to test goodwill for impairment annually or sooner if an event occurs or circumstances change that would more likely than not reduce the fair value of an operating segment below its net carrying value. We will perform our annual impairment test of the goodwill related to the HomEq Acquisition on August 31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of each year beginning in 2011. We test goodwill in each of our operating segments at the component level, which comprises each of our business segments. In the first step, we compare the fair value of the operating segment with its net carrying value, including goodwill. If the net carrying value of the operating segment exceeds its fair value, we t hen perform the second step of the impairment test to measure the amount of impairment loss, if any. The second step requires allocation of the operating segment’s fair value to all of its assets and liabilities in a manner similar to a purchase price allocation, with any residual fair value being allocated to goodwill (implied fair value of goodwill). If the carrying amount of the operating segment’s goodwill exceeds the implied fair value of that goodwill, we recognize an impairment loss in an amount equal to that excess up to the carrying value of goodwill.</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75" w:name="page76"/>
    <w:bookmarkEnd w:id="75"/>
    <w:p>
      <w:pPr>
        <w:ind w:right="20" w:firstLine="666"/>
        <w:spacing w:after="0" w:line="259" w:lineRule="auto"/>
        <w:rPr>
          <w:sz w:val="20"/>
          <w:szCs w:val="20"/>
          <w:color w:val="auto"/>
        </w:rPr>
      </w:pPr>
      <w:r>
        <w:rPr>
          <w:rFonts w:ascii="Arial" w:cs="Arial" w:eastAsia="Arial" w:hAnsi="Arial"/>
          <w:sz w:val="18"/>
          <w:szCs w:val="18"/>
          <w:color w:val="auto"/>
        </w:rPr>
        <w:t>In performing our impairment analysis for goodwill, we use an approach based on the fair value of the assets and liabilities. We perform this analysis using projections of future income discounted at a market rate. The determination of market discount rates is subjective and could vary by product based on the nature of the underlying business, stage of development and sales to date. The projections of future cash flows and assumptions concerning future operating performance and economic conditions may differ from actual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Premises and Equipment</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We report premises and equipment at cost and, except for land, depreciate them over their estimated useful lives on the straight-line method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Buildings</w:t>
            </w:r>
          </w:p>
        </w:tc>
        <w:tc>
          <w:tcPr>
            <w:tcW w:w="1260" w:type="dxa"/>
            <w:vAlign w:val="bottom"/>
          </w:tcPr>
          <w:p>
            <w:pPr>
              <w:ind w:left="420"/>
              <w:spacing w:after="0"/>
              <w:rPr>
                <w:sz w:val="20"/>
                <w:szCs w:val="20"/>
                <w:color w:val="auto"/>
              </w:rPr>
            </w:pPr>
            <w:r>
              <w:rPr>
                <w:rFonts w:ascii="Arial" w:cs="Arial" w:eastAsia="Arial" w:hAnsi="Arial"/>
                <w:sz w:val="18"/>
                <w:szCs w:val="18"/>
                <w:color w:val="auto"/>
              </w:rPr>
              <w:t>39 years</w:t>
            </w:r>
          </w:p>
        </w:tc>
        <w:tc>
          <w:tcPr>
            <w:tcW w:w="3180" w:type="dxa"/>
            <w:vAlign w:val="bottom"/>
          </w:tcPr>
          <w:p>
            <w:pPr>
              <w:ind w:left="260"/>
              <w:spacing w:after="0"/>
              <w:rPr>
                <w:sz w:val="20"/>
                <w:szCs w:val="20"/>
                <w:color w:val="auto"/>
              </w:rPr>
            </w:pPr>
            <w:r>
              <w:rPr>
                <w:rFonts w:ascii="Arial" w:cs="Arial" w:eastAsia="Arial" w:hAnsi="Arial"/>
                <w:sz w:val="18"/>
                <w:szCs w:val="18"/>
                <w:color w:val="auto"/>
              </w:rPr>
              <w:t>Office equipment</w:t>
            </w:r>
          </w:p>
        </w:tc>
        <w:tc>
          <w:tcPr>
            <w:tcW w:w="3540" w:type="dxa"/>
            <w:vAlign w:val="bottom"/>
          </w:tcPr>
          <w:p>
            <w:pPr>
              <w:ind w:left="540"/>
              <w:spacing w:after="0"/>
              <w:rPr>
                <w:sz w:val="20"/>
                <w:szCs w:val="20"/>
                <w:color w:val="auto"/>
              </w:rPr>
            </w:pPr>
            <w:r>
              <w:rPr>
                <w:rFonts w:ascii="Arial" w:cs="Arial" w:eastAsia="Arial" w:hAnsi="Arial"/>
                <w:sz w:val="18"/>
                <w:szCs w:val="18"/>
                <w:color w:val="auto"/>
              </w:rPr>
              <w:t>5 years</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Land improvements</w:t>
            </w:r>
          </w:p>
        </w:tc>
        <w:tc>
          <w:tcPr>
            <w:tcW w:w="1260" w:type="dxa"/>
            <w:vAlign w:val="bottom"/>
          </w:tcPr>
          <w:p>
            <w:pPr>
              <w:ind w:left="420"/>
              <w:spacing w:after="0"/>
              <w:rPr>
                <w:sz w:val="20"/>
                <w:szCs w:val="20"/>
                <w:color w:val="auto"/>
              </w:rPr>
            </w:pPr>
            <w:r>
              <w:rPr>
                <w:rFonts w:ascii="Arial" w:cs="Arial" w:eastAsia="Arial" w:hAnsi="Arial"/>
                <w:sz w:val="18"/>
                <w:szCs w:val="18"/>
                <w:color w:val="auto"/>
              </w:rPr>
              <w:t>39 years</w:t>
            </w:r>
          </w:p>
        </w:tc>
        <w:tc>
          <w:tcPr>
            <w:tcW w:w="3180" w:type="dxa"/>
            <w:vAlign w:val="bottom"/>
          </w:tcPr>
          <w:p>
            <w:pPr>
              <w:ind w:left="260"/>
              <w:spacing w:after="0"/>
              <w:rPr>
                <w:sz w:val="20"/>
                <w:szCs w:val="20"/>
                <w:color w:val="auto"/>
              </w:rPr>
            </w:pPr>
            <w:r>
              <w:rPr>
                <w:rFonts w:ascii="Arial" w:cs="Arial" w:eastAsia="Arial" w:hAnsi="Arial"/>
                <w:sz w:val="18"/>
                <w:szCs w:val="18"/>
                <w:color w:val="auto"/>
              </w:rPr>
              <w:t>Computer hardware and software</w:t>
            </w:r>
          </w:p>
        </w:tc>
        <w:tc>
          <w:tcPr>
            <w:tcW w:w="3540" w:type="dxa"/>
            <w:vAlign w:val="bottom"/>
          </w:tcPr>
          <w:p>
            <w:pPr>
              <w:ind w:left="540"/>
              <w:spacing w:after="0"/>
              <w:rPr>
                <w:sz w:val="20"/>
                <w:szCs w:val="20"/>
                <w:color w:val="auto"/>
              </w:rPr>
            </w:pPr>
            <w:r>
              <w:rPr>
                <w:rFonts w:ascii="Arial" w:cs="Arial" w:eastAsia="Arial" w:hAnsi="Arial"/>
                <w:sz w:val="18"/>
                <w:szCs w:val="18"/>
                <w:color w:val="auto"/>
              </w:rPr>
              <w:t>2 – 3 years</w:t>
            </w:r>
          </w:p>
        </w:tc>
      </w:t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260" w:type="dxa"/>
            <w:vAlign w:val="bottom"/>
          </w:tcPr>
          <w:p>
            <w:pPr>
              <w:ind w:left="420"/>
              <w:spacing w:after="0"/>
              <w:rPr>
                <w:sz w:val="20"/>
                <w:szCs w:val="20"/>
                <w:color w:val="auto"/>
              </w:rPr>
            </w:pPr>
            <w:r>
              <w:rPr>
                <w:rFonts w:ascii="Arial" w:cs="Arial" w:eastAsia="Arial" w:hAnsi="Arial"/>
                <w:sz w:val="18"/>
                <w:szCs w:val="18"/>
                <w:color w:val="auto"/>
              </w:rPr>
              <w:t>5 years</w:t>
            </w:r>
          </w:p>
        </w:tc>
        <w:tc>
          <w:tcPr>
            <w:tcW w:w="3180" w:type="dxa"/>
            <w:vAlign w:val="bottom"/>
          </w:tcPr>
          <w:p>
            <w:pPr>
              <w:ind w:left="260"/>
              <w:spacing w:after="0"/>
              <w:rPr>
                <w:sz w:val="20"/>
                <w:szCs w:val="20"/>
                <w:color w:val="auto"/>
              </w:rPr>
            </w:pPr>
            <w:r>
              <w:rPr>
                <w:rFonts w:ascii="Arial" w:cs="Arial" w:eastAsia="Arial" w:hAnsi="Arial"/>
                <w:sz w:val="18"/>
                <w:szCs w:val="18"/>
                <w:color w:val="auto"/>
              </w:rPr>
              <w:t>Leasehold improvements</w:t>
            </w:r>
          </w:p>
        </w:tc>
        <w:tc>
          <w:tcPr>
            <w:tcW w:w="3540" w:type="dxa"/>
            <w:vAlign w:val="bottom"/>
          </w:tcPr>
          <w:p>
            <w:pPr>
              <w:ind w:left="540"/>
              <w:spacing w:after="0"/>
              <w:rPr>
                <w:sz w:val="20"/>
                <w:szCs w:val="20"/>
                <w:color w:val="auto"/>
              </w:rPr>
            </w:pPr>
            <w:r>
              <w:rPr>
                <w:rFonts w:ascii="Arial" w:cs="Arial" w:eastAsia="Arial" w:hAnsi="Arial"/>
                <w:sz w:val="18"/>
                <w:szCs w:val="18"/>
                <w:color w:val="auto"/>
                <w:w w:val="89"/>
              </w:rPr>
              <w:t>Term of the lease not to exceed useful life</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Unconsolidated Entities</w:t>
      </w:r>
    </w:p>
    <w:p>
      <w:pPr>
        <w:spacing w:after="0" w:line="229" w:lineRule="exact"/>
        <w:rPr>
          <w:sz w:val="20"/>
          <w:szCs w:val="20"/>
          <w:color w:val="auto"/>
        </w:rPr>
      </w:pPr>
    </w:p>
    <w:p>
      <w:pPr>
        <w:ind w:right="120" w:firstLine="486"/>
        <w:spacing w:after="0" w:line="271" w:lineRule="auto"/>
        <w:rPr>
          <w:sz w:val="20"/>
          <w:szCs w:val="20"/>
          <w:color w:val="auto"/>
        </w:rPr>
      </w:pPr>
      <w:r>
        <w:rPr>
          <w:rFonts w:ascii="Arial" w:cs="Arial" w:eastAsia="Arial" w:hAnsi="Arial"/>
          <w:sz w:val="17"/>
          <w:szCs w:val="17"/>
          <w:color w:val="auto"/>
        </w:rPr>
        <w:t>We account for our investments in unconsolidated entities using the equity method. These investments include both entities in which we hold a significant, but less than controlling, ownership interest and VIEs in which we are not deemed to be the primary beneficiary. Under the equity method of accounting, investments are initially recorded at cost and thereafter adjusted for additional investments, distributions and the proportionate share of earnings or losses of the investee. We evaluate our equity method investments for impairment when events or changes in circumstances indicate that any other-than-temporary decline in value may have occurred. We stop recording our share of investee losses if our share of losses reduces our investment to zero unless we have guaranteed the obligations of or are otherwise committed to provide further fi nancial support to the investee. If the investee subsequently reports net income, we will only continue to record our share of the net income after our share of net income equals the share of net losses not recognized during the periods that the recording of losses was suspended.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20" w:firstLine="663"/>
        <w:spacing w:after="0" w:line="259" w:lineRule="auto"/>
        <w:rPr>
          <w:sz w:val="20"/>
          <w:szCs w:val="20"/>
          <w:color w:val="auto"/>
        </w:rPr>
      </w:pPr>
      <w:r>
        <w:rPr>
          <w:rFonts w:ascii="Arial" w:cs="Arial" w:eastAsia="Arial" w:hAnsi="Arial"/>
          <w:sz w:val="18"/>
          <w:szCs w:val="18"/>
          <w:color w:val="auto"/>
        </w:rPr>
        <w:t>We monitor our legal matters, including advice from external legal counsel, and periodically perform assessments of these matters for potential loss accrual and disclosure. We establish reserves for settlements, judgments on appeal and filed and/or threatened claims for which we believe it is probable that a loss has been or will be incurred and the amount can be reasonably estimated. We recognize our legal costs associated with loss contingencies as they are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ind w:right="80" w:firstLine="663"/>
        <w:spacing w:after="0" w:line="291" w:lineRule="auto"/>
        <w:rPr>
          <w:sz w:val="20"/>
          <w:szCs w:val="20"/>
          <w:color w:val="auto"/>
        </w:rPr>
      </w:pPr>
      <w:r>
        <w:rPr>
          <w:rFonts w:ascii="Arial" w:cs="Arial" w:eastAsia="Arial" w:hAnsi="Arial"/>
          <w:sz w:val="16"/>
          <w:szCs w:val="16"/>
          <w:color w:val="auto"/>
        </w:rPr>
        <w:t>We recognize all derivatives on our consolidated balance sheet at fair value. On the date we enter into a derivative contract, we designate and document each derivative contract as one of the following at the time the contract is executed: (a) a hedge of a recognized asset or liability (fair value hedge);</w:t>
      </w:r>
    </w:p>
    <w:p>
      <w:pPr>
        <w:ind w:firstLine="8"/>
        <w:spacing w:after="0" w:line="267" w:lineRule="auto"/>
        <w:tabs>
          <w:tab w:leader="none" w:pos="255" w:val="left"/>
        </w:tabs>
        <w:numPr>
          <w:ilvl w:val="0"/>
          <w:numId w:val="63"/>
        </w:numPr>
        <w:rPr>
          <w:rFonts w:ascii="Arial" w:cs="Arial" w:eastAsia="Arial" w:hAnsi="Arial"/>
          <w:sz w:val="17"/>
          <w:szCs w:val="17"/>
          <w:color w:val="auto"/>
        </w:rPr>
      </w:pPr>
      <w:r>
        <w:rPr>
          <w:rFonts w:ascii="Arial" w:cs="Arial" w:eastAsia="Arial" w:hAnsi="Arial"/>
          <w:sz w:val="17"/>
          <w:szCs w:val="17"/>
          <w:color w:val="auto"/>
        </w:rPr>
        <w:t>a hedge of a forecasted transaction or the variability of cash flows to be received or paid related to a recognized asset or liability (cash flow hedge); (c) a hedge of a net investment in a foreign operation; or (d) a derivative instrument not designated as a hedging instrument. For a fair value hedge, we record changes in the fair value of the derivative and, to the extent that it is effective, changes in the fair value of the hedged asset or liability attributable to the hedged risk, in the same financial statement category as the hedged item on the face of the statement of operations. For a cash flow hedge, to the extent that it is effective, we record changes in the estimated fair value of the derivative in other comprehensive income. We subsequently reclassify these changes in estimated fair value to net income in the same period, or periods, that the hedged transaction affects earnings and in the same financial statement category as the hedged item. For a hedge of a net investment in a foreign operation, to the extent that it is effective, we record changes in the fair value of the derivative in the net change in unrealized foreign currency translation adjustments in accumulated other comprehensive income. Upon sale or upon complete or substantially complete liquidation of an investment in a foreign entity, the amount accumulated in the translation adjustment component of other comprehensive income is removed and reported as part of the gain or loss o n sale or liquidation of the investment in the period during which the sale or liquidation occurs. For a derivative instrument not designated as a hedging instrument, we report changes in the fair values in current period other income (expense), net.</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Match Funded Liabilities, Lines of Credit, Investment Line and Other Secured Borrowings</w:t>
      </w:r>
    </w:p>
    <w:p>
      <w:pPr>
        <w:spacing w:after="0" w:line="229" w:lineRule="exact"/>
        <w:rPr>
          <w:sz w:val="20"/>
          <w:szCs w:val="20"/>
          <w:color w:val="auto"/>
        </w:rPr>
      </w:pPr>
    </w:p>
    <w:p>
      <w:pPr>
        <w:ind w:right="540" w:firstLine="666"/>
        <w:spacing w:after="0" w:line="277" w:lineRule="auto"/>
        <w:rPr>
          <w:sz w:val="20"/>
          <w:szCs w:val="20"/>
          <w:color w:val="auto"/>
        </w:rPr>
      </w:pPr>
      <w:r>
        <w:rPr>
          <w:rFonts w:ascii="Arial" w:cs="Arial" w:eastAsia="Arial" w:hAnsi="Arial"/>
          <w:sz w:val="18"/>
          <w:szCs w:val="18"/>
          <w:color w:val="auto"/>
        </w:rPr>
        <w:t>Match funded liabilities, lines of credit and other secured borrowings are collateralized by specific assets. Under the terms of these borrowing agreements, we are subject to various qualitative and quantitative covenants. Collectively, these covenants include:</w:t>
      </w:r>
    </w:p>
    <w:p>
      <w:pPr>
        <w:spacing w:after="0" w:line="170" w:lineRule="exact"/>
        <w:rPr>
          <w:sz w:val="20"/>
          <w:szCs w:val="20"/>
          <w:color w:val="auto"/>
        </w:rPr>
      </w:pPr>
    </w:p>
    <w:p>
      <w:pPr>
        <w:ind w:left="1160" w:hanging="571"/>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Specified net worth requirements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Restrictions on future indebtedness</w:t>
      </w:r>
    </w:p>
    <w:p>
      <w:pPr>
        <w:spacing w:after="0" w:line="225" w:lineRule="exact"/>
        <w:rPr>
          <w:rFonts w:ascii="Arial" w:cs="Arial" w:eastAsia="Arial" w:hAnsi="Arial"/>
          <w:sz w:val="18"/>
          <w:szCs w:val="18"/>
          <w:color w:val="auto"/>
        </w:rPr>
      </w:pPr>
    </w:p>
    <w:p>
      <w:pPr>
        <w:ind w:left="1160" w:right="580" w:hanging="571"/>
        <w:spacing w:after="0" w:line="277" w:lineRule="auto"/>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Monitoring and reporting of various specified transactions or events, including specific reporting on defined events affecting collateral underlying certain borrowing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are currently in compliance with these covenants.</w:t>
      </w:r>
    </w:p>
    <w:p>
      <w:pPr>
        <w:spacing w:after="0" w:line="225" w:lineRule="exact"/>
        <w:rPr>
          <w:sz w:val="20"/>
          <w:szCs w:val="20"/>
          <w:color w:val="auto"/>
        </w:rPr>
      </w:pPr>
    </w:p>
    <w:p>
      <w:pPr>
        <w:ind w:right="400" w:firstLine="663"/>
        <w:spacing w:after="0" w:line="277" w:lineRule="auto"/>
        <w:rPr>
          <w:sz w:val="20"/>
          <w:szCs w:val="20"/>
          <w:color w:val="auto"/>
        </w:rPr>
      </w:pPr>
      <w:r>
        <w:rPr>
          <w:rFonts w:ascii="Arial" w:cs="Arial" w:eastAsia="Arial" w:hAnsi="Arial"/>
          <w:sz w:val="18"/>
          <w:szCs w:val="18"/>
          <w:color w:val="auto"/>
        </w:rPr>
        <w:t>The interest rate for 1-Month LIBOR was 0.26% and 0.23%, respectively, at December 31, 2010 and 2009. Aggregate long-term borrowings by maturity date are set forth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380" w:type="dxa"/>
            <w:vAlign w:val="bottom"/>
            <w:tcBorders>
              <w:bottom w:val="single" w:sz="8" w:color="auto"/>
            </w:tcBorders>
            <w:gridSpan w:val="12"/>
          </w:tcPr>
          <w:p>
            <w:pPr>
              <w:jc w:val="right"/>
              <w:ind w:right="640"/>
              <w:spacing w:after="0"/>
              <w:rPr>
                <w:sz w:val="20"/>
                <w:szCs w:val="20"/>
                <w:color w:val="auto"/>
              </w:rPr>
            </w:pPr>
            <w:r>
              <w:rPr>
                <w:rFonts w:ascii="Arial" w:cs="Arial" w:eastAsia="Arial" w:hAnsi="Arial"/>
                <w:sz w:val="18"/>
                <w:szCs w:val="18"/>
                <w:b w:val="1"/>
                <w:bCs w:val="1"/>
                <w:color w:val="auto"/>
                <w:w w:val="96"/>
              </w:rPr>
              <w:t>Expected Maturity Date at December 31, 2010</w:t>
            </w: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6"/>
              </w:rPr>
              <w:t>Fair</w:t>
            </w:r>
          </w:p>
        </w:tc>
      </w:tr>
      <w:tr>
        <w:trPr>
          <w:trHeight w:val="241"/>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Thereafter</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20" w:type="dxa"/>
            <w:vAlign w:val="bottom"/>
          </w:tcPr>
          <w:p>
            <w:pPr>
              <w:spacing w:after="0"/>
              <w:rPr>
                <w:sz w:val="18"/>
                <w:szCs w:val="18"/>
                <w:color w:val="auto"/>
              </w:rPr>
            </w:pPr>
          </w:p>
        </w:tc>
        <w:tc>
          <w:tcPr>
            <w:tcW w:w="2400" w:type="dxa"/>
            <w:vAlign w:val="bottom"/>
            <w:shd w:val="clear" w:color="auto" w:fill="EAF9E8"/>
          </w:tcPr>
          <w:p>
            <w:pPr>
              <w:jc w:val="center"/>
              <w:ind w:right="550"/>
              <w:spacing w:after="0"/>
              <w:rPr>
                <w:sz w:val="20"/>
                <w:szCs w:val="20"/>
                <w:color w:val="auto"/>
              </w:rPr>
            </w:pPr>
            <w:r>
              <w:rPr>
                <w:rFonts w:ascii="Arial" w:cs="Arial" w:eastAsia="Arial" w:hAnsi="Arial"/>
                <w:sz w:val="18"/>
                <w:szCs w:val="18"/>
                <w:color w:val="auto"/>
                <w:w w:val="94"/>
              </w:rPr>
              <w:t>Match funded liabilities:</w:t>
            </w:r>
          </w:p>
        </w:tc>
        <w:tc>
          <w:tcPr>
            <w:tcW w:w="200" w:type="dxa"/>
            <w:vAlign w:val="bottom"/>
            <w:tcBorders>
              <w:top w:val="single" w:sz="8" w:color="auto"/>
            </w:tcBorders>
            <w:shd w:val="clear" w:color="auto" w:fill="EAF9E8"/>
          </w:tcPr>
          <w:p>
            <w:pPr>
              <w:spacing w:after="0"/>
              <w:rPr>
                <w:sz w:val="18"/>
                <w:szCs w:val="18"/>
                <w:color w:val="auto"/>
              </w:rPr>
            </w:pPr>
          </w:p>
        </w:tc>
        <w:tc>
          <w:tcPr>
            <w:tcW w:w="740" w:type="dxa"/>
            <w:vAlign w:val="bottom"/>
            <w:tcBorders>
              <w:top w:val="single" w:sz="8" w:color="auto"/>
            </w:tcBorders>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760" w:type="dxa"/>
            <w:vAlign w:val="bottom"/>
            <w:tcBorders>
              <w:top w:val="single" w:sz="8" w:color="auto"/>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740" w:type="dxa"/>
            <w:vAlign w:val="bottom"/>
            <w:tcBorders>
              <w:top w:val="single" w:sz="8" w:color="auto"/>
            </w:tcBorders>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720" w:type="dxa"/>
            <w:vAlign w:val="bottom"/>
            <w:tcBorders>
              <w:top w:val="single" w:sz="8" w:color="auto"/>
            </w:tcBorders>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720" w:type="dxa"/>
            <w:vAlign w:val="bottom"/>
            <w:tcBorders>
              <w:top w:val="single" w:sz="8" w:color="auto"/>
            </w:tcBorders>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660" w:type="dxa"/>
            <w:vAlign w:val="bottom"/>
            <w:tcBorders>
              <w:top w:val="single" w:sz="8" w:color="auto"/>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80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spacing w:after="0"/>
              <w:rPr>
                <w:sz w:val="18"/>
                <w:szCs w:val="18"/>
                <w:color w:val="auto"/>
              </w:rPr>
            </w:pPr>
          </w:p>
        </w:tc>
        <w:tc>
          <w:tcPr>
            <w:tcW w:w="78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jc w:val="center"/>
              <w:ind w:right="1270"/>
              <w:spacing w:after="0"/>
              <w:rPr>
                <w:sz w:val="20"/>
                <w:szCs w:val="20"/>
                <w:color w:val="auto"/>
              </w:rPr>
            </w:pPr>
            <w:r>
              <w:rPr>
                <w:rFonts w:ascii="Arial" w:cs="Arial" w:eastAsia="Arial" w:hAnsi="Arial"/>
                <w:sz w:val="18"/>
                <w:szCs w:val="18"/>
                <w:color w:val="auto"/>
                <w:w w:val="89"/>
              </w:rPr>
              <w:t>Fixed rate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160,000</w:t>
            </w:r>
          </w:p>
        </w:tc>
        <w:tc>
          <w:tcPr>
            <w:tcW w:w="1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190,000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60,000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410,000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413,947</w:t>
            </w:r>
          </w:p>
        </w:tc>
      </w:tr>
      <w:tr>
        <w:trPr>
          <w:trHeight w:val="216"/>
        </w:trPr>
        <w:tc>
          <w:tcPr>
            <w:tcW w:w="20" w:type="dxa"/>
            <w:vAlign w:val="bottom"/>
          </w:tcPr>
          <w:p>
            <w:pPr>
              <w:spacing w:after="0"/>
              <w:rPr>
                <w:sz w:val="18"/>
                <w:szCs w:val="18"/>
                <w:color w:val="auto"/>
              </w:rPr>
            </w:pPr>
          </w:p>
        </w:tc>
        <w:tc>
          <w:tcPr>
            <w:tcW w:w="2400" w:type="dxa"/>
            <w:vAlign w:val="bottom"/>
            <w:shd w:val="clear" w:color="auto" w:fill="EAF9E8"/>
          </w:tcPr>
          <w:p>
            <w:pPr>
              <w:jc w:val="center"/>
              <w:ind w:right="510"/>
              <w:spacing w:after="0"/>
              <w:rPr>
                <w:sz w:val="20"/>
                <w:szCs w:val="20"/>
                <w:color w:val="auto"/>
              </w:rPr>
            </w:pPr>
            <w:r>
              <w:rPr>
                <w:rFonts w:ascii="Arial" w:cs="Arial" w:eastAsia="Arial" w:hAnsi="Arial"/>
                <w:sz w:val="18"/>
                <w:szCs w:val="18"/>
                <w:color w:val="auto"/>
                <w:w w:val="89"/>
              </w:rPr>
              <w:t>Variable interest rate</w:t>
            </w:r>
          </w:p>
        </w:tc>
        <w:tc>
          <w:tcPr>
            <w:tcW w:w="200" w:type="dxa"/>
            <w:vAlign w:val="bottom"/>
            <w:shd w:val="clear" w:color="auto" w:fill="EAF9E8"/>
          </w:tcPr>
          <w:p>
            <w:pPr>
              <w:spacing w:after="0"/>
              <w:rPr>
                <w:sz w:val="18"/>
                <w:szCs w:val="18"/>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261,529</w:t>
            </w: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811,000</w:t>
            </w: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AF9E8"/>
          </w:tcPr>
          <w:p>
            <w:pPr>
              <w:spacing w:after="0"/>
              <w:rPr>
                <w:sz w:val="18"/>
                <w:szCs w:val="18"/>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97"/>
              </w:rPr>
              <w:t>1,072,529</w:t>
            </w: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94"/>
              </w:rPr>
              <w:t>1,072,529</w:t>
            </w:r>
          </w:p>
        </w:tc>
      </w:tr>
      <w:tr>
        <w:trPr>
          <w:trHeight w:val="202"/>
        </w:trPr>
        <w:tc>
          <w:tcPr>
            <w:tcW w:w="20" w:type="dxa"/>
            <w:vAlign w:val="bottom"/>
          </w:tcPr>
          <w:p>
            <w:pPr>
              <w:spacing w:after="0"/>
              <w:rPr>
                <w:sz w:val="17"/>
                <w:szCs w:val="17"/>
                <w:color w:val="auto"/>
              </w:rPr>
            </w:pPr>
          </w:p>
        </w:tc>
        <w:tc>
          <w:tcPr>
            <w:tcW w:w="2400" w:type="dxa"/>
            <w:vAlign w:val="bottom"/>
          </w:tcPr>
          <w:p>
            <w:pPr>
              <w:jc w:val="center"/>
              <w:ind w:right="550"/>
              <w:spacing w:after="0" w:line="201" w:lineRule="exact"/>
              <w:rPr>
                <w:sz w:val="20"/>
                <w:szCs w:val="20"/>
                <w:color w:val="auto"/>
              </w:rPr>
            </w:pPr>
            <w:r>
              <w:rPr>
                <w:rFonts w:ascii="Arial" w:cs="Arial" w:eastAsia="Arial" w:hAnsi="Arial"/>
                <w:sz w:val="18"/>
                <w:szCs w:val="18"/>
                <w:color w:val="auto"/>
                <w:w w:val="91"/>
              </w:rPr>
              <w:t>Lines of credit and other</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400" w:type="dxa"/>
            <w:vAlign w:val="bottom"/>
          </w:tcPr>
          <w:p>
            <w:pPr>
              <w:jc w:val="center"/>
              <w:ind w:right="590"/>
              <w:spacing w:after="0"/>
              <w:rPr>
                <w:sz w:val="20"/>
                <w:szCs w:val="20"/>
                <w:color w:val="auto"/>
              </w:rPr>
            </w:pPr>
            <w:r>
              <w:rPr>
                <w:rFonts w:ascii="Arial" w:cs="Arial" w:eastAsia="Arial" w:hAnsi="Arial"/>
                <w:sz w:val="18"/>
                <w:szCs w:val="18"/>
                <w:color w:val="auto"/>
                <w:w w:val="89"/>
              </w:rPr>
              <w:t>secured borrowings</w:t>
            </w: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51,085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44,554</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45,886</w:t>
            </w:r>
          </w:p>
        </w:tc>
        <w:tc>
          <w:tcPr>
            <w:tcW w:w="1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47,318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57,230</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246,073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252,722</w:t>
            </w:r>
          </w:p>
        </w:tc>
      </w:tr>
      <w:tr>
        <w:trPr>
          <w:trHeight w:val="216"/>
        </w:trPr>
        <w:tc>
          <w:tcPr>
            <w:tcW w:w="20" w:type="dxa"/>
            <w:vAlign w:val="bottom"/>
          </w:tcPr>
          <w:p>
            <w:pPr>
              <w:spacing w:after="0"/>
              <w:rPr>
                <w:sz w:val="18"/>
                <w:szCs w:val="18"/>
                <w:color w:val="auto"/>
              </w:rPr>
            </w:pPr>
          </w:p>
        </w:tc>
        <w:tc>
          <w:tcPr>
            <w:tcW w:w="2400" w:type="dxa"/>
            <w:vAlign w:val="bottom"/>
            <w:shd w:val="clear" w:color="auto" w:fill="EAF9E8"/>
          </w:tcPr>
          <w:p>
            <w:pPr>
              <w:jc w:val="center"/>
              <w:ind w:right="1250"/>
              <w:spacing w:after="0"/>
              <w:rPr>
                <w:sz w:val="20"/>
                <w:szCs w:val="20"/>
                <w:color w:val="auto"/>
              </w:rPr>
            </w:pPr>
            <w:r>
              <w:rPr>
                <w:rFonts w:ascii="Arial" w:cs="Arial" w:eastAsia="Arial" w:hAnsi="Arial"/>
                <w:sz w:val="18"/>
                <w:szCs w:val="18"/>
                <w:color w:val="auto"/>
                <w:w w:val="89"/>
              </w:rPr>
              <w:t>Debt securities</w:t>
            </w:r>
          </w:p>
        </w:tc>
        <w:tc>
          <w:tcPr>
            <w:tcW w:w="200" w:type="dxa"/>
            <w:vAlign w:val="bottom"/>
            <w:shd w:val="clear" w:color="auto" w:fill="EAF9E8"/>
          </w:tcPr>
          <w:p>
            <w:pPr>
              <w:spacing w:after="0"/>
              <w:rPr>
                <w:sz w:val="18"/>
                <w:szCs w:val="18"/>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56,435</w:t>
            </w: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AF9E8"/>
          </w:tcPr>
          <w:p>
            <w:pPr>
              <w:spacing w:after="0"/>
              <w:rPr>
                <w:sz w:val="18"/>
                <w:szCs w:val="18"/>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26,119</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82,554</w:t>
            </w: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75,325</w:t>
            </w:r>
          </w:p>
        </w:tc>
      </w:tr>
      <w:tr>
        <w:trPr>
          <w:trHeight w:val="27"/>
        </w:trPr>
        <w:tc>
          <w:tcPr>
            <w:tcW w:w="20" w:type="dxa"/>
            <w:vAlign w:val="bottom"/>
          </w:tcPr>
          <w:p>
            <w:pPr>
              <w:spacing w:after="0"/>
              <w:rPr>
                <w:sz w:val="2"/>
                <w:szCs w:val="2"/>
                <w:color w:val="auto"/>
              </w:rPr>
            </w:pPr>
          </w:p>
        </w:tc>
        <w:tc>
          <w:tcPr>
            <w:tcW w:w="240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472,614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234,554</w:t>
            </w:r>
          </w:p>
        </w:tc>
        <w:tc>
          <w:tcPr>
            <w:tcW w:w="2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916,886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103,753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57,230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26,119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1,811,156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1,814,523</w:t>
            </w:r>
          </w:p>
        </w:tc>
      </w:tr>
      <w:tr>
        <w:trPr>
          <w:trHeight w:val="21"/>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9" w:lineRule="exact"/>
        <w:rPr>
          <w:sz w:val="20"/>
          <w:szCs w:val="20"/>
          <w:color w:val="auto"/>
        </w:rPr>
      </w:pPr>
    </w:p>
    <w:p>
      <w:pPr>
        <w:ind w:right="20" w:firstLine="663"/>
        <w:spacing w:after="0" w:line="279" w:lineRule="auto"/>
        <w:rPr>
          <w:sz w:val="20"/>
          <w:szCs w:val="20"/>
          <w:color w:val="auto"/>
        </w:rPr>
      </w:pPr>
      <w:r>
        <w:rPr>
          <w:rFonts w:ascii="Arial" w:cs="Arial" w:eastAsia="Arial" w:hAnsi="Arial"/>
          <w:sz w:val="17"/>
          <w:szCs w:val="17"/>
          <w:color w:val="auto"/>
        </w:rPr>
        <w:t>Where the functional currency is not the U.S. dollar, we translate assets and liabilities of foreign entities into U.S. dollars at the current rate of exchange existing at the balance sheet date, while revenues and expenses are translated at average monthly exchange rates. We report the resulting translation adjustments as a component of accumulated other comprehensive income in stockholders’ equity. Where the functional currency of a foreign entity is the U.S. dollar, re-measurement adjustments of foreign-denominated amounts are included in the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80" w:firstLine="663"/>
        <w:spacing w:after="0" w:line="277" w:lineRule="auto"/>
        <w:rPr>
          <w:sz w:val="20"/>
          <w:szCs w:val="20"/>
          <w:color w:val="auto"/>
        </w:rPr>
      </w:pPr>
      <w:r>
        <w:rPr>
          <w:rFonts w:ascii="Arial" w:cs="Arial" w:eastAsia="Arial" w:hAnsi="Arial"/>
          <w:sz w:val="18"/>
          <w:szCs w:val="18"/>
          <w:color w:val="auto"/>
        </w:rPr>
        <w:t>We file consolidated federal income tax returns. We allocate consolidated income tax among all subsidiaries included in the consolidated return as if each subsidiary filed a separate return or, in certain cases, a consolidated return.</w:t>
      </w:r>
    </w:p>
    <w:p>
      <w:pPr>
        <w:spacing w:after="0" w:line="170" w:lineRule="exact"/>
        <w:rPr>
          <w:sz w:val="20"/>
          <w:szCs w:val="20"/>
          <w:color w:val="auto"/>
        </w:rPr>
      </w:pPr>
    </w:p>
    <w:p>
      <w:pPr>
        <w:ind w:right="40" w:firstLine="663"/>
        <w:spacing w:after="0" w:line="289" w:lineRule="auto"/>
        <w:rPr>
          <w:sz w:val="20"/>
          <w:szCs w:val="20"/>
          <w:color w:val="auto"/>
        </w:rPr>
      </w:pPr>
      <w:r>
        <w:rPr>
          <w:rFonts w:ascii="Arial" w:cs="Arial" w:eastAsia="Arial" w:hAnsi="Arial"/>
          <w:sz w:val="16"/>
          <w:szCs w:val="16"/>
          <w:color w:val="auto"/>
        </w:rPr>
        <w:t>We account for income taxes using the asset and liability method which requires the recognition of deferred tax liabilities and assets for the expected future tax consequences of temporary differences between the carrying amounts and the tax bases of assets and liabilities. Additionally, we adjust deferred taxes to reflect estimated tax rate changes. We conduct periodic evaluations to determine whether it is more likely than not that some or all of our deferred tax assets will not be realized. Among the factors considered in this evaluation are estimates of future earnings, the future reversal of temporary differences and the impact of tax planning strategies that we can implement if warranted. We provide a valuation allowance for any portion of our deferred t ax assets that, more likely than not, will not be realized. We recognize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50 percent likelihood of being realized upon ultimate settlement with the relevant tax authority. We recognize interest and penalties related to income tax matters in income tax expense.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Earnings per Share</w:t>
      </w:r>
    </w:p>
    <w:p>
      <w:pPr>
        <w:spacing w:after="0" w:line="229" w:lineRule="exact"/>
        <w:rPr>
          <w:sz w:val="20"/>
          <w:szCs w:val="20"/>
          <w:color w:val="auto"/>
        </w:rPr>
      </w:pPr>
    </w:p>
    <w:p>
      <w:pPr>
        <w:ind w:right="20" w:firstLine="663"/>
        <w:spacing w:after="0" w:line="297" w:lineRule="auto"/>
        <w:rPr>
          <w:sz w:val="20"/>
          <w:szCs w:val="20"/>
          <w:color w:val="auto"/>
        </w:rPr>
      </w:pPr>
      <w:r>
        <w:rPr>
          <w:rFonts w:ascii="Arial" w:cs="Arial" w:eastAsia="Arial" w:hAnsi="Arial"/>
          <w:sz w:val="16"/>
          <w:szCs w:val="16"/>
          <w:color w:val="auto"/>
        </w:rPr>
        <w:t>We calculate basic earnings per share based upon the weighted average number of shares of common stock outstanding during the year. We calculate diluted earnings per share based upon the weighted average number of shares of common stock outstanding and all dilutive potential common shares outstanding during the year. The computation of diluted earnings per share includes the estimated impact of the exercise of the outstanding options to purchase common stock using the treasury stock method. The computation of diluted earnings per share also includes the potential shares of converted common stock associated with our 3.25% Contingent Convertible Senior Unsecured Notes (Convertible Notes) using the if-converted method.</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firstLine="663"/>
        <w:spacing w:after="0" w:line="257"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that we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materially differ from those estimates. Material estimates that are particularly significant in the near or medium term relate to fair value measurements, the provision for potential losses that may arise from litigation proceedings, the amortization of MSRs and the valuation of goodwill and deferred tax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We measure the cost of employee services received in exchange for an award of equity instruments based on the grant-date fair value of the award.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20" w:firstLine="663"/>
        <w:spacing w:after="0" w:line="269" w:lineRule="auto"/>
        <w:rPr>
          <w:sz w:val="20"/>
          <w:szCs w:val="20"/>
          <w:color w:val="auto"/>
        </w:rPr>
      </w:pPr>
      <w:r>
        <w:rPr>
          <w:rFonts w:ascii="Arial" w:cs="Arial" w:eastAsia="Arial" w:hAnsi="Arial"/>
          <w:sz w:val="17"/>
          <w:szCs w:val="17"/>
          <w:i w:val="1"/>
          <w:iCs w:val="1"/>
          <w:color w:val="auto"/>
        </w:rPr>
        <w:t xml:space="preserve">ASC 470, Debt. </w:t>
      </w:r>
      <w:r>
        <w:rPr>
          <w:rFonts w:ascii="Arial" w:cs="Arial" w:eastAsia="Arial" w:hAnsi="Arial"/>
          <w:sz w:val="17"/>
          <w:szCs w:val="17"/>
          <w:color w:val="auto"/>
        </w:rPr>
        <w:t>The Financial Accounting Standards Board (FASB) issued FASB Staff Position No. APB 14-1 providing guidance on convertible</w:t>
      </w:r>
      <w:r>
        <w:rPr>
          <w:rFonts w:ascii="Arial" w:cs="Arial" w:eastAsia="Arial" w:hAnsi="Arial"/>
          <w:sz w:val="17"/>
          <w:szCs w:val="17"/>
          <w:i w:val="1"/>
          <w:iCs w:val="1"/>
          <w:color w:val="auto"/>
        </w:rPr>
        <w:t xml:space="preserve"> </w:t>
      </w:r>
      <w:r>
        <w:rPr>
          <w:rFonts w:ascii="Arial" w:cs="Arial" w:eastAsia="Arial" w:hAnsi="Arial"/>
          <w:sz w:val="17"/>
          <w:szCs w:val="17"/>
          <w:color w:val="auto"/>
        </w:rPr>
        <w:t>debt instruments that may be settled in cash upon conversion (including partial cash settlement). Under this guidance, issuers of such instruments should separately account for the liability and equity components in a manner that will reflect the entity’s nonconvertible debt borrowing rate when interest cost is recognized in subsequent periods. Upon adoption of this standard on January 1, 2009, we recognized a discount to reduce the carrying value of the 3.25% Convertible Notes and an offsetting increase to stockholders’ equity. The cumulative effect of adop tion resulted in: (1) a reduction of retained earnings of $12,678 due to the retrospective accretion of the resulting debt discount to interest expense over the expected life of the notes; (2) adjustments to debt issue cost amortization and gains or losses recognized on previous redemptions; and (3) an increase in additional paid-in capital of $19,567. The adjustment to additional paid-in capital includes the recognized debt discount, adjusted for note redemptions, and the effect of deferred taxes, as well as net gains or losses attributable to redemptions of the equity component. Interest expense for the year ended December 31, 2008 has been adjusted to include amortization of debt discount of $3,886 and a reduction in the amortization of debt issue costs of $136. The gain previously recognized on the redemption of debt securities during 2008 of $3,595 has been adjusted to reflect a loss of $86 on the debt component of the convertible notes in the statement of operations and a gain of $2,800 in additional p aid in capital for the equity component.</w:t>
      </w:r>
    </w:p>
    <w:p>
      <w:pPr>
        <w:spacing w:after="0" w:line="180" w:lineRule="exact"/>
        <w:rPr>
          <w:sz w:val="20"/>
          <w:szCs w:val="20"/>
          <w:color w:val="auto"/>
        </w:rPr>
      </w:pPr>
    </w:p>
    <w:p>
      <w:pPr>
        <w:ind w:right="60" w:firstLine="663"/>
        <w:spacing w:after="0" w:line="288" w:lineRule="auto"/>
        <w:rPr>
          <w:sz w:val="20"/>
          <w:szCs w:val="20"/>
          <w:color w:val="auto"/>
        </w:rPr>
      </w:pPr>
      <w:r>
        <w:rPr>
          <w:rFonts w:ascii="Arial" w:cs="Arial" w:eastAsia="Arial" w:hAnsi="Arial"/>
          <w:sz w:val="16"/>
          <w:szCs w:val="16"/>
          <w:i w:val="1"/>
          <w:iCs w:val="1"/>
          <w:color w:val="auto"/>
        </w:rPr>
        <w:t xml:space="preserve">ASC 810, Consolidations. </w:t>
      </w:r>
      <w:r>
        <w:rPr>
          <w:rFonts w:ascii="Arial" w:cs="Arial" w:eastAsia="Arial" w:hAnsi="Arial"/>
          <w:sz w:val="16"/>
          <w:szCs w:val="16"/>
          <w:color w:val="auto"/>
        </w:rPr>
        <w:t>The FASB issued Statement of Financial Accounting Standards No. 160 (Codified within ASC 810) on December 4,</w:t>
      </w:r>
      <w:r>
        <w:rPr>
          <w:rFonts w:ascii="Arial" w:cs="Arial" w:eastAsia="Arial" w:hAnsi="Arial"/>
          <w:sz w:val="16"/>
          <w:szCs w:val="16"/>
          <w:i w:val="1"/>
          <w:iCs w:val="1"/>
          <w:color w:val="auto"/>
        </w:rPr>
        <w:t xml:space="preserve"> </w:t>
      </w:r>
      <w:r>
        <w:rPr>
          <w:rFonts w:ascii="Arial" w:cs="Arial" w:eastAsia="Arial" w:hAnsi="Arial"/>
          <w:sz w:val="16"/>
          <w:szCs w:val="16"/>
          <w:color w:val="auto"/>
        </w:rPr>
        <w:t>2007. The statement established new accounting and reporting standards for a non-controlling interest in a subsidiary and for the deconsolidation of a subsidiary. Specifically, this statement requires the recognition of a non-controlling interest (minority interest) as equity in the consolidated financial statements separate from the parent’s equity. The amount of net income attributable to the non-controlling interest is included in consolidated net income on the face of the income statement. The statement clarifies that changes in a parent’s ownership interes t in a subsidiary that do not result in deconsolidation are equity transactions if the parent retains its controlling financial interest. In addition, when a subsidiary is deconsolidated, this statement requires that a parent recognize a gain or loss in net income based on the fair value of the entire entity, irrespective of any retained ownership, on the deconsolidation date. Such a gain or loss will be measured using the fair value of the non-controlling equity investment on the deconsolidation date. We adopted this standard on January 1, 2009 by retrospectively applying the provisions of the new guidance to all prior periods. Because the outstanding non-controlling interests in consolidated subsidiaries are not significant, the implementation of this standard did not have a material effect on our consolidated financial statements.</w:t>
      </w:r>
    </w:p>
    <w:p>
      <w:pPr>
        <w:spacing w:after="0" w:line="169" w:lineRule="exact"/>
        <w:rPr>
          <w:sz w:val="20"/>
          <w:szCs w:val="20"/>
          <w:color w:val="auto"/>
        </w:rPr>
      </w:pPr>
    </w:p>
    <w:p>
      <w:pPr>
        <w:ind w:right="20" w:firstLine="663"/>
        <w:spacing w:after="0" w:line="271" w:lineRule="auto"/>
        <w:rPr>
          <w:sz w:val="20"/>
          <w:szCs w:val="20"/>
          <w:color w:val="auto"/>
        </w:rPr>
      </w:pPr>
      <w:r>
        <w:rPr>
          <w:rFonts w:ascii="Arial" w:cs="Arial" w:eastAsia="Arial" w:hAnsi="Arial"/>
          <w:sz w:val="17"/>
          <w:szCs w:val="17"/>
          <w:i w:val="1"/>
          <w:iCs w:val="1"/>
          <w:color w:val="auto"/>
        </w:rPr>
        <w:t xml:space="preserve">ASU 2009-16 (ASC 860, Transfers and Servicing): Accounting for Transfers of Financial Assets. </w:t>
      </w:r>
      <w:r>
        <w:rPr>
          <w:rFonts w:ascii="Arial" w:cs="Arial" w:eastAsia="Arial" w:hAnsi="Arial"/>
          <w:sz w:val="17"/>
          <w:szCs w:val="17"/>
          <w:color w:val="auto"/>
        </w:rPr>
        <w:t>This statement eliminated the exceptions for</w:t>
      </w:r>
      <w:r>
        <w:rPr>
          <w:rFonts w:ascii="Arial" w:cs="Arial" w:eastAsia="Arial" w:hAnsi="Arial"/>
          <w:sz w:val="17"/>
          <w:szCs w:val="17"/>
          <w:i w:val="1"/>
          <w:iCs w:val="1"/>
          <w:color w:val="auto"/>
        </w:rPr>
        <w:t xml:space="preserve"> </w:t>
      </w:r>
      <w:r>
        <w:rPr>
          <w:rFonts w:ascii="Arial" w:cs="Arial" w:eastAsia="Arial" w:hAnsi="Arial"/>
          <w:sz w:val="17"/>
          <w:szCs w:val="17"/>
          <w:color w:val="auto"/>
        </w:rPr>
        <w:t>qualifying special purpose entities (QSPE) from the consolidation guidance (ASC 810) and clarified that the objective of the standard is to determine whether a transferor and all of the entities included in the transferor’s financial statements being presented have surrendered control over transferred financial assets. That determination must consider the transferor’s continuing involvements in the transferred financial asset including all arrangements or agreements made contemporaneously with, or in contemplation of, the transfer, even if they were not en tered into at the time of the transfer. This statement modified the financial-components approach previously used and limits the circumstances in which a financial asset, or portion of a financial asset, should be derecognized when the transferor has not transferred the entire original financial asset to an entity that is not consolidated with the transferor in the financial statements being presented and/or when the transferor has continuing involvement with the transferred financial asset.</w:t>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78" w:name="page79"/>
    <w:bookmarkEnd w:id="78"/>
    <w:p>
      <w:pPr>
        <w:ind w:right="20" w:firstLine="663"/>
        <w:spacing w:after="0" w:line="255" w:lineRule="auto"/>
        <w:rPr>
          <w:sz w:val="20"/>
          <w:szCs w:val="20"/>
          <w:color w:val="auto"/>
        </w:rPr>
      </w:pPr>
      <w:r>
        <w:rPr>
          <w:rFonts w:ascii="Arial" w:cs="Arial" w:eastAsia="Arial" w:hAnsi="Arial"/>
          <w:sz w:val="18"/>
          <w:szCs w:val="18"/>
          <w:color w:val="auto"/>
        </w:rPr>
        <w:t>This statement defined the term participating interest to establish specific conditions for reporting a transfer of a portion of a financial asset as a sale. If the transfer does not meet those conditions, a transferor should account for the transfer as a sale only if it transfers an entire financial asset or a group of entire financial assets and surrenders control over the entire transferred asset(s). This statement requires that a transferor recognize and initially measure at fair value all assets obtained (including a transferor’s beneficial interest) and liabilities incurred as a result of a transfer of financial assets accounted for as a sale. Enhanced disclosures are required to provide financial statement users with greater transparency about tra nsfers of financial assets and a transferor’s continuing involvement with transferred financial assets.</w:t>
      </w:r>
    </w:p>
    <w:p>
      <w:pPr>
        <w:spacing w:after="0" w:line="193" w:lineRule="exact"/>
        <w:rPr>
          <w:sz w:val="20"/>
          <w:szCs w:val="20"/>
          <w:color w:val="auto"/>
        </w:rPr>
      </w:pPr>
    </w:p>
    <w:p>
      <w:pPr>
        <w:ind w:right="140" w:firstLine="663"/>
        <w:spacing w:after="0" w:line="342" w:lineRule="auto"/>
        <w:rPr>
          <w:sz w:val="20"/>
          <w:szCs w:val="20"/>
          <w:color w:val="auto"/>
        </w:rPr>
      </w:pPr>
      <w:r>
        <w:rPr>
          <w:rFonts w:ascii="Arial" w:cs="Arial" w:eastAsia="Arial" w:hAnsi="Arial"/>
          <w:sz w:val="16"/>
          <w:szCs w:val="16"/>
          <w:color w:val="auto"/>
        </w:rPr>
        <w:t>We adopted this standard effective January 1, 2010 as a result of which, we reevaluated certain QSPEs with which we had ongoing relationships as further described under ASU 2009-17, below, and reassessed the adequacy of our disclosures with regard to our servicing assets and servicing liabilities.</w:t>
      </w:r>
    </w:p>
    <w:p>
      <w:pPr>
        <w:spacing w:after="0" w:line="124" w:lineRule="exact"/>
        <w:rPr>
          <w:sz w:val="20"/>
          <w:szCs w:val="20"/>
          <w:color w:val="auto"/>
        </w:rPr>
      </w:pPr>
    </w:p>
    <w:p>
      <w:pPr>
        <w:jc w:val="both"/>
        <w:ind w:right="20" w:firstLine="663"/>
        <w:spacing w:after="0" w:line="264" w:lineRule="auto"/>
        <w:rPr>
          <w:sz w:val="20"/>
          <w:szCs w:val="20"/>
          <w:color w:val="auto"/>
        </w:rPr>
      </w:pPr>
      <w:r>
        <w:rPr>
          <w:rFonts w:ascii="Arial" w:cs="Arial" w:eastAsia="Arial" w:hAnsi="Arial"/>
          <w:sz w:val="18"/>
          <w:szCs w:val="18"/>
          <w:i w:val="1"/>
          <w:iCs w:val="1"/>
          <w:color w:val="auto"/>
        </w:rPr>
        <w:t xml:space="preserve">ASU 2009-17 (ASC 810, Consolidation): Improvements to Financial Reporting by Enterprises Involved with Variable Interest Entities. </w:t>
      </w:r>
      <w:r>
        <w:rPr>
          <w:rFonts w:ascii="Arial" w:cs="Arial" w:eastAsia="Arial" w:hAnsi="Arial"/>
          <w:sz w:val="18"/>
          <w:szCs w:val="18"/>
          <w:color w:val="auto"/>
        </w:rPr>
        <w:t>This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that an enterprise perform ongoing periodic assessments to determine whether the enterprise’s variable interests give it a controlling financial interest in a VIE. The primary beneficiary of a VIE is an enterprise that has both of the following characteristics:</w:t>
      </w:r>
    </w:p>
    <w:p>
      <w:pPr>
        <w:spacing w:after="0" w:line="181" w:lineRule="exact"/>
        <w:rPr>
          <w:sz w:val="20"/>
          <w:szCs w:val="20"/>
          <w:color w:val="auto"/>
        </w:rPr>
      </w:pPr>
    </w:p>
    <w:p>
      <w:pPr>
        <w:ind w:left="1160" w:hanging="571"/>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power to direct the activities of a variable interest entity that most significantly impact the entity’s economic performance.</w:t>
      </w:r>
    </w:p>
    <w:p>
      <w:pPr>
        <w:spacing w:after="0" w:line="225" w:lineRule="exact"/>
        <w:rPr>
          <w:rFonts w:ascii="Arial" w:cs="Arial" w:eastAsia="Arial" w:hAnsi="Arial"/>
          <w:sz w:val="18"/>
          <w:szCs w:val="18"/>
          <w:color w:val="auto"/>
        </w:rPr>
      </w:pPr>
    </w:p>
    <w:p>
      <w:pPr>
        <w:ind w:left="1160" w:right="60" w:hanging="571"/>
        <w:spacing w:after="0" w:line="277" w:lineRule="auto"/>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obligation to absorb losses of the entity that could potentially be significant to the VIE or the right to receive benefits from the entity that could potentially be significant to the VIE.</w:t>
      </w:r>
    </w:p>
    <w:p>
      <w:pPr>
        <w:spacing w:after="0" w:line="170" w:lineRule="exact"/>
        <w:rPr>
          <w:sz w:val="20"/>
          <w:szCs w:val="20"/>
          <w:color w:val="auto"/>
        </w:rPr>
      </w:pPr>
    </w:p>
    <w:p>
      <w:pPr>
        <w:ind w:firstLine="666"/>
        <w:spacing w:after="0" w:line="290" w:lineRule="auto"/>
        <w:rPr>
          <w:sz w:val="20"/>
          <w:szCs w:val="20"/>
          <w:color w:val="auto"/>
        </w:rPr>
      </w:pPr>
      <w:r>
        <w:rPr>
          <w:rFonts w:ascii="Arial" w:cs="Arial" w:eastAsia="Arial" w:hAnsi="Arial"/>
          <w:sz w:val="16"/>
          <w:szCs w:val="16"/>
          <w:color w:val="auto"/>
        </w:rPr>
        <w:t>In addition to reintroducing the concept of control into the determination of the primary beneficiary of a VIE, this statement makes numerous other amendments to the current standards primarily to reflect the elimination of the concept of a QSPE under ASC 860 (above). This statement also amends the current standards to require enhanced disclosures that provide users of financial statements with more transparent information about an enterprise’s involvement in a variable interest entity. The enhanced disclosures are required for any enterprise that holds a variable interest in a VIE. We adopted this standard effective January 1, 2010. The additional disclosures required by this statement are included in Note 1—Summary of Significant Accounting Polic ies. As also disclosed in Note 1—Securitizations of Residential Mortgage Loans, we previously excluded certain loan securitization trusts from our consolidated financial statements because each was a QSPE. Effective January 1, 2010, we reevaluated these QSPEs as well as all other potentially significant interests in other unconsolidated entities to determine if we should include them in our consolidated financial statements.</w:t>
      </w:r>
    </w:p>
    <w:p>
      <w:pPr>
        <w:spacing w:after="0" w:line="166" w:lineRule="exact"/>
        <w:rPr>
          <w:sz w:val="20"/>
          <w:szCs w:val="20"/>
          <w:color w:val="auto"/>
        </w:rPr>
      </w:pPr>
    </w:p>
    <w:p>
      <w:pPr>
        <w:ind w:right="60" w:firstLine="663"/>
        <w:spacing w:after="0" w:line="254" w:lineRule="auto"/>
        <w:rPr>
          <w:sz w:val="20"/>
          <w:szCs w:val="20"/>
          <w:color w:val="auto"/>
        </w:rPr>
      </w:pPr>
      <w:r>
        <w:rPr>
          <w:rFonts w:ascii="Arial" w:cs="Arial" w:eastAsia="Arial" w:hAnsi="Arial"/>
          <w:sz w:val="18"/>
          <w:szCs w:val="18"/>
          <w:i w:val="1"/>
          <w:iCs w:val="1"/>
          <w:color w:val="auto"/>
        </w:rPr>
        <w:t>ASU No. 2010-06 (ASC 820, Fair Value Measurements and Disclosures): Improving Disclosures about Fair Value Measurements</w:t>
      </w:r>
      <w:r>
        <w:rPr>
          <w:rFonts w:ascii="Arial" w:cs="Arial" w:eastAsia="Arial" w:hAnsi="Arial"/>
          <w:sz w:val="18"/>
          <w:szCs w:val="18"/>
          <w:color w:val="auto"/>
        </w:rPr>
        <w:t>. ASU 2010-06</w:t>
      </w:r>
      <w:r>
        <w:rPr>
          <w:rFonts w:ascii="Arial" w:cs="Arial" w:eastAsia="Arial" w:hAnsi="Arial"/>
          <w:sz w:val="18"/>
          <w:szCs w:val="18"/>
          <w:i w:val="1"/>
          <w:iCs w:val="1"/>
          <w:color w:val="auto"/>
        </w:rPr>
        <w:t xml:space="preserve"> </w:t>
      </w:r>
      <w:r>
        <w:rPr>
          <w:rFonts w:ascii="Arial" w:cs="Arial" w:eastAsia="Arial" w:hAnsi="Arial"/>
          <w:sz w:val="18"/>
          <w:szCs w:val="18"/>
          <w:color w:val="auto"/>
        </w:rPr>
        <w:t>revises two disclosure requirements concerning fair value measurements and clarifies two others. It requires separate presentation of significant transfers into and out of Levels 1 and 2 of the fair value hierarchy and the reasons for such transfers. It also requires the presentation of purchases, sales, issuances and settlements within Level 3 on a gross rather than net basis. The amendments also clarify that disclosures should be disaggregated by class of asset or liability and that disclosures about inputs and valuation techniques should be provided for both recurring an d non-recurring fair value measurements. These new disclosure requirements became effective for our financial statements for the period ended June 30, 2010, except for the requirement concerning gross presentation of Level 3 activity, which are effective for fiscal years beginning after December 15, 2010. See Note 3 for our fair value disclosures related to financial instruments.</w:t>
      </w:r>
    </w:p>
    <w:p>
      <w:pPr>
        <w:spacing w:after="0" w:line="192" w:lineRule="exact"/>
        <w:rPr>
          <w:sz w:val="20"/>
          <w:szCs w:val="20"/>
          <w:color w:val="auto"/>
        </w:rPr>
      </w:pPr>
    </w:p>
    <w:p>
      <w:pPr>
        <w:ind w:right="20" w:firstLine="663"/>
        <w:spacing w:after="0" w:line="257" w:lineRule="auto"/>
        <w:rPr>
          <w:sz w:val="20"/>
          <w:szCs w:val="20"/>
          <w:color w:val="auto"/>
        </w:rPr>
      </w:pPr>
      <w:r>
        <w:rPr>
          <w:rFonts w:ascii="Arial" w:cs="Arial" w:eastAsia="Arial" w:hAnsi="Arial"/>
          <w:sz w:val="18"/>
          <w:szCs w:val="18"/>
          <w:i w:val="1"/>
          <w:iCs w:val="1"/>
          <w:color w:val="auto"/>
        </w:rPr>
        <w:t>ASU No. 2010-20 (ASC 310, Receivables)</w:t>
      </w:r>
      <w:r>
        <w:rPr>
          <w:rFonts w:ascii="Arial" w:cs="Arial" w:eastAsia="Arial" w:hAnsi="Arial"/>
          <w:sz w:val="18"/>
          <w:szCs w:val="18"/>
          <w:color w:val="auto"/>
        </w:rPr>
        <w:t>:</w:t>
      </w:r>
      <w:r>
        <w:rPr>
          <w:rFonts w:ascii="Arial" w:cs="Arial" w:eastAsia="Arial" w:hAnsi="Arial"/>
          <w:sz w:val="18"/>
          <w:szCs w:val="18"/>
          <w:i w:val="1"/>
          <w:iCs w:val="1"/>
          <w:color w:val="auto"/>
        </w:rPr>
        <w:t xml:space="preserve"> Disclosures about the Credit Quality of Financing Receivables and the Allowance for Credit Losses</w:t>
      </w:r>
      <w:r>
        <w:rPr>
          <w:rFonts w:ascii="Arial" w:cs="Arial" w:eastAsia="Arial" w:hAnsi="Arial"/>
          <w:sz w:val="18"/>
          <w:szCs w:val="18"/>
          <w:color w:val="auto"/>
        </w:rPr>
        <w:t>. This</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 outlines specific disclosures required for the allowance for credit losses and all finance receivables, as defined. A finance receivable is defined as a contractual right to receive money on demand or on fixed or determinable dates that is recognized as an asset in the entity’s statement of financial position and includes instruments certain trade receivables, notes receivable and lease receivables as well as mortgage loans, auto loans, credit card loans and other consumer or commercial lendi ng agreements.</w:t>
      </w:r>
    </w:p>
    <w:p>
      <w:pPr>
        <w:spacing w:after="0" w:line="188" w:lineRule="exact"/>
        <w:rPr>
          <w:sz w:val="20"/>
          <w:szCs w:val="20"/>
          <w:color w:val="auto"/>
        </w:rPr>
      </w:pPr>
    </w:p>
    <w:p>
      <w:pPr>
        <w:ind w:firstLine="663"/>
        <w:spacing w:after="0" w:line="291" w:lineRule="auto"/>
        <w:rPr>
          <w:sz w:val="20"/>
          <w:szCs w:val="20"/>
          <w:color w:val="auto"/>
        </w:rPr>
      </w:pPr>
      <w:r>
        <w:rPr>
          <w:rFonts w:ascii="Arial" w:cs="Arial" w:eastAsia="Arial" w:hAnsi="Arial"/>
          <w:sz w:val="16"/>
          <w:szCs w:val="16"/>
          <w:color w:val="auto"/>
        </w:rPr>
        <w:t>The standard requires disclosure of disaggregated information for both the finance receivables and the related allowance for credit losses and introduces two defined terms that govern the level of disaggregation. These terms include “portfolio segment” and “class” of financing receivable. A portfolio segment is the level at which an entity determines its allowance for credit losses, such as by type of receivable, industry or risk. A class of financing receivable is defined as a group of finance receivables determined on the basis of their initial measurement attribute, risk characteristics and an entity’s method for monitoring and assessing credit risk. The disclosure requirements specifically do not apply to trade receivables wit h contractual maturities of one year or less that arose from the sale of goods or services, except for credit card receivables. The disclosure requirements do not apply to mortgage banking activities, including the long-term servicing of loans. In addition, certain disclosures are not required for receivables measured at the lower of cost or market.</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79" w:name="page80"/>
    <w:bookmarkEnd w:id="79"/>
    <w:p>
      <w:pPr>
        <w:ind w:right="160" w:firstLine="663"/>
        <w:spacing w:after="0" w:line="277" w:lineRule="auto"/>
        <w:rPr>
          <w:sz w:val="20"/>
          <w:szCs w:val="20"/>
          <w:color w:val="auto"/>
        </w:rPr>
      </w:pPr>
      <w:r>
        <w:rPr>
          <w:rFonts w:ascii="Arial" w:cs="Arial" w:eastAsia="Arial" w:hAnsi="Arial"/>
          <w:sz w:val="18"/>
          <w:szCs w:val="18"/>
          <w:color w:val="auto"/>
        </w:rPr>
        <w:t>The new guidance requires an entity to provide the extensive disclosures or information for the reporting periods presented both for information as of the end of a reporting period and for activity that occurred during the period.</w:t>
      </w:r>
    </w:p>
    <w:p>
      <w:pPr>
        <w:spacing w:after="0" w:line="170" w:lineRule="exact"/>
        <w:rPr>
          <w:sz w:val="20"/>
          <w:szCs w:val="20"/>
          <w:color w:val="auto"/>
        </w:rPr>
      </w:pPr>
    </w:p>
    <w:p>
      <w:pPr>
        <w:ind w:right="60" w:firstLine="666"/>
        <w:spacing w:after="0" w:line="259" w:lineRule="auto"/>
        <w:rPr>
          <w:sz w:val="20"/>
          <w:szCs w:val="20"/>
          <w:color w:val="auto"/>
        </w:rPr>
      </w:pPr>
      <w:r>
        <w:rPr>
          <w:rFonts w:ascii="Arial" w:cs="Arial" w:eastAsia="Arial" w:hAnsi="Arial"/>
          <w:sz w:val="18"/>
          <w:szCs w:val="18"/>
          <w:color w:val="auto"/>
        </w:rPr>
        <w:t>Disclosures of information as of the end of a reporting period became effective for both interim and annual reporting periods ending after December 15, 2010. Our adoption of this standard did not have a material effect on our financial position or results of operations. Specific items regarding activity that occurred prior to the issuance of the ASU, such as the allowance rollforward and modification disclosures are required for periods beginning after December 15, 2010.</w:t>
      </w:r>
    </w:p>
    <w:p>
      <w:pPr>
        <w:spacing w:after="0" w:line="187" w:lineRule="exact"/>
        <w:rPr>
          <w:sz w:val="20"/>
          <w:szCs w:val="20"/>
          <w:color w:val="auto"/>
        </w:rPr>
      </w:pPr>
    </w:p>
    <w:p>
      <w:pPr>
        <w:ind w:right="20" w:firstLine="663"/>
        <w:spacing w:after="0" w:line="255" w:lineRule="auto"/>
        <w:rPr>
          <w:sz w:val="20"/>
          <w:szCs w:val="20"/>
          <w:color w:val="auto"/>
        </w:rPr>
      </w:pPr>
      <w:r>
        <w:rPr>
          <w:rFonts w:ascii="Arial" w:cs="Arial" w:eastAsia="Arial" w:hAnsi="Arial"/>
          <w:sz w:val="18"/>
          <w:szCs w:val="18"/>
          <w:i w:val="1"/>
          <w:iCs w:val="1"/>
          <w:color w:val="auto"/>
        </w:rPr>
        <w:t>ASU 2010-28 (ASC 350, Intangibles – Goodwill and Other): When to Perform Step 2 of the Goodwill Impairment Test for Reporting Units with Zero or Negative Carrying Amounts</w:t>
      </w:r>
      <w:r>
        <w:rPr>
          <w:rFonts w:ascii="Arial" w:cs="Arial" w:eastAsia="Arial" w:hAnsi="Arial"/>
          <w:sz w:val="18"/>
          <w:szCs w:val="18"/>
          <w:color w:val="auto"/>
        </w:rPr>
        <w:t>. The amendments in this update affect all entities that have recognized goodwill and have one or more reporting units whose</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amount for purposes of performing Step 1 of the goodwill impairment test is zero or negative. For those reporting units, Step 2 of the goodwill impairment test is required if it is more likely than not that a goodwill impairment exists. This update is effective for fiscal years, and interim periods within those years, beginning after December 15, 2010. Our adoption of this standard on January 1, 2011 did not have a material effect on our financial position or results of operations. Our recognized goodwill relates to the HomEq Acquisition and is included in the Servicing segment, which does not have a negative or zero carrying value.</w:t>
      </w:r>
    </w:p>
    <w:p>
      <w:pPr>
        <w:spacing w:after="0" w:line="189" w:lineRule="exact"/>
        <w:rPr>
          <w:sz w:val="20"/>
          <w:szCs w:val="20"/>
          <w:color w:val="auto"/>
        </w:rPr>
      </w:pPr>
    </w:p>
    <w:p>
      <w:pPr>
        <w:ind w:firstLine="663"/>
        <w:spacing w:after="0" w:line="290" w:lineRule="auto"/>
        <w:rPr>
          <w:sz w:val="20"/>
          <w:szCs w:val="20"/>
          <w:color w:val="auto"/>
        </w:rPr>
      </w:pPr>
      <w:r>
        <w:rPr>
          <w:rFonts w:ascii="Arial" w:cs="Arial" w:eastAsia="Arial" w:hAnsi="Arial"/>
          <w:sz w:val="16"/>
          <w:szCs w:val="16"/>
          <w:i w:val="1"/>
          <w:iCs w:val="1"/>
          <w:color w:val="auto"/>
        </w:rPr>
        <w:t>ASU 2010-29 (ASC 805, Business Combinations): Disclosure of Supplementary Pro Forma Information for Business Combinations</w:t>
      </w:r>
      <w:r>
        <w:rPr>
          <w:rFonts w:ascii="Arial" w:cs="Arial" w:eastAsia="Arial" w:hAnsi="Arial"/>
          <w:sz w:val="16"/>
          <w:szCs w:val="16"/>
          <w:color w:val="auto"/>
        </w:rPr>
        <w:t>. The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amendments in this require disclose of revenue and earnings of the combined entity as though the business combination(s) that occurred during the current year had occurred as of the beginning of the comparable prior annual reporting period only. The amendments also expand the supplemental pro forma disclosures to include a description of the nature and amount of material, nonrecurring pro forma adjustments directly attributable to the business combination included in the reported pro forma revenue and earnings. This update is effective prospectively for business combinations for which the acquisition date is on or after the beginning of the first annual reporting period beginning on or after December 15, 2010. Early adoption is permitted, and we adopted this standard effective December 31, 2010 as a result of which we modified our disclosures of the pro forma impact of the HomEq Acquisition to include the assumption, for both 2010 and 2009, that the acquisition had occurred on January 1, 2009. See Note 2 for our pro forma disclosures.</w:t>
      </w:r>
    </w:p>
    <w:p>
      <w:pPr>
        <w:spacing w:after="0" w:line="16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ACQUISITION</w:t>
      </w:r>
    </w:p>
    <w:p>
      <w:pPr>
        <w:spacing w:after="0" w:line="229" w:lineRule="exact"/>
        <w:rPr>
          <w:sz w:val="20"/>
          <w:szCs w:val="20"/>
          <w:color w:val="auto"/>
        </w:rPr>
      </w:pPr>
    </w:p>
    <w:p>
      <w:pPr>
        <w:ind w:right="60" w:firstLine="666"/>
        <w:spacing w:after="0" w:line="259" w:lineRule="auto"/>
        <w:rPr>
          <w:sz w:val="20"/>
          <w:szCs w:val="20"/>
          <w:color w:val="auto"/>
        </w:rPr>
      </w:pPr>
      <w:r>
        <w:rPr>
          <w:rFonts w:ascii="Arial" w:cs="Arial" w:eastAsia="Arial" w:hAnsi="Arial"/>
          <w:sz w:val="18"/>
          <w:szCs w:val="18"/>
          <w:color w:val="auto"/>
        </w:rPr>
        <w:t>On September 1, 2010, Ocwen completed the HomEq Acquisition. The sellers were Barclays Bank PLC, a corporation organized under the laws of England and Wales (Barclays), and Barclays Capital Real Estate Inc., a corporation organized under the laws of the State of Delaware (BCRE). The HomeEq Acquisition was completed in accordance with the provisions of the Asset Purchase Agreement dated May 28, 2010 among Barclays, BCRE, OLS and Ocwen. This transaction did not result in the transfer of ownership of any legal entities.</w:t>
      </w:r>
    </w:p>
    <w:p>
      <w:pPr>
        <w:spacing w:after="0" w:line="187" w:lineRule="exact"/>
        <w:rPr>
          <w:sz w:val="20"/>
          <w:szCs w:val="20"/>
          <w:color w:val="auto"/>
        </w:rPr>
      </w:pPr>
    </w:p>
    <w:p>
      <w:pPr>
        <w:ind w:right="480" w:firstLine="666"/>
        <w:spacing w:after="0" w:line="277" w:lineRule="auto"/>
        <w:rPr>
          <w:sz w:val="20"/>
          <w:szCs w:val="20"/>
          <w:color w:val="auto"/>
        </w:rPr>
      </w:pPr>
      <w:r>
        <w:rPr>
          <w:rFonts w:ascii="Arial" w:cs="Arial" w:eastAsia="Arial" w:hAnsi="Arial"/>
          <w:sz w:val="18"/>
          <w:szCs w:val="18"/>
          <w:color w:val="auto"/>
        </w:rPr>
        <w:t>Ocwen acquired HomEq Servicing in order to grow its Servicing segment. With the close of the HomEq Acquisition, Ocwen boarded 134,000 residential mortgage loans with an aggregate unpaid principal balance of $22,400,000 onto its servicing platform.</w:t>
      </w:r>
    </w:p>
    <w:p>
      <w:pPr>
        <w:spacing w:after="0" w:line="170" w:lineRule="exact"/>
        <w:rPr>
          <w:sz w:val="20"/>
          <w:szCs w:val="20"/>
          <w:color w:val="auto"/>
        </w:rPr>
      </w:pPr>
    </w:p>
    <w:p>
      <w:pPr>
        <w:ind w:right="40" w:firstLine="666"/>
        <w:spacing w:after="0" w:line="255" w:lineRule="auto"/>
        <w:rPr>
          <w:sz w:val="20"/>
          <w:szCs w:val="20"/>
          <w:color w:val="auto"/>
        </w:rPr>
      </w:pPr>
      <w:r>
        <w:rPr>
          <w:rFonts w:ascii="Arial" w:cs="Arial" w:eastAsia="Arial" w:hAnsi="Arial"/>
          <w:sz w:val="18"/>
          <w:szCs w:val="18"/>
          <w:color w:val="auto"/>
        </w:rPr>
        <w:t>OLS paid an initial aggregate purchase price of $1,196,747 in cash upon completion of the HomEq Acquisition. Of this amount, $852,617 was funded by notes issued by a new $1,011,000 structured servicing advance financing facility, $150,000 was paid from funds held in escrow in accordance with the terms of the new $350,000 senior secured term loan facility and $194,130 consisted of cash and funds borrowed pursuant to the senior secured term loan facility. See Note 14 and Note 16 for additional details regarding the terms of the notes supporting these facilities. The initial purchase price was reduced by $29,625 pursuant to an initial true-up of advances as reflected in the table below. We have recorded a receivable of $1,449 for amounts due to us for further true-up under adjustment mechanisms and repurchase rights as provided in the Asset Purchase Agreement. We do not anticipate any further adjustments subsequent to December 31, 2010.</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80" w:name="page81"/>
    <w:bookmarkEnd w:id="80"/>
    <w:p>
      <w:pPr>
        <w:ind w:right="20" w:firstLine="663"/>
        <w:spacing w:after="0" w:line="264" w:lineRule="auto"/>
        <w:rPr>
          <w:sz w:val="20"/>
          <w:szCs w:val="20"/>
          <w:color w:val="auto"/>
        </w:rPr>
      </w:pPr>
      <w:r>
        <w:rPr>
          <w:rFonts w:ascii="Arial" w:cs="Arial" w:eastAsia="Arial" w:hAnsi="Arial"/>
          <w:sz w:val="18"/>
          <w:szCs w:val="18"/>
          <w:color w:val="auto"/>
        </w:rPr>
        <w:t>The transaction has been accounted for using the acquisition method of accounting which requires, among other things, the assets acquired and liabilities assumed be recognized at their fair values as of the acquisition date. The following table summarizes the fair values of assets acquired and liabilities assumed as part of the HomEq Acquisition: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80" w:type="dxa"/>
            <w:vAlign w:val="bottom"/>
            <w:shd w:val="clear" w:color="auto" w:fill="EAF9E8"/>
          </w:tcPr>
          <w:p>
            <w:pPr>
              <w:spacing w:after="0"/>
              <w:rPr>
                <w:sz w:val="20"/>
                <w:szCs w:val="20"/>
                <w:color w:val="auto"/>
              </w:rPr>
            </w:pPr>
            <w:r>
              <w:rPr>
                <w:rFonts w:ascii="Arial" w:cs="Arial" w:eastAsia="Arial" w:hAnsi="Arial"/>
                <w:sz w:val="18"/>
                <w:szCs w:val="18"/>
                <w:color w:val="auto"/>
              </w:rPr>
              <w:t>Mortgage servicing rights (1)</w:t>
            </w:r>
          </w:p>
        </w:tc>
        <w:tc>
          <w:tcPr>
            <w:tcW w:w="4180" w:type="dxa"/>
            <w:vAlign w:val="bottom"/>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84,324</w:t>
            </w: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Advances (2)</w:t>
            </w:r>
          </w:p>
        </w:tc>
        <w:tc>
          <w:tcPr>
            <w:tcW w:w="3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1,063,180</w:t>
            </w:r>
          </w:p>
        </w:tc>
      </w:tr>
      <w:tr>
        <w:trPr>
          <w:trHeight w:val="216"/>
        </w:trPr>
        <w:tc>
          <w:tcPr>
            <w:tcW w:w="20" w:type="dxa"/>
            <w:vAlign w:val="bottom"/>
          </w:tcPr>
          <w:p>
            <w:pPr>
              <w:spacing w:after="0"/>
              <w:rPr>
                <w:sz w:val="18"/>
                <w:szCs w:val="18"/>
                <w:color w:val="auto"/>
              </w:rPr>
            </w:pPr>
          </w:p>
        </w:tc>
        <w:tc>
          <w:tcPr>
            <w:tcW w:w="6180" w:type="dxa"/>
            <w:vAlign w:val="bottom"/>
            <w:shd w:val="clear" w:color="auto" w:fill="EAF9E8"/>
          </w:tcPr>
          <w:p>
            <w:pPr>
              <w:spacing w:after="0"/>
              <w:rPr>
                <w:sz w:val="20"/>
                <w:szCs w:val="20"/>
                <w:color w:val="auto"/>
              </w:rPr>
            </w:pPr>
            <w:r>
              <w:rPr>
                <w:rFonts w:ascii="Arial" w:cs="Arial" w:eastAsia="Arial" w:hAnsi="Arial"/>
                <w:sz w:val="18"/>
                <w:szCs w:val="18"/>
                <w:color w:val="auto"/>
              </w:rPr>
              <w:t>Receivables (3)</w:t>
            </w:r>
          </w:p>
        </w:tc>
        <w:tc>
          <w:tcPr>
            <w:tcW w:w="38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7,957</w:t>
            </w: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Premises and equipment, net (4)</w:t>
            </w:r>
          </w:p>
        </w:tc>
        <w:tc>
          <w:tcPr>
            <w:tcW w:w="3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6,728</w:t>
            </w:r>
          </w:p>
        </w:tc>
      </w:tr>
      <w:tr>
        <w:trPr>
          <w:trHeight w:val="216"/>
        </w:trPr>
        <w:tc>
          <w:tcPr>
            <w:tcW w:w="20" w:type="dxa"/>
            <w:vAlign w:val="bottom"/>
          </w:tcPr>
          <w:p>
            <w:pPr>
              <w:spacing w:after="0"/>
              <w:rPr>
                <w:sz w:val="18"/>
                <w:szCs w:val="18"/>
                <w:color w:val="auto"/>
              </w:rPr>
            </w:pPr>
          </w:p>
        </w:tc>
        <w:tc>
          <w:tcPr>
            <w:tcW w:w="6180" w:type="dxa"/>
            <w:vAlign w:val="bottom"/>
            <w:shd w:val="clear" w:color="auto" w:fill="EAF9E8"/>
          </w:tcPr>
          <w:p>
            <w:pPr>
              <w:spacing w:after="0"/>
              <w:rPr>
                <w:sz w:val="20"/>
                <w:szCs w:val="20"/>
                <w:color w:val="auto"/>
              </w:rPr>
            </w:pPr>
            <w:r>
              <w:rPr>
                <w:rFonts w:ascii="Arial" w:cs="Arial" w:eastAsia="Arial" w:hAnsi="Arial"/>
                <w:sz w:val="18"/>
                <w:szCs w:val="18"/>
                <w:color w:val="auto"/>
              </w:rPr>
              <w:t>Checks held for escheat (5)</w:t>
            </w:r>
          </w:p>
        </w:tc>
        <w:tc>
          <w:tcPr>
            <w:tcW w:w="38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(4,616)</w:t>
            </w: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Accrued bonus (5)</w:t>
            </w:r>
          </w:p>
        </w:tc>
        <w:tc>
          <w:tcPr>
            <w:tcW w:w="3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(3,037)</w:t>
            </w:r>
          </w:p>
        </w:tc>
      </w:tr>
      <w:tr>
        <w:trPr>
          <w:trHeight w:val="216"/>
        </w:trPr>
        <w:tc>
          <w:tcPr>
            <w:tcW w:w="20" w:type="dxa"/>
            <w:vAlign w:val="bottom"/>
          </w:tcPr>
          <w:p>
            <w:pPr>
              <w:spacing w:after="0"/>
              <w:rPr>
                <w:sz w:val="18"/>
                <w:szCs w:val="18"/>
                <w:color w:val="auto"/>
              </w:rPr>
            </w:pPr>
          </w:p>
        </w:tc>
        <w:tc>
          <w:tcPr>
            <w:tcW w:w="6180" w:type="dxa"/>
            <w:vAlign w:val="bottom"/>
            <w:shd w:val="clear" w:color="auto" w:fill="EAF9E8"/>
          </w:tcPr>
          <w:p>
            <w:pPr>
              <w:spacing w:after="0"/>
              <w:rPr>
                <w:sz w:val="20"/>
                <w:szCs w:val="20"/>
                <w:color w:val="auto"/>
              </w:rPr>
            </w:pPr>
            <w:r>
              <w:rPr>
                <w:rFonts w:ascii="Arial" w:cs="Arial" w:eastAsia="Arial" w:hAnsi="Arial"/>
                <w:sz w:val="18"/>
                <w:szCs w:val="18"/>
                <w:color w:val="auto"/>
              </w:rPr>
              <w:t>Servicing liabilities</w:t>
            </w:r>
          </w:p>
        </w:tc>
        <w:tc>
          <w:tcPr>
            <w:tcW w:w="38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(709)</w:t>
            </w: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Other liabilities (5)</w:t>
            </w:r>
          </w:p>
        </w:tc>
        <w:tc>
          <w:tcPr>
            <w:tcW w:w="3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(964)</w:t>
            </w:r>
          </w:p>
        </w:tc>
      </w:tr>
      <w:tr>
        <w:trPr>
          <w:trHeight w:val="216"/>
        </w:trPr>
        <w:tc>
          <w:tcPr>
            <w:tcW w:w="20" w:type="dxa"/>
            <w:vAlign w:val="bottom"/>
          </w:tcPr>
          <w:p>
            <w:pPr>
              <w:spacing w:after="0"/>
              <w:rPr>
                <w:sz w:val="18"/>
                <w:szCs w:val="18"/>
                <w:color w:val="auto"/>
              </w:rPr>
            </w:pPr>
          </w:p>
        </w:tc>
        <w:tc>
          <w:tcPr>
            <w:tcW w:w="6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Total identifiable net assets</w:t>
            </w:r>
          </w:p>
        </w:tc>
        <w:tc>
          <w:tcPr>
            <w:tcW w:w="3860" w:type="dxa"/>
            <w:vAlign w:val="bottom"/>
            <w:shd w:val="clear" w:color="auto" w:fill="EAF9E8"/>
          </w:tcPr>
          <w:p>
            <w:pPr>
              <w:spacing w:after="0"/>
              <w:rPr>
                <w:sz w:val="18"/>
                <w:szCs w:val="18"/>
                <w:color w:val="auto"/>
              </w:rPr>
            </w:pPr>
          </w:p>
        </w:tc>
        <w:tc>
          <w:tcPr>
            <w:tcW w:w="320" w:type="dxa"/>
            <w:vAlign w:val="bottom"/>
            <w:tcBorders>
              <w:top w:val="single" w:sz="8" w:color="auto"/>
            </w:tcBorders>
            <w:shd w:val="clear" w:color="auto" w:fill="EAF9E8"/>
          </w:tcPr>
          <w:p>
            <w:pPr>
              <w:spacing w:after="0"/>
              <w:rPr>
                <w:sz w:val="18"/>
                <w:szCs w:val="18"/>
                <w:color w:val="auto"/>
              </w:rPr>
            </w:pPr>
          </w:p>
        </w:tc>
        <w:tc>
          <w:tcPr>
            <w:tcW w:w="9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1,152,863</w:t>
            </w:r>
          </w:p>
        </w:tc>
        <w:tc>
          <w:tcPr>
            <w:tcW w:w="100" w:type="dxa"/>
            <w:vAlign w:val="bottom"/>
            <w:shd w:val="clear" w:color="auto" w:fill="EAF9E8"/>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Goodwill (6)</w:t>
            </w:r>
          </w:p>
        </w:tc>
        <w:tc>
          <w:tcPr>
            <w:tcW w:w="38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12,810</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618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Total consideration</w:t>
            </w:r>
          </w:p>
        </w:tc>
        <w:tc>
          <w:tcPr>
            <w:tcW w:w="386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1,165,673</w:t>
            </w:r>
          </w:p>
        </w:tc>
        <w:tc>
          <w:tcPr>
            <w:tcW w:w="100" w:type="dxa"/>
            <w:vAlign w:val="bottom"/>
            <w:tcBorders>
              <w:bottom w:val="single" w:sz="8" w:color="EAF9E8"/>
            </w:tcBorders>
            <w:shd w:val="clear" w:color="auto" w:fill="EAF9E8"/>
          </w:tcPr>
          <w:p>
            <w:pPr>
              <w:spacing w:after="0"/>
              <w:rPr>
                <w:sz w:val="22"/>
                <w:szCs w:val="22"/>
                <w:color w:val="auto"/>
              </w:rPr>
            </w:pPr>
          </w:p>
        </w:tc>
      </w:tr>
    </w:tbl>
    <w:p>
      <w:pPr>
        <w:spacing w:after="0" w:line="202" w:lineRule="exact"/>
        <w:rPr>
          <w:sz w:val="20"/>
          <w:szCs w:val="20"/>
          <w:color w:val="auto"/>
        </w:rPr>
      </w:pPr>
    </w:p>
    <w:p>
      <w:pPr>
        <w:ind w:left="580" w:right="140" w:hanging="572"/>
        <w:spacing w:after="0" w:line="342" w:lineRule="auto"/>
        <w:tabs>
          <w:tab w:leader="none" w:pos="5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We estimated the fair value of the mortgage servicing rights by calculating the present value of expected future cash flows utilizing assumptions that we believe are used by market participants, consistent with our methodology for estimating the fair value of MSRs as disclosed in Note 3.</w:t>
      </w:r>
    </w:p>
    <w:p>
      <w:pPr>
        <w:spacing w:after="0" w:line="123" w:lineRule="exact"/>
        <w:rPr>
          <w:rFonts w:ascii="Arial" w:cs="Arial" w:eastAsia="Arial" w:hAnsi="Arial"/>
          <w:sz w:val="16"/>
          <w:szCs w:val="16"/>
          <w:color w:val="auto"/>
        </w:rPr>
      </w:pPr>
    </w:p>
    <w:p>
      <w:pPr>
        <w:ind w:left="580" w:right="380" w:hanging="572"/>
        <w:spacing w:after="0" w:line="277" w:lineRule="auto"/>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Advances are non-interest bearing receivables that are expected to have a short average collection period and were, therefore, valued at their face amount, consistent with our policy for estimating the fair value of servicing advances.</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Receivables were valued at their face amount because of the short period between the acquisition date and realization.</w:t>
      </w:r>
    </w:p>
    <w:p>
      <w:pPr>
        <w:spacing w:after="0" w:line="225" w:lineRule="exact"/>
        <w:rPr>
          <w:rFonts w:ascii="Arial" w:cs="Arial" w:eastAsia="Arial" w:hAnsi="Arial"/>
          <w:sz w:val="18"/>
          <w:szCs w:val="18"/>
          <w:color w:val="auto"/>
        </w:rPr>
      </w:pPr>
    </w:p>
    <w:p>
      <w:pPr>
        <w:ind w:left="580" w:right="20" w:hanging="572"/>
        <w:spacing w:after="0" w:line="257" w:lineRule="auto"/>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valuation of premises and equipment was based on the in-use valuation premise where the highest and best use of the assets would provide maximum value to market participants principally through its use with other assets as a group. This valuation presumed the continued operation of the HomEq platform as installed or otherwise configured for use. The acquired premises and equipment consisted primarily of leasehold improvements. As disclosed in Note 11, subsequent to the acquisition we vacated the leased premises following termination of the former HomEq employees and recorded a charge of $5,840 to write off the leasehold improvements.</w:t>
      </w:r>
    </w:p>
    <w:p>
      <w:pPr>
        <w:spacing w:after="0" w:line="188" w:lineRule="exact"/>
        <w:rPr>
          <w:rFonts w:ascii="Arial" w:cs="Arial" w:eastAsia="Arial" w:hAnsi="Arial"/>
          <w:sz w:val="18"/>
          <w:szCs w:val="18"/>
          <w:color w:val="auto"/>
        </w:rPr>
      </w:pPr>
    </w:p>
    <w:p>
      <w:pPr>
        <w:ind w:left="580" w:right="460" w:hanging="572"/>
        <w:spacing w:after="0" w:line="277" w:lineRule="auto"/>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Other liabilities that are expected to have a short life were valued at the face value of the specific liabilities purchased, including checks held for escheat, accrued bonuses and other liabilities.</w:t>
      </w:r>
    </w:p>
    <w:p>
      <w:pPr>
        <w:spacing w:after="0" w:line="170" w:lineRule="exact"/>
        <w:rPr>
          <w:rFonts w:ascii="Arial" w:cs="Arial" w:eastAsia="Arial" w:hAnsi="Arial"/>
          <w:sz w:val="18"/>
          <w:szCs w:val="18"/>
          <w:color w:val="auto"/>
        </w:rPr>
      </w:pPr>
    </w:p>
    <w:p>
      <w:pPr>
        <w:ind w:left="580" w:right="40" w:hanging="572"/>
        <w:spacing w:after="0" w:line="312" w:lineRule="auto"/>
        <w:tabs>
          <w:tab w:leader="none" w:pos="5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Goodwill is calculated as the excess of the consideration transferred over the net assets recognized and represents the expected revenue and cost synergies of the combined business. The goodwill portion of the purchase price allocation shown in the table above pertains to the Servicing segment. We do not anticipate any further adjustments to the purchase price, goodwill or advances subsequent to December 31, 2010.</w:t>
      </w:r>
    </w:p>
    <w:p>
      <w:pPr>
        <w:spacing w:after="0" w:line="147" w:lineRule="exact"/>
        <w:rPr>
          <w:sz w:val="20"/>
          <w:szCs w:val="20"/>
          <w:color w:val="auto"/>
        </w:rPr>
      </w:pPr>
    </w:p>
    <w:p>
      <w:pPr>
        <w:jc w:val="both"/>
        <w:ind w:right="480" w:firstLine="663"/>
        <w:spacing w:after="0" w:line="286" w:lineRule="auto"/>
        <w:rPr>
          <w:sz w:val="20"/>
          <w:szCs w:val="20"/>
          <w:color w:val="auto"/>
        </w:rPr>
      </w:pPr>
      <w:r>
        <w:rPr>
          <w:rFonts w:ascii="Arial" w:cs="Arial" w:eastAsia="Arial" w:hAnsi="Arial"/>
          <w:sz w:val="17"/>
          <w:szCs w:val="17"/>
          <w:color w:val="auto"/>
        </w:rPr>
        <w:t>The acquisition of HomEq is treated as an asset acquisition for U.S. tax purposes. We expect the opening tax basis for the acquired assets and liabilities to be the fair value, which is shown in the table above. We expect the mortgage servicing rights and goodwill to be treated as intangible assets acquired in connection with the purchase of a trade or business and as such, amortized over 15 years for tax purposes.</w:t>
      </w:r>
    </w:p>
    <w:p>
      <w:pPr>
        <w:spacing w:after="0" w:line="166"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The asset purchase agreement provided for a 90-day true-up process for Advances and Mortgage servicing rights under limited circumstances. Payment for advances in the amount of $3,500 was held back in an escrow account under a four-year agreement during which Ocwen can seek reimbursement for existing and future uncollectible advances on certain pooling and servicing agreements under limited circumstances. Notwithstanding this holdback amount, the agreement provides for the reimbursement of uncollectible advances under all pooling and servicing agreements under limited circumstances.</w:t>
      </w:r>
    </w:p>
    <w:p>
      <w:pPr>
        <w:spacing w:after="0" w:line="154"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Severance payments for all HomEq Servicing employees who entered an employment agreement with Ocwen were recorded as steps were taken that obligated Ocwen to pay severance for all such employees. Severance expense of $20,727 is included in Compensation and benefits in our Consolidated Statement of Operations.</w:t>
      </w:r>
    </w:p>
    <w:p>
      <w:pPr>
        <w:spacing w:after="0" w:line="181" w:lineRule="exact"/>
        <w:rPr>
          <w:sz w:val="20"/>
          <w:szCs w:val="20"/>
          <w:color w:val="auto"/>
        </w:rPr>
      </w:pPr>
    </w:p>
    <w:p>
      <w:pPr>
        <w:ind w:right="260" w:firstLine="486"/>
        <w:spacing w:after="0" w:line="312" w:lineRule="auto"/>
        <w:rPr>
          <w:sz w:val="20"/>
          <w:szCs w:val="20"/>
          <w:color w:val="auto"/>
        </w:rPr>
      </w:pPr>
      <w:r>
        <w:rPr>
          <w:rFonts w:ascii="Arial" w:cs="Arial" w:eastAsia="Arial" w:hAnsi="Arial"/>
          <w:sz w:val="16"/>
          <w:szCs w:val="16"/>
          <w:color w:val="auto"/>
        </w:rPr>
        <w:t>In connection with the establishment of the match funded advance facility Ocwen paid Barclays a $10,110 securitization fee and funded a reserve in the initial amount of $14,342 held by the facility Indenture Trustee for the benefit of the note holders. The securitization fee along with and certain other professional fees paid in connection with the establishment of the facility will be amortized over the expected three-year life of the notes.</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Ocwen has no material financial obligation for litigation related to the operations of HomEq prior to the closing.</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Facility Closure Costs</w:t>
      </w:r>
    </w:p>
    <w:p>
      <w:pPr>
        <w:spacing w:after="0" w:line="229" w:lineRule="exact"/>
        <w:rPr>
          <w:sz w:val="20"/>
          <w:szCs w:val="20"/>
          <w:color w:val="auto"/>
        </w:rPr>
      </w:pPr>
    </w:p>
    <w:p>
      <w:pPr>
        <w:ind w:firstLine="666"/>
        <w:spacing w:after="0" w:line="259" w:lineRule="auto"/>
        <w:rPr>
          <w:sz w:val="20"/>
          <w:szCs w:val="20"/>
          <w:color w:val="auto"/>
        </w:rPr>
      </w:pPr>
      <w:r>
        <w:rPr>
          <w:rFonts w:ascii="Arial" w:cs="Arial" w:eastAsia="Arial" w:hAnsi="Arial"/>
          <w:sz w:val="18"/>
          <w:szCs w:val="18"/>
          <w:color w:val="auto"/>
        </w:rPr>
        <w:t>During 2010, we accrued facility closure costs primarily consisting of severance, Worker Adjustment and Retraining Notification Act (WARN Act) compensation and lease termination costs for closure of the leased HomEq facilities located in Raleigh, North Carolina and Sacramento, California. Following the acquisition, we terminated the former HomEq employees and vacated the leased facilities. The following table provides a reconciliation of the beginning and ending liability balances for employee termination benefits and lease termination costs: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Employee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Lease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termination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termination</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benefits (1)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3"/>
              </w:rPr>
              <w:t>costs (2)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Liability balance as at January 1, 2010</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Additions charged to operations (3)</w:t>
            </w:r>
          </w:p>
        </w:tc>
        <w:tc>
          <w:tcPr>
            <w:tcW w:w="1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32,954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7,794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Payments</w:t>
            </w:r>
          </w:p>
        </w:tc>
        <w:tc>
          <w:tcPr>
            <w:tcW w:w="14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(31,622)</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(31,622)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shd w:val="clear" w:color="auto" w:fill="EAF9E8"/>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Liability balance as at December 31, 2010 (3)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1,332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7,794</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9,126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line="264" w:lineRule="auto"/>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Employee termination benefits include severance expense of $20,727 and are reported in Compensation and benefits in our Consolidated Statement of Operations. Our reorganization and streamlining of the operations of HomEq Servicing obligated Ocwen to pay severance to all HomEq Servicing employees who entered an employment agreement with Ocwen.</w:t>
      </w:r>
    </w:p>
    <w:p>
      <w:pPr>
        <w:spacing w:after="0" w:line="181" w:lineRule="exact"/>
        <w:rPr>
          <w:rFonts w:ascii="Arial" w:cs="Arial" w:eastAsia="Arial" w:hAnsi="Arial"/>
          <w:sz w:val="18"/>
          <w:szCs w:val="18"/>
          <w:color w:val="auto"/>
        </w:rPr>
      </w:pPr>
    </w:p>
    <w:p>
      <w:pPr>
        <w:ind w:left="580" w:right="40" w:hanging="572"/>
        <w:spacing w:after="0" w:line="302" w:lineRule="auto"/>
        <w:tabs>
          <w:tab w:leader="none" w:pos="5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lease agreements that we assumed for the HomEq facilities expire in 2017 and 2018. In December 2010, we exercised our option to terminate the HomEq lease agreements effective in 2013 and provided formal notice to the lessors. At that time, we recorded a charge of $7,794 to establish a reserve for the remaining lease payments discounted through the early termination date, including early termination penalties due in 2013. These charges are reported in Occupancy and equipment expense. See Note 32 for additional information regarding these leases.</w:t>
      </w:r>
    </w:p>
    <w:p>
      <w:pPr>
        <w:spacing w:after="0" w:line="154" w:lineRule="exact"/>
        <w:rPr>
          <w:rFonts w:ascii="Arial" w:cs="Arial" w:eastAsia="Arial" w:hAnsi="Arial"/>
          <w:sz w:val="16"/>
          <w:szCs w:val="16"/>
          <w:color w:val="auto"/>
        </w:rPr>
      </w:pPr>
    </w:p>
    <w:p>
      <w:pPr>
        <w:ind w:left="580" w:hanging="572"/>
        <w:spacing w:after="0"/>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charges were recorded in the Servicing segment. The liabilities are included in Other liabilities in the Consolidated Balance Sheet.</w:t>
      </w:r>
    </w:p>
    <w:p>
      <w:pPr>
        <w:spacing w:after="0" w:line="225" w:lineRule="exact"/>
        <w:rPr>
          <w:sz w:val="20"/>
          <w:szCs w:val="20"/>
          <w:color w:val="auto"/>
        </w:rPr>
      </w:pPr>
    </w:p>
    <w:p>
      <w:pPr>
        <w:ind w:right="40" w:firstLine="666"/>
        <w:spacing w:after="0" w:line="342" w:lineRule="auto"/>
        <w:rPr>
          <w:sz w:val="20"/>
          <w:szCs w:val="20"/>
          <w:color w:val="auto"/>
        </w:rPr>
      </w:pPr>
      <w:r>
        <w:rPr>
          <w:rFonts w:ascii="Arial" w:cs="Arial" w:eastAsia="Arial" w:hAnsi="Arial"/>
          <w:sz w:val="16"/>
          <w:szCs w:val="16"/>
          <w:color w:val="auto"/>
        </w:rPr>
        <w:t>In addition to the facility closure costs described above, we recorded a depreciation charge of $5,840 to write off the leasehold improvements related to the closed HomEq facilities. See Note 11 for additional information regarding premises and equipment acquired as part of the HomEq Acquisition.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Actual and Pro forma Impact of the HomEq Acquisition</w:t>
      </w:r>
    </w:p>
    <w:p>
      <w:pPr>
        <w:spacing w:after="0" w:line="229" w:lineRule="exact"/>
        <w:rPr>
          <w:sz w:val="20"/>
          <w:szCs w:val="20"/>
          <w:color w:val="auto"/>
        </w:rPr>
      </w:pPr>
    </w:p>
    <w:p>
      <w:pPr>
        <w:ind w:right="160" w:firstLine="663"/>
        <w:spacing w:after="0" w:line="277" w:lineRule="auto"/>
        <w:rPr>
          <w:sz w:val="20"/>
          <w:szCs w:val="20"/>
          <w:color w:val="auto"/>
        </w:rPr>
      </w:pPr>
      <w:r>
        <w:rPr>
          <w:rFonts w:ascii="Arial" w:cs="Arial" w:eastAsia="Arial" w:hAnsi="Arial"/>
          <w:sz w:val="18"/>
          <w:szCs w:val="18"/>
          <w:color w:val="auto"/>
        </w:rPr>
        <w:t>The following table presents the revenue and earnings of HomEq Servicing that are included in our Consolidated Statement of Operations from the acquisition date of September 1, 2010 through December 31, 2010: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shd w:val="clear" w:color="auto" w:fill="EAF9E8"/>
          </w:tcPr>
          <w:p>
            <w:pPr>
              <w:spacing w:after="0"/>
              <w:rPr>
                <w:sz w:val="20"/>
                <w:szCs w:val="20"/>
                <w:color w:val="auto"/>
              </w:rPr>
            </w:pPr>
            <w:r>
              <w:rPr>
                <w:rFonts w:ascii="Arial" w:cs="Arial" w:eastAsia="Arial" w:hAnsi="Arial"/>
                <w:sz w:val="18"/>
                <w:szCs w:val="18"/>
                <w:color w:val="auto"/>
              </w:rPr>
              <w:t>Revenues</w:t>
            </w:r>
          </w:p>
        </w:tc>
        <w:tc>
          <w:tcPr>
            <w:tcW w:w="5000" w:type="dxa"/>
            <w:vAlign w:val="bottom"/>
            <w:shd w:val="clear" w:color="auto" w:fill="EAF9E8"/>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43,127</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Net loss (1)</w:t>
            </w:r>
          </w:p>
        </w:tc>
        <w:tc>
          <w:tcPr>
            <w:tcW w:w="5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(26,953)</w:t>
            </w:r>
          </w:p>
        </w:tc>
      </w:tr>
    </w:tbl>
    <w:p>
      <w:pPr>
        <w:spacing w:after="0" w:line="187" w:lineRule="exact"/>
        <w:rPr>
          <w:sz w:val="20"/>
          <w:szCs w:val="20"/>
          <w:color w:val="auto"/>
        </w:rPr>
      </w:pPr>
    </w:p>
    <w:p>
      <w:pPr>
        <w:ind w:left="580" w:right="100" w:hanging="572"/>
        <w:spacing w:after="0" w:line="257" w:lineRule="auto"/>
        <w:tabs>
          <w:tab w:leader="none" w:pos="5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Net loss includes non-recurring transaction related expenses of $51,136, including severance and other compensation of $32,954 related to HomEq employees who accepted employment with Ocwen and $2,556 of fees for professional services related to the acquisition. Net loss also includes $5,486 of amortization of the acquired MSRs, lease termination costs of $7,794 and a charge to write off leasehold improvements of $5,840. Net loss does not include an allocation of costs related to the servicing of the HomEq loans on Ocwen’s platform. We computed income taxes using a combined statutory rate of 37% for federal and state income taxes.</w:t>
      </w:r>
    </w:p>
    <w:p>
      <w:pPr>
        <w:spacing w:after="0" w:line="188" w:lineRule="exact"/>
        <w:rPr>
          <w:sz w:val="20"/>
          <w:szCs w:val="20"/>
          <w:color w:val="auto"/>
        </w:rPr>
      </w:pPr>
    </w:p>
    <w:p>
      <w:pPr>
        <w:ind w:right="720" w:firstLine="663"/>
        <w:spacing w:after="0" w:line="277" w:lineRule="auto"/>
        <w:rPr>
          <w:sz w:val="20"/>
          <w:szCs w:val="20"/>
          <w:color w:val="auto"/>
        </w:rPr>
      </w:pPr>
      <w:r>
        <w:rPr>
          <w:rFonts w:ascii="Arial" w:cs="Arial" w:eastAsia="Arial" w:hAnsi="Arial"/>
          <w:sz w:val="18"/>
          <w:szCs w:val="18"/>
          <w:color w:val="auto"/>
        </w:rPr>
        <w:t>The following table presents supplemental pro forma information as if the HomEq Acquisition had occurred on January 1, 2009. Pro forma adjustments for both years include:</w:t>
      </w:r>
    </w:p>
    <w:p>
      <w:pPr>
        <w:spacing w:after="0" w:line="170" w:lineRule="exact"/>
        <w:rPr>
          <w:sz w:val="20"/>
          <w:szCs w:val="20"/>
          <w:color w:val="auto"/>
        </w:rPr>
      </w:pPr>
    </w:p>
    <w:p>
      <w:pPr>
        <w:ind w:left="1160" w:hanging="571"/>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conforming revenues to the revenue recognition policy followed by Ocwen rather than the policy followed by HomEq;</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reversing revenues recognized by HomEq for business not acquired by Ocwen;</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conforming the accounting for MSRs to the valuation and amortization policy of Ocwen rather than the policy followed by HomEq;</w:t>
      </w:r>
    </w:p>
    <w:p>
      <w:pPr>
        <w:spacing w:after="0" w:line="236" w:lineRule="exact"/>
        <w:rPr>
          <w:rFonts w:ascii="Arial" w:cs="Arial" w:eastAsia="Arial" w:hAnsi="Arial"/>
          <w:sz w:val="17"/>
          <w:szCs w:val="17"/>
          <w:color w:val="auto"/>
        </w:rPr>
      </w:pPr>
    </w:p>
    <w:p>
      <w:pPr>
        <w:ind w:left="1160" w:right="60" w:hanging="571"/>
        <w:spacing w:after="0" w:line="277" w:lineRule="auto"/>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reversing HomEq depreciation and reporting depreciation based on the estimated fair values and remaining lives of the acquired premises and equipment at the date of acquisition;</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82" w:name="page83"/>
    <w:bookmarkEnd w:id="82"/>
    <w:p>
      <w:pPr>
        <w:ind w:left="1160" w:right="220" w:hanging="571"/>
        <w:spacing w:after="0" w:line="277" w:lineRule="auto"/>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adjusting interest expense to eliminate pre-acquisition interest expense of HomEq and to recognize interest expense as if acquisition-related debt of Ocwen had been outstanding at January 1, 2009; and</w:t>
      </w:r>
    </w:p>
    <w:p>
      <w:pPr>
        <w:spacing w:after="0" w:line="170" w:lineRule="exact"/>
        <w:rPr>
          <w:rFonts w:ascii="Arial" w:cs="Arial" w:eastAsia="Arial" w:hAnsi="Arial"/>
          <w:sz w:val="18"/>
          <w:szCs w:val="18"/>
          <w:color w:val="auto"/>
        </w:rPr>
      </w:pPr>
    </w:p>
    <w:p>
      <w:pPr>
        <w:ind w:left="1160" w:right="740" w:hanging="571"/>
        <w:spacing w:after="0" w:line="277" w:lineRule="auto"/>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reporting acquisition related charges, including severance paid to HomEq employees and fees for professional services related to the acquisition as if they had been incurred in 2009 rather than 2010.</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pro forma consolidated results are not indicative of what Ocwen’s consolidated net income (loss) would have been had Ocwen completed the HomEq Acquisition on January 1, 2009 because of differences in servicing practices and cost structure between Ocwen and HomEq. In addition, the pro forma consolidated results do not purport to project the future results of Ocwen combined nor do they reflect the expected realization of any cost savings associated with the HomEq Acquisition.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6"/>
        </w:trPr>
        <w:tc>
          <w:tcPr>
            <w:tcW w:w="46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(Unaudited)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18"/>
                <w:szCs w:val="18"/>
                <w:color w:val="auto"/>
              </w:rPr>
            </w:pPr>
          </w:p>
        </w:tc>
      </w:tr>
      <w:tr>
        <w:trPr>
          <w:trHeight w:val="216"/>
        </w:trPr>
        <w:tc>
          <w:tcPr>
            <w:tcW w:w="4600" w:type="dxa"/>
            <w:vAlign w:val="bottom"/>
            <w:shd w:val="clear" w:color="auto" w:fill="EAF9E8"/>
          </w:tcPr>
          <w:p>
            <w:pPr>
              <w:spacing w:after="0"/>
              <w:rPr>
                <w:sz w:val="20"/>
                <w:szCs w:val="20"/>
                <w:color w:val="auto"/>
              </w:rPr>
            </w:pPr>
            <w:r>
              <w:rPr>
                <w:rFonts w:ascii="Arial" w:cs="Arial" w:eastAsia="Arial" w:hAnsi="Arial"/>
                <w:sz w:val="18"/>
                <w:szCs w:val="18"/>
                <w:color w:val="auto"/>
              </w:rPr>
              <w:t>Revenues</w:t>
            </w:r>
          </w:p>
        </w:tc>
        <w:tc>
          <w:tcPr>
            <w:tcW w:w="35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458,548</w:t>
            </w:r>
          </w:p>
        </w:tc>
        <w:tc>
          <w:tcPr>
            <w:tcW w:w="4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591,505</w:t>
            </w: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Net income (loss)</w:t>
            </w:r>
          </w:p>
        </w:tc>
        <w:tc>
          <w:tcPr>
            <w:tcW w:w="3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42,786</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(26,824)</w:t>
            </w:r>
          </w:p>
        </w:tc>
      </w:tr>
    </w:tbl>
    <w:p>
      <w:pPr>
        <w:spacing w:after="0" w:line="187" w:lineRule="exact"/>
        <w:rPr>
          <w:sz w:val="20"/>
          <w:szCs w:val="20"/>
          <w:color w:val="auto"/>
        </w:rPr>
      </w:pPr>
    </w:p>
    <w:p>
      <w:pPr>
        <w:ind w:right="160" w:firstLine="663"/>
        <w:spacing w:after="0" w:line="277" w:lineRule="auto"/>
        <w:rPr>
          <w:sz w:val="20"/>
          <w:szCs w:val="20"/>
          <w:color w:val="auto"/>
        </w:rPr>
      </w:pPr>
      <w:r>
        <w:rPr>
          <w:rFonts w:ascii="Arial" w:cs="Arial" w:eastAsia="Arial" w:hAnsi="Arial"/>
          <w:sz w:val="18"/>
          <w:szCs w:val="18"/>
          <w:color w:val="auto"/>
        </w:rPr>
        <w:t>Through December 31, 2010, we have incurred approximately $3,977 of fees for professional services related to the HomEq Acquisition which are included in Operating expenses.</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FAIR VALUE</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carrying amounts and the estimated fair values of our financial instruments are as follows at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2010</w:t>
            </w: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2009</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right"/>
              <w:ind w:right="720"/>
              <w:spacing w:after="0" w:line="198" w:lineRule="exact"/>
              <w:rPr>
                <w:sz w:val="20"/>
                <w:szCs w:val="20"/>
                <w:color w:val="auto"/>
              </w:rPr>
            </w:pPr>
            <w:r>
              <w:rPr>
                <w:rFonts w:ascii="Arial" w:cs="Arial" w:eastAsia="Arial" w:hAnsi="Arial"/>
                <w:sz w:val="18"/>
                <w:szCs w:val="18"/>
                <w:b w:val="1"/>
                <w:bCs w:val="1"/>
                <w:color w:val="auto"/>
              </w:rPr>
              <w:t>Carrying</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70"/>
              <w:spacing w:after="0" w:line="198" w:lineRule="exact"/>
              <w:rPr>
                <w:sz w:val="20"/>
                <w:szCs w:val="20"/>
                <w:color w:val="auto"/>
              </w:rPr>
            </w:pPr>
            <w:r>
              <w:rPr>
                <w:rFonts w:ascii="Arial" w:cs="Arial" w:eastAsia="Arial" w:hAnsi="Arial"/>
                <w:sz w:val="18"/>
                <w:szCs w:val="18"/>
                <w:b w:val="1"/>
                <w:bCs w:val="1"/>
                <w:color w:val="auto"/>
              </w:rPr>
              <w:t>Fair</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80"/>
              <w:spacing w:after="0" w:line="198" w:lineRule="exact"/>
              <w:rPr>
                <w:sz w:val="20"/>
                <w:szCs w:val="20"/>
                <w:color w:val="auto"/>
              </w:rPr>
            </w:pPr>
            <w:r>
              <w:rPr>
                <w:rFonts w:ascii="Arial" w:cs="Arial" w:eastAsia="Arial" w:hAnsi="Arial"/>
                <w:sz w:val="18"/>
                <w:szCs w:val="18"/>
                <w:b w:val="1"/>
                <w:bCs w:val="1"/>
                <w:color w:val="auto"/>
              </w:rPr>
              <w:t>Carrying</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center"/>
              <w:ind w:right="170"/>
              <w:spacing w:after="0" w:line="198" w:lineRule="exact"/>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Value</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Value</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Value</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AF9E8"/>
          </w:tcPr>
          <w:p>
            <w:pPr>
              <w:spacing w:after="0"/>
              <w:rPr>
                <w:sz w:val="20"/>
                <w:szCs w:val="20"/>
                <w:color w:val="auto"/>
              </w:rPr>
            </w:pPr>
            <w:r>
              <w:rPr>
                <w:rFonts w:ascii="Arial" w:cs="Arial" w:eastAsia="Arial" w:hAnsi="Arial"/>
                <w:sz w:val="18"/>
                <w:szCs w:val="18"/>
                <w:color w:val="auto"/>
              </w:rPr>
              <w:t>Financial assets:</w:t>
            </w:r>
          </w:p>
        </w:tc>
        <w:tc>
          <w:tcPr>
            <w:tcW w:w="44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1080" w:type="dxa"/>
            <w:vAlign w:val="bottom"/>
            <w:tcBorders>
              <w:top w:val="single" w:sz="8" w:color="auto"/>
            </w:tcBorders>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1060" w:type="dxa"/>
            <w:vAlign w:val="bottom"/>
            <w:tcBorders>
              <w:top w:val="single" w:sz="8" w:color="auto"/>
            </w:tcBorders>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Trading securities: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Auction rate</w:t>
            </w:r>
          </w:p>
        </w:tc>
        <w:tc>
          <w:tcPr>
            <w:tcW w:w="6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247,464</w:t>
            </w:r>
          </w:p>
        </w:tc>
        <w:tc>
          <w:tcPr>
            <w:tcW w:w="6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247,464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320"/>
              <w:spacing w:after="0"/>
              <w:rPr>
                <w:sz w:val="20"/>
                <w:szCs w:val="20"/>
                <w:color w:val="auto"/>
              </w:rPr>
            </w:pPr>
            <w:r>
              <w:rPr>
                <w:rFonts w:ascii="Arial" w:cs="Arial" w:eastAsia="Arial" w:hAnsi="Arial"/>
                <w:sz w:val="18"/>
                <w:szCs w:val="18"/>
                <w:color w:val="auto"/>
              </w:rPr>
              <w:t>Subordinates and residuals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3,692</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Loans held for resale</w:t>
            </w:r>
          </w:p>
        </w:tc>
        <w:tc>
          <w:tcPr>
            <w:tcW w:w="4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25,803</w:t>
            </w:r>
          </w:p>
        </w:tc>
        <w:tc>
          <w:tcPr>
            <w:tcW w:w="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25,803</w:t>
            </w: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33,197</w:t>
            </w:r>
          </w:p>
        </w:tc>
        <w:tc>
          <w:tcPr>
            <w:tcW w:w="4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Loans, net – restricted for securitization investors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67,340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64,795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Advances</w:t>
            </w:r>
          </w:p>
        </w:tc>
        <w:tc>
          <w:tcPr>
            <w:tcW w:w="4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2,108,885</w:t>
            </w:r>
          </w:p>
        </w:tc>
        <w:tc>
          <w:tcPr>
            <w:tcW w:w="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2,108,885</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968,529</w:t>
            </w:r>
          </w:p>
        </w:tc>
        <w:tc>
          <w:tcPr>
            <w:tcW w:w="4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968,529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Receivables, net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69,518</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69,518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67,095</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67,095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Financial liabilities: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Match funded liabilities</w:t>
            </w:r>
          </w:p>
        </w:tc>
        <w:tc>
          <w:tcPr>
            <w:tcW w:w="6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1,482,529</w:t>
            </w:r>
          </w:p>
        </w:tc>
        <w:tc>
          <w:tcPr>
            <w:tcW w:w="3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1,486,476</w:t>
            </w:r>
          </w:p>
        </w:tc>
        <w:tc>
          <w:tcPr>
            <w:tcW w:w="240" w:type="dxa"/>
            <w:vAlign w:val="bottom"/>
            <w:shd w:val="clear" w:color="auto" w:fill="EAF9E8"/>
          </w:tcPr>
          <w:p>
            <w:pPr>
              <w:spacing w:after="0"/>
              <w:rPr>
                <w:sz w:val="18"/>
                <w:szCs w:val="18"/>
                <w:color w:val="auto"/>
              </w:rPr>
            </w:pPr>
          </w:p>
        </w:tc>
        <w:tc>
          <w:tcPr>
            <w:tcW w:w="3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465,691</w:t>
            </w:r>
          </w:p>
        </w:tc>
        <w:tc>
          <w:tcPr>
            <w:tcW w:w="6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463,716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Lines of credit and other secured borrowings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246,073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252,722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55,810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56,220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9"/>
              </w:rPr>
              <w:t>Secured borrowings – owed to securitization investors</w:t>
            </w:r>
          </w:p>
        </w:tc>
        <w:tc>
          <w:tcPr>
            <w:tcW w:w="4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62,705</w:t>
            </w:r>
          </w:p>
        </w:tc>
        <w:tc>
          <w:tcPr>
            <w:tcW w:w="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62,105</w:t>
            </w: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Investment line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156,968</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156,968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Servicer liabilities</w:t>
            </w:r>
          </w:p>
        </w:tc>
        <w:tc>
          <w:tcPr>
            <w:tcW w:w="4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2,492</w:t>
            </w:r>
          </w:p>
        </w:tc>
        <w:tc>
          <w:tcPr>
            <w:tcW w:w="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2,492</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38,672</w:t>
            </w:r>
          </w:p>
        </w:tc>
        <w:tc>
          <w:tcPr>
            <w:tcW w:w="4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38,672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Debt securities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82,554</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75,325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95,564</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84,551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Derivative financial instruments, net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(15,351)</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(15,351)</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781</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60" w:firstLine="666"/>
        <w:spacing w:after="0" w:line="255" w:lineRule="auto"/>
        <w:rPr>
          <w:sz w:val="20"/>
          <w:szCs w:val="20"/>
          <w:color w:val="auto"/>
        </w:rPr>
      </w:pPr>
      <w:r>
        <w:rPr>
          <w:rFonts w:ascii="Arial" w:cs="Arial" w:eastAsia="Arial" w:hAnsi="Arial"/>
          <w:sz w:val="18"/>
          <w:szCs w:val="18"/>
          <w:color w:val="auto"/>
        </w:rPr>
        <w:t>Fair value is estimated based on a hierarchy that maximizes the use of observable inputs and minimizes the use of unobservable inputs. Observable inputs are inputs that reflect the assumptions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 The three broad categories are:</w:t>
      </w:r>
    </w:p>
    <w:p>
      <w:pPr>
        <w:spacing w:after="0" w:line="193"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225" w:lineRule="exact"/>
        <w:rPr>
          <w:sz w:val="20"/>
          <w:szCs w:val="20"/>
          <w:color w:val="auto"/>
        </w:rPr>
      </w:pPr>
    </w:p>
    <w:p>
      <w:pPr>
        <w:ind w:left="1720" w:right="200" w:hanging="1133"/>
        <w:spacing w:after="0" w:line="277" w:lineRule="auto"/>
        <w:tabs>
          <w:tab w:leader="none" w:pos="17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that are observable for the asset or liability, either directly or indirectly for substantially the full term of the financial instrument.</w:t>
      </w:r>
    </w:p>
    <w:p>
      <w:pPr>
        <w:spacing w:after="0" w:line="170"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3" w:name="page84"/>
    <w:bookmarkEnd w:id="83"/>
    <w:p>
      <w:pPr>
        <w:jc w:val="both"/>
        <w:ind w:right="120" w:firstLine="663"/>
        <w:spacing w:after="0" w:line="264" w:lineRule="auto"/>
        <w:rPr>
          <w:sz w:val="20"/>
          <w:szCs w:val="20"/>
          <w:color w:val="auto"/>
        </w:rPr>
      </w:pPr>
      <w:r>
        <w:rPr>
          <w:rFonts w:ascii="Arial" w:cs="Arial" w:eastAsia="Arial" w:hAnsi="Arial"/>
          <w:sz w:val="18"/>
          <w:szCs w:val="18"/>
          <w:color w:val="auto"/>
        </w:rPr>
        <w:t>Where available, we utilize quoted market prices or observable inputs rather than unobservable inputs to determine fair value. We classify assets in their entirety based on the lowest level of input that is significant to the fair value measurement. The following table sets forth assets and liabilities measured at fair value categorized by input level within the fair value hierarchy: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5"/>
              </w:rPr>
              <w:t>Carrying value</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ind w:left="140"/>
              <w:spacing w:after="0"/>
              <w:rPr>
                <w:sz w:val="20"/>
                <w:szCs w:val="20"/>
                <w:color w:val="auto"/>
              </w:rPr>
            </w:pPr>
            <w:r>
              <w:rPr>
                <w:rFonts w:ascii="Arial" w:cs="Arial" w:eastAsia="Arial" w:hAnsi="Arial"/>
                <w:sz w:val="18"/>
                <w:szCs w:val="18"/>
                <w:b w:val="1"/>
                <w:bCs w:val="1"/>
                <w:color w:val="auto"/>
              </w:rPr>
              <w:t>Level 1</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At December 31, 2010:</w:t>
            </w:r>
          </w:p>
        </w:tc>
        <w:tc>
          <w:tcPr>
            <w:tcW w:w="700" w:type="dxa"/>
            <w:vAlign w:val="bottom"/>
            <w:shd w:val="clear" w:color="auto" w:fill="EAF9E8"/>
          </w:tcPr>
          <w:p>
            <w:pPr>
              <w:spacing w:after="0"/>
              <w:rPr>
                <w:sz w:val="18"/>
                <w:szCs w:val="18"/>
                <w:color w:val="auto"/>
              </w:rPr>
            </w:pPr>
          </w:p>
        </w:tc>
        <w:tc>
          <w:tcPr>
            <w:tcW w:w="380" w:type="dxa"/>
            <w:vAlign w:val="bottom"/>
            <w:tcBorders>
              <w:top w:val="single" w:sz="8" w:color="auto"/>
            </w:tcBorders>
            <w:shd w:val="clear" w:color="auto" w:fill="EAF9E8"/>
          </w:tcPr>
          <w:p>
            <w:pPr>
              <w:spacing w:after="0"/>
              <w:rPr>
                <w:sz w:val="18"/>
                <w:szCs w:val="18"/>
                <w:color w:val="auto"/>
              </w:rPr>
            </w:pPr>
          </w:p>
        </w:tc>
        <w:tc>
          <w:tcPr>
            <w:tcW w:w="880" w:type="dxa"/>
            <w:vAlign w:val="bottom"/>
            <w:tcBorders>
              <w:top w:val="single" w:sz="8" w:color="auto"/>
            </w:tcBorders>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1040" w:type="dxa"/>
            <w:vAlign w:val="bottom"/>
            <w:tcBorders>
              <w:top w:val="single" w:sz="8" w:color="auto"/>
            </w:tcBorders>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1020" w:type="dxa"/>
            <w:vAlign w:val="bottom"/>
            <w:tcBorders>
              <w:top w:val="single" w:sz="8" w:color="auto"/>
            </w:tcBorders>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104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Measured at fair value on a recurring basis: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Trading securities:</w:t>
            </w:r>
          </w:p>
        </w:tc>
        <w:tc>
          <w:tcPr>
            <w:tcW w:w="7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Auction rate</w:t>
            </w:r>
          </w:p>
        </w:tc>
        <w:tc>
          <w:tcPr>
            <w:tcW w:w="10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Subordinates and residuals</w:t>
            </w:r>
          </w:p>
        </w:tc>
        <w:tc>
          <w:tcPr>
            <w:tcW w:w="7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ind w:left="860"/>
              <w:spacing w:after="0"/>
              <w:rPr>
                <w:sz w:val="20"/>
                <w:szCs w:val="20"/>
                <w:color w:val="auto"/>
              </w:rPr>
            </w:pPr>
            <w:r>
              <w:rPr>
                <w:rFonts w:ascii="Arial" w:cs="Arial" w:eastAsia="Arial" w:hAnsi="Arial"/>
                <w:sz w:val="18"/>
                <w:szCs w:val="18"/>
                <w:color w:val="auto"/>
                <w:w w:val="88"/>
              </w:rPr>
              <w:t>—</w:t>
            </w:r>
          </w:p>
        </w:tc>
        <w:tc>
          <w:tcPr>
            <w:tcW w:w="4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Derivative financial instruments, net (1)</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(15,351)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AF9E8"/>
          </w:tcPr>
          <w:p>
            <w:pPr>
              <w:spacing w:after="0"/>
              <w:rPr>
                <w:sz w:val="20"/>
                <w:szCs w:val="20"/>
                <w:color w:val="auto"/>
              </w:rPr>
            </w:pPr>
            <w:r>
              <w:rPr>
                <w:rFonts w:ascii="Arial" w:cs="Arial" w:eastAsia="Arial" w:hAnsi="Arial"/>
                <w:sz w:val="18"/>
                <w:szCs w:val="18"/>
                <w:i w:val="1"/>
                <w:iCs w:val="1"/>
                <w:color w:val="auto"/>
              </w:rPr>
              <w:t>Measured at fair value on a non-recurring basis:</w:t>
            </w:r>
          </w:p>
        </w:tc>
        <w:tc>
          <w:tcPr>
            <w:tcW w:w="7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Loans held for resale (2)</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25,803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Mortgage servicing rights (3)</w:t>
            </w:r>
          </w:p>
        </w:tc>
        <w:tc>
          <w:tcPr>
            <w:tcW w:w="7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334</w:t>
            </w: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ind w:left="860"/>
              <w:spacing w:after="0"/>
              <w:rPr>
                <w:sz w:val="20"/>
                <w:szCs w:val="20"/>
                <w:color w:val="auto"/>
              </w:rPr>
            </w:pPr>
            <w:r>
              <w:rPr>
                <w:rFonts w:ascii="Arial" w:cs="Arial" w:eastAsia="Arial" w:hAnsi="Arial"/>
                <w:sz w:val="18"/>
                <w:szCs w:val="18"/>
                <w:color w:val="auto"/>
                <w:w w:val="88"/>
              </w:rPr>
              <w:t>—</w:t>
            </w:r>
          </w:p>
        </w:tc>
        <w:tc>
          <w:tcPr>
            <w:tcW w:w="4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At December 31, 2009:</w:t>
            </w:r>
          </w:p>
        </w:tc>
        <w:tc>
          <w:tcPr>
            <w:tcW w:w="7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Measured at fair value on a recurring basis: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Trading securities (4):</w:t>
            </w:r>
          </w:p>
        </w:tc>
        <w:tc>
          <w:tcPr>
            <w:tcW w:w="7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Auction rate</w:t>
            </w:r>
          </w:p>
        </w:tc>
        <w:tc>
          <w:tcPr>
            <w:tcW w:w="10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247,464</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247,464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Subordinates and residuals</w:t>
            </w:r>
          </w:p>
        </w:tc>
        <w:tc>
          <w:tcPr>
            <w:tcW w:w="7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3,692</w:t>
            </w: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ind w:left="860"/>
              <w:spacing w:after="0"/>
              <w:rPr>
                <w:sz w:val="20"/>
                <w:szCs w:val="20"/>
                <w:color w:val="auto"/>
              </w:rPr>
            </w:pPr>
            <w:r>
              <w:rPr>
                <w:rFonts w:ascii="Arial" w:cs="Arial" w:eastAsia="Arial" w:hAnsi="Arial"/>
                <w:sz w:val="18"/>
                <w:szCs w:val="18"/>
                <w:color w:val="auto"/>
                <w:w w:val="88"/>
              </w:rPr>
              <w:t>—</w:t>
            </w:r>
          </w:p>
        </w:tc>
        <w:tc>
          <w:tcPr>
            <w:tcW w:w="4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Derivative financial instruments, net (1)</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781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AF9E8"/>
          </w:tcPr>
          <w:p>
            <w:pPr>
              <w:spacing w:after="0"/>
              <w:rPr>
                <w:sz w:val="20"/>
                <w:szCs w:val="20"/>
                <w:color w:val="auto"/>
              </w:rPr>
            </w:pPr>
            <w:r>
              <w:rPr>
                <w:rFonts w:ascii="Arial" w:cs="Arial" w:eastAsia="Arial" w:hAnsi="Arial"/>
                <w:sz w:val="18"/>
                <w:szCs w:val="18"/>
                <w:i w:val="1"/>
                <w:iCs w:val="1"/>
                <w:color w:val="auto"/>
              </w:rPr>
              <w:t>Measured at fair value on a non-recurring basis:</w:t>
            </w:r>
          </w:p>
        </w:tc>
        <w:tc>
          <w:tcPr>
            <w:tcW w:w="7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Loans held for resale (2)</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33,197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Mortgage servicing rights (3)</w:t>
            </w:r>
          </w:p>
        </w:tc>
        <w:tc>
          <w:tcPr>
            <w:tcW w:w="7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613</w:t>
            </w: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ind w:left="860"/>
              <w:spacing w:after="0"/>
              <w:rPr>
                <w:sz w:val="20"/>
                <w:szCs w:val="20"/>
                <w:color w:val="auto"/>
              </w:rPr>
            </w:pPr>
            <w:r>
              <w:rPr>
                <w:rFonts w:ascii="Arial" w:cs="Arial" w:eastAsia="Arial" w:hAnsi="Arial"/>
                <w:sz w:val="18"/>
                <w:szCs w:val="18"/>
                <w:color w:val="auto"/>
                <w:w w:val="88"/>
              </w:rPr>
              <w:t>—</w:t>
            </w:r>
          </w:p>
        </w:tc>
        <w:tc>
          <w:tcPr>
            <w:tcW w:w="4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00" w:hanging="492"/>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See Note 21 for additional information on our use of derivative financial instruments.</w:t>
      </w:r>
    </w:p>
    <w:p>
      <w:pPr>
        <w:spacing w:after="0" w:line="225" w:lineRule="exact"/>
        <w:rPr>
          <w:rFonts w:ascii="Arial" w:cs="Arial" w:eastAsia="Arial" w:hAnsi="Arial"/>
          <w:sz w:val="18"/>
          <w:szCs w:val="18"/>
          <w:color w:val="auto"/>
        </w:rPr>
      </w:pPr>
    </w:p>
    <w:p>
      <w:pPr>
        <w:ind w:left="1000" w:right="80" w:hanging="492"/>
        <w:spacing w:after="0" w:line="264"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Loans held for resale are measured at fair value on a non-recurring basis. At December 31, 2010 and 2009, the carrying value of loans held for resale is net of a valuation allowance of $14,611 and $15,963, respectively. Current market illiquidity has reduced the availability of observable pricing data. Consequently, we classify these loans within Level 3 of the fair value hierarchy.</w:t>
      </w:r>
    </w:p>
    <w:p>
      <w:pPr>
        <w:spacing w:after="0" w:line="181" w:lineRule="exact"/>
        <w:rPr>
          <w:rFonts w:ascii="Arial" w:cs="Arial" w:eastAsia="Arial" w:hAnsi="Arial"/>
          <w:sz w:val="18"/>
          <w:szCs w:val="18"/>
          <w:color w:val="auto"/>
        </w:rPr>
      </w:pPr>
    </w:p>
    <w:p>
      <w:pPr>
        <w:ind w:left="1000" w:right="80" w:hanging="492"/>
        <w:spacing w:after="0" w:line="312" w:lineRule="auto"/>
        <w:tabs>
          <w:tab w:leader="none" w:pos="10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carrying value of MSRs at December 31, 2010 and 2009 is net of a valuation allowance for impairment of $2,864 and $2,954, respectively. The carrying value of the impaired stratum, net of the valuation allowance, was $334 and $613 at December 31, 2010 and 2009, respectively. The estimated fair value exceeded amortized cost for all other strata. See Note 9 for additional information on our investment in MSRs.</w:t>
      </w:r>
    </w:p>
    <w:p>
      <w:pPr>
        <w:spacing w:after="0" w:line="146" w:lineRule="exact"/>
        <w:rPr>
          <w:rFonts w:ascii="Arial" w:cs="Arial" w:eastAsia="Arial" w:hAnsi="Arial"/>
          <w:sz w:val="16"/>
          <w:szCs w:val="16"/>
          <w:color w:val="auto"/>
        </w:rPr>
      </w:pPr>
    </w:p>
    <w:p>
      <w:pPr>
        <w:ind w:left="1000" w:hanging="492"/>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Because our internal valuation model requires significant use of unobservable inputs, we classify these securities within Level 3 of the fair value hierarchy.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4" w:name="page85"/>
    <w:bookmarkEnd w:id="84"/>
    <w:p>
      <w:pPr>
        <w:ind w:left="680"/>
        <w:spacing w:after="0"/>
        <w:rPr>
          <w:sz w:val="20"/>
          <w:szCs w:val="20"/>
          <w:color w:val="auto"/>
        </w:rPr>
      </w:pPr>
      <w:r>
        <w:rPr>
          <w:rFonts w:ascii="Arial" w:cs="Arial" w:eastAsia="Arial" w:hAnsi="Arial"/>
          <w:sz w:val="16"/>
          <w:szCs w:val="16"/>
          <w:color w:val="auto"/>
        </w:rPr>
        <w:t>The following table sets forth a reconciliation of the changes in fair value of our Level 3 assets that we measure at fair value on a recurring basis: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Purchases,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Total realized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Fair value at</w:t>
            </w:r>
          </w:p>
        </w:tc>
        <w:tc>
          <w:tcPr>
            <w:tcW w:w="14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6"/>
              </w:rPr>
              <w:t>collections and</w:t>
            </w:r>
          </w:p>
        </w:tc>
        <w:tc>
          <w:tcPr>
            <w:tcW w:w="140" w:type="dxa"/>
            <w:vAlign w:val="bottom"/>
          </w:tcPr>
          <w:p>
            <w:pPr>
              <w:spacing w:after="0"/>
              <w:rPr>
                <w:sz w:val="18"/>
                <w:szCs w:val="18"/>
                <w:color w:val="auto"/>
              </w:rPr>
            </w:pPr>
          </w:p>
        </w:tc>
        <w:tc>
          <w:tcPr>
            <w:tcW w:w="14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and unrealized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Transfers in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beginning</w:t>
            </w:r>
          </w:p>
        </w:tc>
        <w:tc>
          <w:tcPr>
            <w:tcW w:w="14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settlements,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gains and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and/or out of</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Fair value at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of year</w:t>
            </w:r>
          </w:p>
        </w:tc>
        <w:tc>
          <w:tcPr>
            <w:tcW w:w="160" w:type="dxa"/>
            <w:vAlign w:val="bottom"/>
          </w:tcPr>
          <w:p>
            <w:pPr>
              <w:spacing w:after="0"/>
              <w:rPr>
                <w:sz w:val="20"/>
                <w:szCs w:val="20"/>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(losses) (2) (3)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Level 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end of 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For the year ended December 31, 2010:</w:t>
            </w:r>
          </w:p>
        </w:tc>
        <w:tc>
          <w:tcPr>
            <w:tcW w:w="120" w:type="dxa"/>
            <w:vAlign w:val="bottom"/>
            <w:tcBorders>
              <w:top w:val="single" w:sz="8" w:color="auto"/>
            </w:tcBorders>
            <w:shd w:val="clear" w:color="auto" w:fill="EAF9E8"/>
          </w:tcPr>
          <w:p>
            <w:pPr>
              <w:spacing w:after="0"/>
              <w:rPr>
                <w:sz w:val="18"/>
                <w:szCs w:val="18"/>
                <w:color w:val="auto"/>
              </w:rPr>
            </w:pPr>
          </w:p>
        </w:tc>
        <w:tc>
          <w:tcPr>
            <w:tcW w:w="1160" w:type="dxa"/>
            <w:vAlign w:val="bottom"/>
            <w:tcBorders>
              <w:top w:val="single" w:sz="8" w:color="auto"/>
            </w:tcBorders>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1120" w:type="dxa"/>
            <w:vAlign w:val="bottom"/>
            <w:tcBorders>
              <w:top w:val="single" w:sz="8" w:color="auto"/>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1180" w:type="dxa"/>
            <w:vAlign w:val="bottom"/>
            <w:tcBorders>
              <w:top w:val="single" w:sz="8" w:color="auto"/>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Trading securities: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Auction rate</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247,464</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(239,555)</w:t>
            </w:r>
          </w:p>
        </w:tc>
        <w:tc>
          <w:tcPr>
            <w:tcW w:w="2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(7,909)</w:t>
            </w:r>
          </w:p>
        </w:tc>
        <w:tc>
          <w:tcPr>
            <w:tcW w:w="2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AF9E8"/>
          </w:tcPr>
          <w:p>
            <w:pPr>
              <w:ind w:left="9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Subordinates and residuals (4)</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Derivative financial instruments (5)</w:t>
            </w:r>
          </w:p>
        </w:tc>
        <w:tc>
          <w:tcPr>
            <w:tcW w:w="12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(14,568)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(15,351)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For the year ended December 31, 2009:</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EAF9E8"/>
          </w:tcPr>
          <w:p>
            <w:pPr>
              <w:spacing w:after="0"/>
              <w:rPr>
                <w:sz w:val="20"/>
                <w:szCs w:val="20"/>
                <w:color w:val="auto"/>
              </w:rPr>
            </w:pPr>
            <w:r>
              <w:rPr>
                <w:rFonts w:ascii="Arial" w:cs="Arial" w:eastAsia="Arial" w:hAnsi="Arial"/>
                <w:sz w:val="18"/>
                <w:szCs w:val="18"/>
                <w:color w:val="auto"/>
              </w:rPr>
              <w:t>Trading securities:</w:t>
            </w: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Auction rate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239,301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(3,700)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11,863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247,464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Subordinates and residuals</w:t>
            </w:r>
          </w:p>
        </w:tc>
        <w:tc>
          <w:tcPr>
            <w:tcW w:w="1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4,369</w:t>
            </w:r>
          </w:p>
        </w:tc>
        <w:tc>
          <w:tcPr>
            <w:tcW w:w="16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(677)</w:t>
            </w: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ind w:left="9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EAF9E8"/>
          </w:tcPr>
          <w:p>
            <w:pPr>
              <w:spacing w:after="0"/>
              <w:rPr>
                <w:sz w:val="20"/>
                <w:szCs w:val="20"/>
                <w:color w:val="auto"/>
              </w:rPr>
            </w:pPr>
            <w:r>
              <w:rPr>
                <w:rFonts w:ascii="Arial" w:cs="Arial" w:eastAsia="Arial" w:hAnsi="Arial"/>
                <w:sz w:val="18"/>
                <w:szCs w:val="18"/>
                <w:color w:val="auto"/>
              </w:rPr>
              <w:t>Derivative financial instruments</w:t>
            </w:r>
          </w:p>
        </w:tc>
        <w:tc>
          <w:tcPr>
            <w:tcW w:w="1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193</w:t>
            </w:r>
          </w:p>
        </w:tc>
        <w:tc>
          <w:tcPr>
            <w:tcW w:w="16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ind w:left="9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For the year ended December 31, 2008:</w:t>
            </w: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Trading securities: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Auction rate</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268,913</w:t>
            </w:r>
          </w:p>
        </w:tc>
        <w:tc>
          <w:tcPr>
            <w:tcW w:w="2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(29,612)</w:t>
            </w:r>
          </w:p>
        </w:tc>
        <w:tc>
          <w:tcPr>
            <w:tcW w:w="2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AF9E8"/>
          </w:tcPr>
          <w:p>
            <w:pPr>
              <w:ind w:left="9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239,301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Subordinates and residuals</w:t>
            </w:r>
          </w:p>
        </w:tc>
        <w:tc>
          <w:tcPr>
            <w:tcW w:w="1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7,362</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20"/>
                <w:szCs w:val="20"/>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4,867</w:t>
            </w:r>
          </w:p>
        </w:tc>
        <w:tc>
          <w:tcPr>
            <w:tcW w:w="16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(7,064)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2,390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80" w:hanging="572"/>
        <w:spacing w:after="0"/>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Purchases, collections and settlements, net, related to trading securities exclude interest received.</w:t>
      </w:r>
    </w:p>
    <w:p>
      <w:pPr>
        <w:spacing w:after="0" w:line="225" w:lineRule="exact"/>
        <w:rPr>
          <w:rFonts w:ascii="Arial" w:cs="Arial" w:eastAsia="Arial" w:hAnsi="Arial"/>
          <w:sz w:val="18"/>
          <w:szCs w:val="18"/>
          <w:color w:val="auto"/>
        </w:rPr>
      </w:pPr>
    </w:p>
    <w:p>
      <w:pPr>
        <w:jc w:val="both"/>
        <w:ind w:left="580" w:right="160" w:hanging="572"/>
        <w:spacing w:after="0" w:line="264" w:lineRule="auto"/>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Total gains and (losses) on auction rate securities for 2009 include unrealized gains of $11,772 on auction rate securities held at December 31, 2009. The total losses attributable to subordinates and residuals for 2010 and 2009 were comprised of unrealized losses on securities held at December 31, 2010 and 2009.</w:t>
      </w:r>
    </w:p>
    <w:p>
      <w:pPr>
        <w:spacing w:after="0" w:line="181" w:lineRule="exact"/>
        <w:rPr>
          <w:rFonts w:ascii="Arial" w:cs="Arial" w:eastAsia="Arial" w:hAnsi="Arial"/>
          <w:sz w:val="18"/>
          <w:szCs w:val="18"/>
          <w:color w:val="auto"/>
        </w:rPr>
      </w:pPr>
    </w:p>
    <w:p>
      <w:pPr>
        <w:ind w:left="580" w:right="140" w:hanging="572"/>
        <w:spacing w:after="0" w:line="264" w:lineRule="auto"/>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Total gains (losses) on derivatives for 2010 include unrealized losses of $14,435 reported in changes in Other comprehensive loss. All other unrealized gains (losses) on derivatives are reported in Other, net. Total gains and (losses) attributable to derivative financial instruments still held at December 31, 2010 and 2009 were $(13,775) and $588, respectively.</w:t>
      </w:r>
    </w:p>
    <w:p>
      <w:pPr>
        <w:spacing w:after="0" w:line="181" w:lineRule="exact"/>
        <w:rPr>
          <w:rFonts w:ascii="Arial" w:cs="Arial" w:eastAsia="Arial" w:hAnsi="Arial"/>
          <w:sz w:val="18"/>
          <w:szCs w:val="18"/>
          <w:color w:val="auto"/>
        </w:rPr>
      </w:pPr>
    </w:p>
    <w:p>
      <w:pPr>
        <w:ind w:left="580" w:right="360" w:hanging="572"/>
        <w:spacing w:after="0" w:line="277" w:lineRule="auto"/>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Effective January 1, 2010, we eliminated our investment in trading securities that were issued by newly consolidated securitization trusts as more fully described in Note 1—Securitizations of Residential Mortgage Loans.</w:t>
      </w:r>
    </w:p>
    <w:p>
      <w:pPr>
        <w:spacing w:after="0" w:line="170"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fair values of derivative financial instruments as of January 1, 2010 were adjusted to include $(826) related to an interest rate swap that is held by one of the newly consolidated securitization trusts.</w:t>
      </w:r>
    </w:p>
    <w:p>
      <w:pPr>
        <w:spacing w:after="0" w:line="170" w:lineRule="exact"/>
        <w:rPr>
          <w:sz w:val="20"/>
          <w:szCs w:val="20"/>
          <w:color w:val="auto"/>
        </w:rPr>
      </w:pPr>
    </w:p>
    <w:p>
      <w:pPr>
        <w:ind w:right="780" w:firstLine="663"/>
        <w:spacing w:after="0" w:line="277" w:lineRule="auto"/>
        <w:rPr>
          <w:sz w:val="20"/>
          <w:szCs w:val="20"/>
          <w:color w:val="auto"/>
        </w:rPr>
      </w:pPr>
      <w:r>
        <w:rPr>
          <w:rFonts w:ascii="Arial" w:cs="Arial" w:eastAsia="Arial" w:hAnsi="Arial"/>
          <w:sz w:val="18"/>
          <w:szCs w:val="18"/>
          <w:color w:val="auto"/>
        </w:rPr>
        <w:t>The methodologies that we use and key assumptions that we make to estimate the fair value of instruments are described in more detail by instrument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Securities</w:t>
      </w:r>
    </w:p>
    <w:p>
      <w:pPr>
        <w:spacing w:after="0" w:line="229" w:lineRule="exact"/>
        <w:rPr>
          <w:sz w:val="20"/>
          <w:szCs w:val="20"/>
          <w:color w:val="auto"/>
        </w:rPr>
      </w:pPr>
    </w:p>
    <w:p>
      <w:pPr>
        <w:ind w:right="60" w:firstLine="663"/>
        <w:spacing w:after="0" w:line="276" w:lineRule="auto"/>
        <w:rPr>
          <w:sz w:val="20"/>
          <w:szCs w:val="20"/>
          <w:color w:val="auto"/>
        </w:rPr>
      </w:pPr>
      <w:r>
        <w:rPr>
          <w:rFonts w:ascii="Arial" w:cs="Arial" w:eastAsia="Arial" w:hAnsi="Arial"/>
          <w:sz w:val="17"/>
          <w:szCs w:val="17"/>
          <w:i w:val="1"/>
          <w:iCs w:val="1"/>
          <w:color w:val="auto"/>
        </w:rPr>
        <w:t xml:space="preserve">Auction Rate Securities. </w:t>
      </w:r>
      <w:r>
        <w:rPr>
          <w:rFonts w:ascii="Arial" w:cs="Arial" w:eastAsia="Arial" w:hAnsi="Arial"/>
          <w:sz w:val="17"/>
          <w:szCs w:val="17"/>
          <w:color w:val="auto"/>
        </w:rPr>
        <w:t>Prior to completing the liquidation of our auction rate securities in 2010, we estimated the fair value of the auction rate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based on a combination of observable market inputs provided by actual orderly sales of similar auction rate securities and a discounted cash flow analysis. This discounted cash flow analysis incorporated expected future cash flows based on our best estimate of market participant assumptions. In periods of market illiquidity, the fair value of auction rate securities was determined after consideration of the credit quality of the securities held and the underlying collateral, market activity and general market conditions affecting auction rate secu rities.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5" w:name="page86"/>
    <w:bookmarkEnd w:id="85"/>
    <w:p>
      <w:pPr>
        <w:ind w:right="20" w:firstLine="663"/>
        <w:spacing w:after="0" w:line="297" w:lineRule="auto"/>
        <w:rPr>
          <w:sz w:val="20"/>
          <w:szCs w:val="20"/>
          <w:color w:val="auto"/>
        </w:rPr>
      </w:pPr>
      <w:r>
        <w:rPr>
          <w:rFonts w:ascii="Arial" w:cs="Arial" w:eastAsia="Arial" w:hAnsi="Arial"/>
          <w:sz w:val="16"/>
          <w:szCs w:val="16"/>
          <w:color w:val="auto"/>
        </w:rPr>
        <w:t>The expected term was based upon our best estimate of market participants’ expectations of future successful auctions. The discount rate and illiquidity premium were consistent with prevailing rates for similar securities. The discount to face value upon liquidation was based on observed tender offers for similar securities. Other significant assumptions that we considered in our analysis included the credit risk profiles of the issuers, the impact on the issuers of the increased debt service costs associated with the payment of penalty interest rates and the collateralization of the securitization trusts. We did not assume defaults in our valuation due to the high credit quality of both the securities we hold and the underlying collateral.</w:t>
      </w:r>
    </w:p>
    <w:p>
      <w:pPr>
        <w:spacing w:after="0" w:line="158" w:lineRule="exact"/>
        <w:rPr>
          <w:sz w:val="20"/>
          <w:szCs w:val="20"/>
          <w:color w:val="auto"/>
        </w:rPr>
      </w:pPr>
    </w:p>
    <w:p>
      <w:pPr>
        <w:ind w:firstLine="666"/>
        <w:spacing w:after="0" w:line="255" w:lineRule="auto"/>
        <w:rPr>
          <w:sz w:val="20"/>
          <w:szCs w:val="20"/>
          <w:color w:val="auto"/>
        </w:rPr>
      </w:pPr>
      <w:r>
        <w:rPr>
          <w:rFonts w:ascii="Arial" w:cs="Arial" w:eastAsia="Arial" w:hAnsi="Arial"/>
          <w:sz w:val="18"/>
          <w:szCs w:val="18"/>
          <w:i w:val="1"/>
          <w:iCs w:val="1"/>
          <w:color w:val="auto"/>
        </w:rPr>
        <w:t xml:space="preserve">Subordinates and Residuals. </w:t>
      </w:r>
      <w:r>
        <w:rPr>
          <w:rFonts w:ascii="Arial" w:cs="Arial" w:eastAsia="Arial" w:hAnsi="Arial"/>
          <w:sz w:val="18"/>
          <w:szCs w:val="18"/>
          <w:color w:val="auto"/>
        </w:rPr>
        <w:t>Our subordinate and residual securities are not actively traded, and, therefore, we estimate the fair value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based on the present value of expected future cash flows from the underlying mortgage pools. We use our best estimate of the key assumptions we believe are used by market participants. We calibrate our internally developed discounted cash flow models for trading activity when appropriate to do so in light of market liquidity levels. Key inputs include expected prepayment rates, delinquency and cumulative loss curves and discount rates commensurate with the risks. Where possible, we use observable inputs in the valuation of our securities. However, the subordinate and residual securities in which we invest typically trade infrequently and therefore have few or no observable inputs and little price transparency. Additionally, during periods of market dislocation, the observability of inputs is further reduced.</w:t>
      </w:r>
    </w:p>
    <w:p>
      <w:pPr>
        <w:spacing w:after="0" w:line="189" w:lineRule="exact"/>
        <w:rPr>
          <w:sz w:val="20"/>
          <w:szCs w:val="20"/>
          <w:color w:val="auto"/>
        </w:rPr>
      </w:pPr>
    </w:p>
    <w:p>
      <w:pPr>
        <w:ind w:right="240" w:firstLine="666"/>
        <w:spacing w:after="0" w:line="264" w:lineRule="auto"/>
        <w:rPr>
          <w:sz w:val="20"/>
          <w:szCs w:val="20"/>
          <w:color w:val="auto"/>
        </w:rPr>
      </w:pPr>
      <w:r>
        <w:rPr>
          <w:rFonts w:ascii="Arial" w:cs="Arial" w:eastAsia="Arial" w:hAnsi="Arial"/>
          <w:sz w:val="18"/>
          <w:szCs w:val="18"/>
          <w:color w:val="auto"/>
        </w:rPr>
        <w:t>Discount rates for the subordinate and residual securities are determined based upon an assessment of prevailing market conditions and prices for similar assets. We project the delinquency, loss and prepayment assumptions based on a comparison to actual historical performance curves adjusted for prevailing market conditions.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ind w:right="180" w:firstLine="666"/>
        <w:spacing w:after="0" w:line="277" w:lineRule="auto"/>
        <w:rPr>
          <w:sz w:val="20"/>
          <w:szCs w:val="20"/>
          <w:color w:val="auto"/>
        </w:rPr>
      </w:pPr>
      <w:r>
        <w:rPr>
          <w:rFonts w:ascii="Arial" w:cs="Arial" w:eastAsia="Arial" w:hAnsi="Arial"/>
          <w:sz w:val="18"/>
          <w:szCs w:val="18"/>
          <w:color w:val="auto"/>
        </w:rPr>
        <w:t>Exchange-traded derivative financial instruments are valued based on quoted market prices. If quoted market prices or other observable inputs are not available, fair value is based on estimates provided by third-party pricing 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Resale</w:t>
      </w:r>
    </w:p>
    <w:p>
      <w:pPr>
        <w:spacing w:after="0" w:line="229" w:lineRule="exact"/>
        <w:rPr>
          <w:sz w:val="20"/>
          <w:szCs w:val="20"/>
          <w:color w:val="auto"/>
        </w:rPr>
      </w:pPr>
    </w:p>
    <w:p>
      <w:pPr>
        <w:ind w:right="340" w:firstLine="324"/>
        <w:spacing w:after="0" w:line="286" w:lineRule="auto"/>
        <w:rPr>
          <w:sz w:val="20"/>
          <w:szCs w:val="20"/>
          <w:color w:val="auto"/>
        </w:rPr>
      </w:pPr>
      <w:r>
        <w:rPr>
          <w:rFonts w:ascii="Arial" w:cs="Arial" w:eastAsia="Arial" w:hAnsi="Arial"/>
          <w:sz w:val="17"/>
          <w:szCs w:val="17"/>
          <w:color w:val="auto"/>
        </w:rPr>
        <w:t>Loans held for resale are reported at the lower of cost or fair value. We account for the excess of cost over fair value as a valuation allowance with changes in the valuation allowance included in gain (loss) on loans held for resale, net, in the period in which the change occurs. All loans held for resale were measured at fair value because their cost of $40,414 exceeded their estimated fair value of $25,803 at December 31, 2010.</w:t>
      </w:r>
    </w:p>
    <w:p>
      <w:pPr>
        <w:spacing w:after="0" w:line="16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When we enter into an agreement to sell a loan to an investor at a set price, the loan is valued at the commitment price. The fair value of loans for which we do not have a firm commitment to sell is based upon a discounted cash flow analysis. We stratify our fair value estimate of uncommitted loans held for resale based upon the delinquency status of the loans. We base the fair value of our performing loans on the expected future cash flows discounted at a rate commensurate with the risk of the estimated cash flows. Significant assumptions include collateral and loan characteristics, prevailing market conditions and the creditworthiness of the borrower. The fair value of our non-performing loans is determined based upon the underlying collateral of the loan and the estimated period and cost of disposition.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 Restricted for Securitization Investors</w:t>
      </w:r>
    </w:p>
    <w:p>
      <w:pPr>
        <w:spacing w:after="0" w:line="229" w:lineRule="exact"/>
        <w:rPr>
          <w:sz w:val="20"/>
          <w:szCs w:val="20"/>
          <w:color w:val="auto"/>
        </w:rPr>
      </w:pPr>
    </w:p>
    <w:p>
      <w:pPr>
        <w:ind w:right="220" w:firstLine="666"/>
        <w:spacing w:after="0" w:line="259" w:lineRule="auto"/>
        <w:rPr>
          <w:sz w:val="20"/>
          <w:szCs w:val="20"/>
          <w:color w:val="auto"/>
        </w:rPr>
      </w:pPr>
      <w:r>
        <w:rPr>
          <w:rFonts w:ascii="Arial" w:cs="Arial" w:eastAsia="Arial" w:hAnsi="Arial"/>
          <w:sz w:val="18"/>
          <w:szCs w:val="18"/>
          <w:color w:val="auto"/>
        </w:rPr>
        <w:t>Loans – restricted for securitization investors are reported at cost, less an allowance for loan losses and are comprised of loans that are secured by first or second liens on one- to four-family residential properties. We base the fair value of our loans on the expected future cash flows discounted at a rate commensurate with the risk of the estimated cash flows. Significant assumptions include expected prepayment rates and delinquency and cumulative loss curves.</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Mortgage Servicing Rights</w:t>
      </w:r>
    </w:p>
    <w:p>
      <w:pPr>
        <w:spacing w:after="0" w:line="229" w:lineRule="exact"/>
        <w:rPr>
          <w:sz w:val="20"/>
          <w:szCs w:val="20"/>
          <w:color w:val="auto"/>
        </w:rPr>
      </w:pPr>
    </w:p>
    <w:p>
      <w:pPr>
        <w:jc w:val="both"/>
        <w:ind w:firstLine="663"/>
        <w:spacing w:after="0" w:line="312" w:lineRule="auto"/>
        <w:rPr>
          <w:sz w:val="20"/>
          <w:szCs w:val="20"/>
          <w:color w:val="auto"/>
        </w:rPr>
      </w:pPr>
      <w:r>
        <w:rPr>
          <w:rFonts w:ascii="Arial" w:cs="Arial" w:eastAsia="Arial" w:hAnsi="Arial"/>
          <w:sz w:val="16"/>
          <w:szCs w:val="16"/>
          <w:color w:val="auto"/>
        </w:rPr>
        <w:t>We estimate the fair value of our MSRs by calculating the present value of expected future cash flows utilizing assumptions that we believe are used by market participants. The most significant assumptions used in our internal valuation are the speed at which mortgages prepay and delinquency experience, both of which we derive from our historical experience and available market data. Other assumptions used in our internal valuation are:</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5060" w:type="dxa"/>
            <w:vAlign w:val="bottom"/>
          </w:tcPr>
          <w:p>
            <w:pPr>
              <w:ind w:left="240"/>
              <w:spacing w:after="0"/>
              <w:rPr>
                <w:sz w:val="20"/>
                <w:szCs w:val="20"/>
                <w:color w:val="auto"/>
              </w:rPr>
            </w:pPr>
            <w:r>
              <w:rPr>
                <w:rFonts w:ascii="Arial" w:cs="Arial" w:eastAsia="Arial" w:hAnsi="Arial"/>
                <w:sz w:val="18"/>
                <w:szCs w:val="18"/>
                <w:color w:val="auto"/>
              </w:rPr>
              <w:t>Cost of servicing</w:t>
            </w:r>
          </w:p>
        </w:tc>
        <w:tc>
          <w:tcPr>
            <w:tcW w:w="640" w:type="dxa"/>
            <w:vAlign w:val="bottom"/>
          </w:tcPr>
          <w:p>
            <w:pPr>
              <w:ind w:left="300"/>
              <w:spacing w:after="0"/>
              <w:rPr>
                <w:sz w:val="20"/>
                <w:szCs w:val="20"/>
                <w:color w:val="auto"/>
              </w:rPr>
            </w:pPr>
            <w:r>
              <w:rPr>
                <w:rFonts w:ascii="Arial" w:cs="Arial" w:eastAsia="Arial" w:hAnsi="Arial"/>
                <w:sz w:val="18"/>
                <w:szCs w:val="18"/>
                <w:color w:val="auto"/>
              </w:rPr>
              <w:t>●</w:t>
            </w:r>
          </w:p>
        </w:tc>
        <w:tc>
          <w:tcPr>
            <w:tcW w:w="3560" w:type="dxa"/>
            <w:vAlign w:val="bottom"/>
          </w:tcPr>
          <w:p>
            <w:pPr>
              <w:ind w:left="240"/>
              <w:spacing w:after="0"/>
              <w:rPr>
                <w:sz w:val="20"/>
                <w:szCs w:val="20"/>
                <w:color w:val="auto"/>
              </w:rPr>
            </w:pPr>
            <w:r>
              <w:rPr>
                <w:rFonts w:ascii="Arial" w:cs="Arial" w:eastAsia="Arial" w:hAnsi="Arial"/>
                <w:sz w:val="18"/>
                <w:szCs w:val="18"/>
                <w:color w:val="auto"/>
                <w:w w:val="89"/>
              </w:rPr>
              <w:t>Interest rate used for computing float earnings</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5060" w:type="dxa"/>
            <w:vAlign w:val="bottom"/>
          </w:tcPr>
          <w:p>
            <w:pPr>
              <w:ind w:left="240"/>
              <w:spacing w:after="0"/>
              <w:rPr>
                <w:sz w:val="20"/>
                <w:szCs w:val="20"/>
                <w:color w:val="auto"/>
              </w:rPr>
            </w:pPr>
            <w:r>
              <w:rPr>
                <w:rFonts w:ascii="Arial" w:cs="Arial" w:eastAsia="Arial" w:hAnsi="Arial"/>
                <w:sz w:val="18"/>
                <w:szCs w:val="18"/>
                <w:color w:val="auto"/>
              </w:rPr>
              <w:t>Discount rate</w:t>
            </w:r>
          </w:p>
        </w:tc>
        <w:tc>
          <w:tcPr>
            <w:tcW w:w="640" w:type="dxa"/>
            <w:vAlign w:val="bottom"/>
          </w:tcPr>
          <w:p>
            <w:pPr>
              <w:ind w:left="300"/>
              <w:spacing w:after="0"/>
              <w:rPr>
                <w:sz w:val="20"/>
                <w:szCs w:val="20"/>
                <w:color w:val="auto"/>
              </w:rPr>
            </w:pPr>
            <w:r>
              <w:rPr>
                <w:rFonts w:ascii="Arial" w:cs="Arial" w:eastAsia="Arial" w:hAnsi="Arial"/>
                <w:sz w:val="18"/>
                <w:szCs w:val="18"/>
                <w:color w:val="auto"/>
              </w:rPr>
              <w:t>●</w:t>
            </w:r>
          </w:p>
        </w:tc>
        <w:tc>
          <w:tcPr>
            <w:tcW w:w="3560" w:type="dxa"/>
            <w:vAlign w:val="bottom"/>
          </w:tcPr>
          <w:p>
            <w:pPr>
              <w:ind w:left="240"/>
              <w:spacing w:after="0"/>
              <w:rPr>
                <w:sz w:val="20"/>
                <w:szCs w:val="20"/>
                <w:color w:val="auto"/>
              </w:rPr>
            </w:pPr>
            <w:r>
              <w:rPr>
                <w:rFonts w:ascii="Arial" w:cs="Arial" w:eastAsia="Arial" w:hAnsi="Arial"/>
                <w:sz w:val="18"/>
                <w:szCs w:val="18"/>
                <w:color w:val="auto"/>
              </w:rPr>
              <w:t>Compensating interest expense</w:t>
            </w: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5060" w:type="dxa"/>
            <w:vAlign w:val="bottom"/>
          </w:tcPr>
          <w:p>
            <w:pPr>
              <w:ind w:left="240"/>
              <w:spacing w:after="0"/>
              <w:rPr>
                <w:sz w:val="20"/>
                <w:szCs w:val="20"/>
                <w:color w:val="auto"/>
              </w:rPr>
            </w:pPr>
            <w:r>
              <w:rPr>
                <w:rFonts w:ascii="Arial" w:cs="Arial" w:eastAsia="Arial" w:hAnsi="Arial"/>
                <w:sz w:val="18"/>
                <w:szCs w:val="18"/>
                <w:color w:val="auto"/>
                <w:w w:val="95"/>
              </w:rPr>
              <w:t>Interest rate used for computing the cost of Servicing advances</w:t>
            </w:r>
          </w:p>
        </w:tc>
        <w:tc>
          <w:tcPr>
            <w:tcW w:w="640" w:type="dxa"/>
            <w:vAlign w:val="bottom"/>
          </w:tcPr>
          <w:p>
            <w:pPr>
              <w:ind w:left="300"/>
              <w:spacing w:after="0"/>
              <w:rPr>
                <w:sz w:val="20"/>
                <w:szCs w:val="20"/>
                <w:color w:val="auto"/>
              </w:rPr>
            </w:pPr>
            <w:r>
              <w:rPr>
                <w:rFonts w:ascii="Arial" w:cs="Arial" w:eastAsia="Arial" w:hAnsi="Arial"/>
                <w:sz w:val="18"/>
                <w:szCs w:val="18"/>
                <w:color w:val="auto"/>
              </w:rPr>
              <w:t>●</w:t>
            </w:r>
          </w:p>
        </w:tc>
        <w:tc>
          <w:tcPr>
            <w:tcW w:w="3560" w:type="dxa"/>
            <w:vAlign w:val="bottom"/>
          </w:tcPr>
          <w:p>
            <w:pPr>
              <w:ind w:left="240"/>
              <w:spacing w:after="0"/>
              <w:rPr>
                <w:sz w:val="20"/>
                <w:szCs w:val="20"/>
                <w:color w:val="auto"/>
              </w:rPr>
            </w:pPr>
            <w:r>
              <w:rPr>
                <w:rFonts w:ascii="Arial" w:cs="Arial" w:eastAsia="Arial" w:hAnsi="Arial"/>
                <w:sz w:val="18"/>
                <w:szCs w:val="18"/>
                <w:color w:val="auto"/>
              </w:rPr>
              <w:t>Collection rate of other ancillary fees</w:t>
            </w:r>
          </w:p>
        </w:tc>
      </w:tr>
    </w:tbl>
    <w:p>
      <w:pPr>
        <w:spacing w:after="0" w:line="202" w:lineRule="exact"/>
        <w:rPr>
          <w:sz w:val="20"/>
          <w:szCs w:val="20"/>
          <w:color w:val="auto"/>
        </w:rPr>
      </w:pPr>
    </w:p>
    <w:p>
      <w:pPr>
        <w:ind w:right="20" w:firstLine="663"/>
        <w:spacing w:after="0" w:line="254" w:lineRule="auto"/>
        <w:rPr>
          <w:sz w:val="20"/>
          <w:szCs w:val="20"/>
          <w:color w:val="auto"/>
        </w:rPr>
      </w:pPr>
      <w:r>
        <w:rPr>
          <w:rFonts w:ascii="Arial" w:cs="Arial" w:eastAsia="Arial" w:hAnsi="Arial"/>
          <w:sz w:val="18"/>
          <w:szCs w:val="18"/>
          <w:color w:val="auto"/>
        </w:rPr>
        <w:t>The significant components of the estimated future cash inflows for MSRs include servicing fees, late fees, prepayment penalties, float earnings and other ancillary fees. Significant cash outflows include the cost of servicing, the cost of financing servicing advances and compensating interest payments. We derive prepayment speeds and delinquency assumptions from historical experience adjusted for prevailing market conditions. We develop the discount rate internally, and we consider external market-based assumptions in determining the interest rate for the cost of financing advances, the interest rate for float earnings and the cost of servicing. The more significant assumptions used in the December 31, 2010 valuation include prepayment speeds ranging from 15% to 19% (depending on loan type) and delinquency rates ranging from 15% to 35% (depending on loan type). Other assumptions include an interest rate of 1-month LIBOR plus 4% for computing the cost of financing advances, an interest rate of 1-month LIBOR for computing float earnings and a discount rate of 20%.</w:t>
      </w:r>
    </w:p>
    <w:p>
      <w:pPr>
        <w:spacing w:after="0" w:line="192" w:lineRule="exact"/>
        <w:rPr>
          <w:sz w:val="20"/>
          <w:szCs w:val="20"/>
          <w:color w:val="auto"/>
        </w:rPr>
      </w:pPr>
    </w:p>
    <w:p>
      <w:pPr>
        <w:ind w:right="80" w:firstLine="663"/>
        <w:spacing w:after="0" w:line="264" w:lineRule="auto"/>
        <w:rPr>
          <w:sz w:val="20"/>
          <w:szCs w:val="20"/>
          <w:color w:val="auto"/>
        </w:rPr>
      </w:pPr>
      <w:r>
        <w:rPr>
          <w:rFonts w:ascii="Arial" w:cs="Arial" w:eastAsia="Arial" w:hAnsi="Arial"/>
          <w:sz w:val="18"/>
          <w:szCs w:val="18"/>
          <w:color w:val="auto"/>
        </w:rPr>
        <w:t>We perform an impairment analysis based on the difference between the carrying amount and fair value after grouping our loans into the applicable strata based on one or more of the predominant risk characteristics of the underlying loans. The risk factors used to assign loans to strata include the credit score (FICO) of the borrower, the loan to value ratio and the default risk. Our strata include:</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3500" w:type="dxa"/>
            <w:vAlign w:val="bottom"/>
          </w:tcPr>
          <w:p>
            <w:pPr>
              <w:ind w:left="240"/>
              <w:spacing w:after="0"/>
              <w:rPr>
                <w:sz w:val="20"/>
                <w:szCs w:val="20"/>
                <w:color w:val="auto"/>
              </w:rPr>
            </w:pPr>
            <w:r>
              <w:rPr>
                <w:rFonts w:ascii="Arial" w:cs="Arial" w:eastAsia="Arial" w:hAnsi="Arial"/>
                <w:sz w:val="18"/>
                <w:szCs w:val="18"/>
                <w:color w:val="auto"/>
              </w:rPr>
              <w:t>Subprime</w:t>
            </w:r>
          </w:p>
        </w:tc>
        <w:tc>
          <w:tcPr>
            <w:tcW w:w="2200" w:type="dxa"/>
            <w:vAlign w:val="bottom"/>
          </w:tcPr>
          <w:p>
            <w:pPr>
              <w:ind w:left="1860"/>
              <w:spacing w:after="0"/>
              <w:rPr>
                <w:sz w:val="20"/>
                <w:szCs w:val="20"/>
                <w:color w:val="auto"/>
              </w:rPr>
            </w:pPr>
            <w:r>
              <w:rPr>
                <w:rFonts w:ascii="Arial" w:cs="Arial" w:eastAsia="Arial" w:hAnsi="Arial"/>
                <w:sz w:val="18"/>
                <w:szCs w:val="18"/>
                <w:color w:val="auto"/>
              </w:rPr>
              <w:t>●</w:t>
            </w:r>
          </w:p>
        </w:tc>
        <w:tc>
          <w:tcPr>
            <w:tcW w:w="1460" w:type="dxa"/>
            <w:vAlign w:val="bottom"/>
          </w:tcPr>
          <w:p>
            <w:pPr>
              <w:ind w:left="240"/>
              <w:spacing w:after="0"/>
              <w:rPr>
                <w:sz w:val="20"/>
                <w:szCs w:val="20"/>
                <w:color w:val="auto"/>
              </w:rPr>
            </w:pPr>
            <w:r>
              <w:rPr>
                <w:rFonts w:ascii="Arial" w:cs="Arial" w:eastAsia="Arial" w:hAnsi="Arial"/>
                <w:sz w:val="18"/>
                <w:szCs w:val="18"/>
                <w:color w:val="auto"/>
              </w:rPr>
              <w:t>Re-performing</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3500" w:type="dxa"/>
            <w:vAlign w:val="bottom"/>
          </w:tcPr>
          <w:p>
            <w:pPr>
              <w:ind w:left="240"/>
              <w:spacing w:after="0"/>
              <w:rPr>
                <w:sz w:val="20"/>
                <w:szCs w:val="20"/>
                <w:color w:val="auto"/>
              </w:rPr>
            </w:pPr>
            <w:r>
              <w:rPr>
                <w:rFonts w:ascii="Arial" w:cs="Arial" w:eastAsia="Arial" w:hAnsi="Arial"/>
                <w:sz w:val="18"/>
                <w:szCs w:val="18"/>
                <w:color w:val="auto"/>
              </w:rPr>
              <w:t>ALT A</w:t>
            </w:r>
          </w:p>
        </w:tc>
        <w:tc>
          <w:tcPr>
            <w:tcW w:w="2200" w:type="dxa"/>
            <w:vAlign w:val="bottom"/>
          </w:tcPr>
          <w:p>
            <w:pPr>
              <w:ind w:left="1860"/>
              <w:spacing w:after="0"/>
              <w:rPr>
                <w:sz w:val="20"/>
                <w:szCs w:val="20"/>
                <w:color w:val="auto"/>
              </w:rPr>
            </w:pPr>
            <w:r>
              <w:rPr>
                <w:rFonts w:ascii="Arial" w:cs="Arial" w:eastAsia="Arial" w:hAnsi="Arial"/>
                <w:sz w:val="18"/>
                <w:szCs w:val="18"/>
                <w:color w:val="auto"/>
              </w:rPr>
              <w:t>●</w:t>
            </w:r>
          </w:p>
        </w:tc>
        <w:tc>
          <w:tcPr>
            <w:tcW w:w="1460" w:type="dxa"/>
            <w:vAlign w:val="bottom"/>
          </w:tcPr>
          <w:p>
            <w:pPr>
              <w:ind w:left="240"/>
              <w:spacing w:after="0"/>
              <w:rPr>
                <w:sz w:val="20"/>
                <w:szCs w:val="20"/>
                <w:color w:val="auto"/>
              </w:rPr>
            </w:pPr>
            <w:r>
              <w:rPr>
                <w:rFonts w:ascii="Arial" w:cs="Arial" w:eastAsia="Arial" w:hAnsi="Arial"/>
                <w:sz w:val="18"/>
                <w:szCs w:val="18"/>
                <w:color w:val="auto"/>
                <w:w w:val="88"/>
              </w:rPr>
              <w:t>Special servicing</w:t>
            </w: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3500" w:type="dxa"/>
            <w:vAlign w:val="bottom"/>
          </w:tcPr>
          <w:p>
            <w:pPr>
              <w:ind w:left="240"/>
              <w:spacing w:after="0"/>
              <w:rPr>
                <w:sz w:val="20"/>
                <w:szCs w:val="20"/>
                <w:color w:val="auto"/>
              </w:rPr>
            </w:pPr>
            <w:r>
              <w:rPr>
                <w:rFonts w:ascii="Arial" w:cs="Arial" w:eastAsia="Arial" w:hAnsi="Arial"/>
                <w:sz w:val="18"/>
                <w:szCs w:val="18"/>
                <w:color w:val="auto"/>
              </w:rPr>
              <w:t>High-loan-to-value</w:t>
            </w:r>
          </w:p>
        </w:tc>
        <w:tc>
          <w:tcPr>
            <w:tcW w:w="2200" w:type="dxa"/>
            <w:vAlign w:val="bottom"/>
          </w:tcPr>
          <w:p>
            <w:pPr>
              <w:ind w:left="1860"/>
              <w:spacing w:after="0"/>
              <w:rPr>
                <w:sz w:val="20"/>
                <w:szCs w:val="20"/>
                <w:color w:val="auto"/>
              </w:rPr>
            </w:pPr>
            <w:r>
              <w:rPr>
                <w:rFonts w:ascii="Arial" w:cs="Arial" w:eastAsia="Arial" w:hAnsi="Arial"/>
                <w:sz w:val="18"/>
                <w:szCs w:val="18"/>
                <w:color w:val="auto"/>
              </w:rPr>
              <w:t>●</w:t>
            </w:r>
          </w:p>
        </w:tc>
        <w:tc>
          <w:tcPr>
            <w:tcW w:w="1460" w:type="dxa"/>
            <w:vAlign w:val="bottom"/>
          </w:tcPr>
          <w:p>
            <w:pPr>
              <w:ind w:left="240"/>
              <w:spacing w:after="0"/>
              <w:rPr>
                <w:sz w:val="20"/>
                <w:szCs w:val="20"/>
                <w:color w:val="auto"/>
              </w:rPr>
            </w:pPr>
            <w:r>
              <w:rPr>
                <w:rFonts w:ascii="Arial" w:cs="Arial" w:eastAsia="Arial" w:hAnsi="Arial"/>
                <w:sz w:val="18"/>
                <w:szCs w:val="18"/>
                <w:color w:val="auto"/>
              </w:rPr>
              <w:t>Other</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Advances</w:t>
      </w:r>
    </w:p>
    <w:p>
      <w:pPr>
        <w:spacing w:after="0" w:line="229" w:lineRule="exact"/>
        <w:rPr>
          <w:sz w:val="20"/>
          <w:szCs w:val="20"/>
          <w:color w:val="auto"/>
        </w:rPr>
      </w:pPr>
    </w:p>
    <w:p>
      <w:pPr>
        <w:ind w:right="240" w:firstLine="663"/>
        <w:spacing w:after="0" w:line="277" w:lineRule="auto"/>
        <w:rPr>
          <w:sz w:val="20"/>
          <w:szCs w:val="20"/>
          <w:color w:val="auto"/>
        </w:rPr>
      </w:pPr>
      <w:r>
        <w:rPr>
          <w:rFonts w:ascii="Arial" w:cs="Arial" w:eastAsia="Arial" w:hAnsi="Arial"/>
          <w:sz w:val="18"/>
          <w:szCs w:val="18"/>
          <w:color w:val="auto"/>
        </w:rPr>
        <w:t>We value advances that we make on loans that we service for others at their carrying amounts because they have no stated maturity, generally are realized within a relatively short period of time and do not bear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229" w:lineRule="exact"/>
        <w:rPr>
          <w:sz w:val="20"/>
          <w:szCs w:val="20"/>
          <w:color w:val="auto"/>
        </w:rPr>
      </w:pPr>
    </w:p>
    <w:p>
      <w:pPr>
        <w:ind w:right="400" w:firstLine="663"/>
        <w:spacing w:after="0" w:line="277" w:lineRule="auto"/>
        <w:rPr>
          <w:sz w:val="20"/>
          <w:szCs w:val="20"/>
          <w:color w:val="auto"/>
        </w:rPr>
      </w:pPr>
      <w:r>
        <w:rPr>
          <w:rFonts w:ascii="Arial" w:cs="Arial" w:eastAsia="Arial" w:hAnsi="Arial"/>
          <w:sz w:val="18"/>
          <w:szCs w:val="18"/>
          <w:color w:val="auto"/>
        </w:rPr>
        <w:t>The carrying value of receivables generally approximates fair value because of the relatively short period of time between their origination and realization.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229" w:lineRule="exact"/>
        <w:rPr>
          <w:sz w:val="20"/>
          <w:szCs w:val="20"/>
          <w:color w:val="auto"/>
        </w:rPr>
      </w:pPr>
    </w:p>
    <w:p>
      <w:pPr>
        <w:ind w:right="20" w:firstLine="666"/>
        <w:spacing w:after="0" w:line="273" w:lineRule="auto"/>
        <w:rPr>
          <w:sz w:val="20"/>
          <w:szCs w:val="20"/>
          <w:color w:val="auto"/>
        </w:rPr>
      </w:pPr>
      <w:r>
        <w:rPr>
          <w:rFonts w:ascii="Arial" w:cs="Arial" w:eastAsia="Arial" w:hAnsi="Arial"/>
          <w:sz w:val="17"/>
          <w:szCs w:val="17"/>
          <w:color w:val="auto"/>
        </w:rPr>
        <w:t>Borrowings not subject to a hedging relationship are carried at amortized cost. We base the fair value of our debt securities on quoted market prices. The carrying value of match funded liabilities and secured borrowings that bear interest at a rate that is adjusted regularly based on a market index approximates fair value. For other match funded or secured borrowings that bear interest at a fixed rate, we determine fair value by discounting the contractual future principal and interest repayments at a market rate commensurate with the risk of the estimated cash flows. We carry certain zero-coupon long-term secured borrowings with an implicit fixed rate at a discounted value and determine fair value by discounting the contractual future principal repayments at a market rate that is commensurate with the risk of the estimated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Servicer Liabilities</w:t>
      </w:r>
    </w:p>
    <w:p>
      <w:pPr>
        <w:spacing w:after="0" w:line="229" w:lineRule="exact"/>
        <w:rPr>
          <w:sz w:val="20"/>
          <w:szCs w:val="20"/>
          <w:color w:val="auto"/>
        </w:rPr>
      </w:pPr>
    </w:p>
    <w:p>
      <w:pPr>
        <w:ind w:right="120" w:firstLine="666"/>
        <w:spacing w:after="0" w:line="264" w:lineRule="auto"/>
        <w:rPr>
          <w:sz w:val="20"/>
          <w:szCs w:val="20"/>
          <w:color w:val="auto"/>
        </w:rPr>
      </w:pPr>
      <w:r>
        <w:rPr>
          <w:rFonts w:ascii="Arial" w:cs="Arial" w:eastAsia="Arial" w:hAnsi="Arial"/>
          <w:sz w:val="18"/>
          <w:szCs w:val="18"/>
          <w:color w:val="auto"/>
        </w:rPr>
        <w:t>Servicer liabilities represent amounts we have collected, primarily from residential borrowers, whose loans we service, that will be deposited in custodial accounts and paid directly to an investment trust or refunded to borrowers. The carrying value of servicer liabilities approximates fair value due to the short period of time the funds are held.</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86" w:right="29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4"/>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w w:val="98"/>
              </w:rPr>
              <w:t>NOTE 4</w:t>
            </w:r>
          </w:p>
        </w:tc>
        <w:tc>
          <w:tcPr>
            <w:tcW w:w="5980" w:type="dxa"/>
            <w:vAlign w:val="bottom"/>
          </w:tcPr>
          <w:p>
            <w:pPr>
              <w:ind w:left="720"/>
              <w:spacing w:after="0"/>
              <w:rPr>
                <w:sz w:val="20"/>
                <w:szCs w:val="20"/>
                <w:color w:val="auto"/>
              </w:rPr>
            </w:pPr>
            <w:r>
              <w:rPr>
                <w:rFonts w:ascii="Arial" w:cs="Arial" w:eastAsia="Arial" w:hAnsi="Arial"/>
                <w:sz w:val="18"/>
                <w:szCs w:val="18"/>
                <w:b w:val="1"/>
                <w:bCs w:val="1"/>
                <w:color w:val="auto"/>
              </w:rPr>
              <w:t>TRADING SECURITIES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980" w:type="dxa"/>
            <w:vAlign w:val="bottom"/>
          </w:tcPr>
          <w:p>
            <w:pPr>
              <w:ind w:left="20"/>
              <w:spacing w:after="0"/>
              <w:rPr>
                <w:sz w:val="20"/>
                <w:szCs w:val="20"/>
                <w:color w:val="auto"/>
              </w:rPr>
            </w:pPr>
            <w:r>
              <w:rPr>
                <w:rFonts w:ascii="Arial" w:cs="Arial" w:eastAsia="Arial" w:hAnsi="Arial"/>
                <w:sz w:val="18"/>
                <w:szCs w:val="18"/>
                <w:color w:val="auto"/>
              </w:rPr>
              <w:t>Trading securities consisted of the following at December 31:</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6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Auction rate (Corporate Items and Other)</w:t>
            </w:r>
          </w:p>
        </w:tc>
        <w:tc>
          <w:tcPr>
            <w:tcW w:w="280" w:type="dxa"/>
            <w:vAlign w:val="bottom"/>
            <w:shd w:val="clear" w:color="auto" w:fill="EAF9E8"/>
          </w:tcPr>
          <w:p>
            <w:pPr>
              <w:spacing w:after="0"/>
              <w:rPr>
                <w:sz w:val="22"/>
                <w:szCs w:val="22"/>
                <w:color w:val="auto"/>
              </w:rPr>
            </w:pPr>
          </w:p>
        </w:tc>
        <w:tc>
          <w:tcPr>
            <w:tcW w:w="980" w:type="dxa"/>
            <w:vAlign w:val="bottom"/>
            <w:shd w:val="clear" w:color="auto" w:fill="EAF9E8"/>
          </w:tcPr>
          <w:p>
            <w:pPr>
              <w:spacing w:after="0"/>
              <w:rPr>
                <w:sz w:val="22"/>
                <w:szCs w:val="22"/>
                <w:color w:val="auto"/>
              </w:rPr>
            </w:pPr>
          </w:p>
        </w:tc>
        <w:tc>
          <w:tcPr>
            <w:tcW w:w="260" w:type="dxa"/>
            <w:vAlign w:val="bottom"/>
            <w:shd w:val="clear" w:color="auto" w:fill="EAF9E8"/>
          </w:tcPr>
          <w:p>
            <w:pPr>
              <w:spacing w:after="0"/>
              <w:rPr>
                <w:sz w:val="22"/>
                <w:szCs w:val="22"/>
                <w:color w:val="auto"/>
              </w:rPr>
            </w:pPr>
          </w:p>
        </w:tc>
        <w:tc>
          <w:tcPr>
            <w:tcW w:w="4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247,464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Borders>
              <w:top w:val="single" w:sz="8" w:color="EAF9E8"/>
            </w:tcBorders>
            <w:gridSpan w:val="2"/>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980" w:type="dxa"/>
            <w:vAlign w:val="bottom"/>
            <w:tcBorders>
              <w:top w:val="single" w:sz="8" w:color="EAF9E8"/>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Subordinates and residuals:</w:t>
            </w: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20" w:type="dxa"/>
            <w:vAlign w:val="bottom"/>
            <w:tcBorders>
              <w:right w:val="single" w:sz="8" w:color="EAF9E8"/>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Loans and Residuals (1)</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Corporate Items and Other</w:t>
            </w: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20" w:type="dxa"/>
            <w:vAlign w:val="bottom"/>
            <w:tcBorders>
              <w:right w:val="single" w:sz="8" w:color="EAF9E8"/>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shd w:val="clear" w:color="auto" w:fill="EAF9E8"/>
          </w:tcPr>
          <w:p>
            <w:pPr>
              <w:spacing w:after="0"/>
              <w:rPr>
                <w:sz w:val="2"/>
                <w:szCs w:val="2"/>
                <w:color w:val="auto"/>
              </w:rPr>
            </w:pPr>
          </w:p>
        </w:tc>
        <w:tc>
          <w:tcPr>
            <w:tcW w:w="5980" w:type="dxa"/>
            <w:vAlign w:val="bottom"/>
            <w:shd w:val="clear" w:color="auto" w:fill="EAF9E8"/>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980" w:type="dxa"/>
            <w:vAlign w:val="bottom"/>
            <w:shd w:val="clear" w:color="auto" w:fill="EAF9E8"/>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220" w:type="dxa"/>
            <w:vAlign w:val="bottom"/>
            <w:tcBorders>
              <w:right w:val="single" w:sz="8" w:color="auto"/>
            </w:tcBorders>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500" w:type="dxa"/>
            <w:vAlign w:val="bottom"/>
            <w:gridSpan w:val="4"/>
            <w:vMerge w:val="restart"/>
          </w:tcPr>
          <w:p>
            <w:pPr>
              <w:ind w:left="20"/>
              <w:spacing w:after="0"/>
              <w:rPr>
                <w:sz w:val="20"/>
                <w:szCs w:val="20"/>
                <w:color w:val="auto"/>
              </w:rPr>
            </w:pPr>
            <w:r>
              <w:rPr>
                <w:rFonts w:ascii="Arial" w:cs="Arial" w:eastAsia="Arial" w:hAnsi="Arial"/>
                <w:sz w:val="18"/>
                <w:szCs w:val="18"/>
                <w:color w:val="auto"/>
                <w:w w:val="94"/>
              </w:rPr>
              <w:t>Gain (loss) on trading securities for the years ended December 31, was comprised of the following:</w:t>
            </w: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50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Unrealized gains (losses), net (1) (2)</w:t>
            </w:r>
          </w:p>
        </w:tc>
        <w:tc>
          <w:tcPr>
            <w:tcW w:w="280" w:type="dxa"/>
            <w:vAlign w:val="bottom"/>
            <w:shd w:val="clear" w:color="auto" w:fill="EAF9E8"/>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(2,065)</w:t>
            </w:r>
          </w:p>
        </w:tc>
        <w:tc>
          <w:tcPr>
            <w:tcW w:w="4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11,096</w:t>
            </w:r>
          </w:p>
        </w:tc>
        <w:tc>
          <w:tcPr>
            <w:tcW w:w="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(33,784)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Realized gains (losses), net (3)</w:t>
            </w:r>
          </w:p>
        </w:tc>
        <w:tc>
          <w:tcPr>
            <w:tcW w:w="2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(5,903)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shd w:val="clear" w:color="auto" w:fill="EAF9E8"/>
          </w:tcPr>
          <w:p>
            <w:pPr>
              <w:spacing w:after="0"/>
              <w:rPr>
                <w:sz w:val="20"/>
                <w:szCs w:val="20"/>
                <w:color w:val="auto"/>
              </w:rPr>
            </w:pPr>
          </w:p>
        </w:tc>
        <w:tc>
          <w:tcPr>
            <w:tcW w:w="5980" w:type="dxa"/>
            <w:vAlign w:val="bottom"/>
            <w:shd w:val="clear" w:color="auto" w:fill="EAF9E8"/>
          </w:tcPr>
          <w:p>
            <w:pPr>
              <w:spacing w:after="0"/>
              <w:rPr>
                <w:sz w:val="20"/>
                <w:szCs w:val="20"/>
                <w:color w:val="auto"/>
              </w:rPr>
            </w:pPr>
          </w:p>
        </w:tc>
        <w:tc>
          <w:tcPr>
            <w:tcW w:w="280" w:type="dxa"/>
            <w:vAlign w:val="bottom"/>
            <w:shd w:val="clear" w:color="auto" w:fill="EAF9E8"/>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(7,968)</w:t>
            </w:r>
          </w:p>
        </w:tc>
        <w:tc>
          <w:tcPr>
            <w:tcW w:w="4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11,187</w:t>
            </w:r>
          </w:p>
        </w:tc>
        <w:tc>
          <w:tcPr>
            <w:tcW w:w="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(35,480)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EAF9E8"/>
            </w:tcBorders>
            <w:shd w:val="clear" w:color="auto" w:fill="EAF9E8"/>
          </w:tcPr>
          <w:p>
            <w:pPr>
              <w:spacing w:after="0" w:line="20" w:lineRule="exact"/>
              <w:rPr>
                <w:sz w:val="1"/>
                <w:szCs w:val="1"/>
                <w:color w:val="auto"/>
              </w:rPr>
            </w:pPr>
          </w:p>
        </w:tc>
        <w:tc>
          <w:tcPr>
            <w:tcW w:w="598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right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right="360" w:hanging="572"/>
        <w:spacing w:after="0" w:line="308" w:lineRule="auto"/>
        <w:tabs>
          <w:tab w:leader="none" w:pos="5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Effective January 1, 2010, we eliminated our investment in trading securities that were issued by newly consolidated securitization trusts as more fully described in Note 1—Securitizations of Residential Mortgage Loans, as well as the related unrealized gains and losses.</w:t>
      </w:r>
    </w:p>
    <w:p>
      <w:pPr>
        <w:spacing w:after="0" w:line="146" w:lineRule="exact"/>
        <w:rPr>
          <w:rFonts w:ascii="Arial" w:cs="Arial" w:eastAsia="Arial" w:hAnsi="Arial"/>
          <w:sz w:val="17"/>
          <w:szCs w:val="17"/>
          <w:color w:val="auto"/>
        </w:rPr>
      </w:pPr>
    </w:p>
    <w:p>
      <w:pPr>
        <w:ind w:left="580" w:hanging="572"/>
        <w:spacing w:after="0"/>
        <w:tabs>
          <w:tab w:leader="none" w:pos="5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Unrealized gains (losses) for 2010, 2009 and 2008 include $(2,006), $11,772 and $(28,950), respectively, attributed to auction rate securities.</w:t>
      </w:r>
    </w:p>
    <w:p>
      <w:pPr>
        <w:spacing w:after="0" w:line="236" w:lineRule="exact"/>
        <w:rPr>
          <w:rFonts w:ascii="Arial" w:cs="Arial" w:eastAsia="Arial" w:hAnsi="Arial"/>
          <w:sz w:val="17"/>
          <w:szCs w:val="17"/>
          <w:color w:val="auto"/>
        </w:rPr>
      </w:pPr>
    </w:p>
    <w:p>
      <w:pPr>
        <w:ind w:left="580" w:hanging="572"/>
        <w:spacing w:after="0"/>
        <w:tabs>
          <w:tab w:leader="none" w:pos="5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Realized gains (losses) for 2010, 2009 and 2008 include $(5,903), $91 and $(662), respectively, attributed to auction rate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Auction Rate Securities</w:t>
      </w:r>
    </w:p>
    <w:p>
      <w:pPr>
        <w:spacing w:after="0" w:line="229"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During the first quarter of 2008, we invested proceeds from borrowings under an investment line (see Note 17) in auction rate securities backed by student loans originated under the U. S. Department of Education’s Federal Family Education Loan Program. Auction rate securities are long-term variable rate bonds tied to short-term interest rates that reset through an auction process that historically occurred every 7 to 35 days.</w:t>
      </w:r>
    </w:p>
    <w:p>
      <w:pPr>
        <w:spacing w:after="0" w:line="16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During 2010, we sold auction rate securities with an aggregate par value of $158,100 for cash proceeds of $144,610. We also negotiated settlements of two of our litigation actions whereby the broker/dealers repurchased $103,625 par value of auction rate securities for cash proceeds of $92,745. In addition, issuers redeemed, at par, auction rate securities we held that had a face value of $2,200. As a result of these transactions, we realized losses of $5,903 in 2010 on the liquidation of our remaining auction rate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Subordinates and Residuals</w:t>
      </w:r>
    </w:p>
    <w:p>
      <w:pPr>
        <w:spacing w:after="0" w:line="229" w:lineRule="exact"/>
        <w:rPr>
          <w:sz w:val="20"/>
          <w:szCs w:val="20"/>
          <w:color w:val="auto"/>
        </w:rPr>
      </w:pPr>
    </w:p>
    <w:p>
      <w:pPr>
        <w:jc w:val="both"/>
        <w:ind w:right="200" w:firstLine="324"/>
        <w:spacing w:after="0" w:line="273" w:lineRule="auto"/>
        <w:rPr>
          <w:sz w:val="20"/>
          <w:szCs w:val="20"/>
          <w:color w:val="auto"/>
        </w:rPr>
      </w:pPr>
      <w:r>
        <w:rPr>
          <w:rFonts w:ascii="Arial" w:cs="Arial" w:eastAsia="Arial" w:hAnsi="Arial"/>
          <w:sz w:val="17"/>
          <w:szCs w:val="17"/>
          <w:color w:val="auto"/>
        </w:rPr>
        <w:t>Through our investments in subordinate and residual securities, we support senior classes of securities. Principal from the underlying mortgage loans generally is allocated first to the senior classes with the most senior class having a priority right to the cash flow from the mortgage loans until its payment requirements are satisfied. To the extent that there are defaults and unrecoverable losses on the underlying mortgage loans, resulting in reduced cash flows, the most subordinate security will be the first to bear this loss. Effective January 1, 2010, we eliminated our investment in subordinate and residual trading securities that were issued by newly consolidated securitization trusts as more fully described in Note 1—Securitizations of Residential Mortgage Loans, as well as the related interest income and unrealized gains an d losses.</w:t>
      </w:r>
    </w:p>
    <w:p>
      <w:pPr>
        <w:spacing w:after="0" w:line="17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LOANS HELD FOR RESALE</w:t>
      </w:r>
    </w:p>
    <w:p>
      <w:pPr>
        <w:spacing w:after="0" w:line="22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Loans held for resale primarily represent subprime single family residential loans that we do not intend to hold to maturity. The carrying value of these loans amounted to $25,803 and $33,197 at December 31, 2010 and 2009, respectively. The balances at December 31, 2010 and 2009 are net of market valuation allowances of $14,611 and $15,963, respectively. Loans held for resale at December 31, 2010 and 2009 include non-performing loans with a carrying value of $11,247and $14,382, respectively.</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88" w:name="page89"/>
    <w:bookmarkEnd w:id="88"/>
    <w:p>
      <w:pPr>
        <w:spacing w:after="0"/>
        <w:tabs>
          <w:tab w:leader="none" w:pos="13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ADVANCES</w:t>
      </w:r>
    </w:p>
    <w:p>
      <w:pPr>
        <w:spacing w:after="0" w:line="229" w:lineRule="exact"/>
        <w:rPr>
          <w:sz w:val="20"/>
          <w:szCs w:val="20"/>
          <w:color w:val="auto"/>
        </w:rPr>
      </w:pPr>
    </w:p>
    <w:p>
      <w:pPr>
        <w:ind w:right="120" w:firstLine="656"/>
        <w:spacing w:after="0" w:line="277" w:lineRule="auto"/>
        <w:rPr>
          <w:sz w:val="20"/>
          <w:szCs w:val="20"/>
          <w:color w:val="auto"/>
        </w:rPr>
      </w:pPr>
      <w:r>
        <w:rPr>
          <w:rFonts w:ascii="Arial" w:cs="Arial" w:eastAsia="Arial" w:hAnsi="Arial"/>
          <w:sz w:val="18"/>
          <w:szCs w:val="18"/>
          <w:color w:val="auto"/>
        </w:rPr>
        <w:t>Advances, representing payments made on behalf of borrowers or on foreclosed properties, as more fully described in Note 1—Mortgage Servicing Fees and Advances, consisted of the following at December 31: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AF9E8"/>
          </w:tcPr>
          <w:p>
            <w:pPr>
              <w:spacing w:after="0"/>
              <w:rPr>
                <w:sz w:val="20"/>
                <w:szCs w:val="20"/>
                <w:color w:val="auto"/>
              </w:rPr>
            </w:pPr>
            <w:r>
              <w:rPr>
                <w:rFonts w:ascii="Arial" w:cs="Arial" w:eastAsia="Arial" w:hAnsi="Arial"/>
                <w:sz w:val="18"/>
                <w:szCs w:val="18"/>
                <w:color w:val="auto"/>
              </w:rPr>
              <w:t>Servicing:</w:t>
            </w:r>
          </w:p>
        </w:tc>
        <w:tc>
          <w:tcPr>
            <w:tcW w:w="28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Principal and interest</w:t>
            </w:r>
          </w:p>
        </w:tc>
        <w:tc>
          <w:tcPr>
            <w:tcW w:w="3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82,060</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51,598</w:t>
            </w:r>
          </w:p>
        </w:tc>
      </w:tr>
      <w:tr>
        <w:trPr>
          <w:trHeight w:val="216"/>
        </w:trPr>
        <w:tc>
          <w:tcPr>
            <w:tcW w:w="20" w:type="dxa"/>
            <w:vAlign w:val="bottom"/>
          </w:tcPr>
          <w:p>
            <w:pPr>
              <w:spacing w:after="0"/>
              <w:rPr>
                <w:sz w:val="18"/>
                <w:szCs w:val="18"/>
                <w:color w:val="auto"/>
              </w:rPr>
            </w:pPr>
          </w:p>
        </w:tc>
        <w:tc>
          <w:tcPr>
            <w:tcW w:w="54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Taxes and insurance</w:t>
            </w:r>
          </w:p>
        </w:tc>
        <w:tc>
          <w:tcPr>
            <w:tcW w:w="28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49,785</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52,813</w:t>
            </w: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Foreclosures and bankruptcy costs</w:t>
            </w: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27,163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28,021</w:t>
            </w:r>
          </w:p>
        </w:tc>
      </w:tr>
      <w:tr>
        <w:trPr>
          <w:trHeight w:val="216"/>
        </w:trPr>
        <w:tc>
          <w:tcPr>
            <w:tcW w:w="20" w:type="dxa"/>
            <w:vAlign w:val="bottom"/>
          </w:tcPr>
          <w:p>
            <w:pPr>
              <w:spacing w:after="0"/>
              <w:rPr>
                <w:sz w:val="18"/>
                <w:szCs w:val="18"/>
                <w:color w:val="auto"/>
              </w:rPr>
            </w:pPr>
          </w:p>
        </w:tc>
        <w:tc>
          <w:tcPr>
            <w:tcW w:w="54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w:t>
            </w:r>
          </w:p>
        </w:tc>
        <w:tc>
          <w:tcPr>
            <w:tcW w:w="28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21,701</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8,998</w:t>
            </w:r>
          </w:p>
        </w:tc>
      </w:tr>
      <w:tr>
        <w:trPr>
          <w:trHeight w:val="27"/>
        </w:trPr>
        <w:tc>
          <w:tcPr>
            <w:tcW w:w="20" w:type="dxa"/>
            <w:vAlign w:val="bottom"/>
          </w:tcPr>
          <w:p>
            <w:pPr>
              <w:spacing w:after="0"/>
              <w:rPr>
                <w:sz w:val="2"/>
                <w:szCs w:val="2"/>
                <w:color w:val="auto"/>
              </w:rPr>
            </w:pPr>
          </w:p>
        </w:tc>
        <w:tc>
          <w:tcPr>
            <w:tcW w:w="5480" w:type="dxa"/>
            <w:vAlign w:val="bottom"/>
            <w:shd w:val="clear" w:color="auto" w:fill="EAF9E8"/>
          </w:tcPr>
          <w:p>
            <w:pPr>
              <w:spacing w:after="0"/>
              <w:rPr>
                <w:sz w:val="2"/>
                <w:szCs w:val="2"/>
                <w:color w:val="auto"/>
              </w:rPr>
            </w:pPr>
          </w:p>
        </w:tc>
        <w:tc>
          <w:tcPr>
            <w:tcW w:w="286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180,709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141,430</w:t>
            </w:r>
          </w:p>
        </w:tc>
      </w:tr>
      <w:tr>
        <w:trPr>
          <w:trHeight w:val="216"/>
        </w:trPr>
        <w:tc>
          <w:tcPr>
            <w:tcW w:w="20" w:type="dxa"/>
            <w:vAlign w:val="bottom"/>
          </w:tcPr>
          <w:p>
            <w:pPr>
              <w:spacing w:after="0"/>
              <w:rPr>
                <w:sz w:val="18"/>
                <w:szCs w:val="18"/>
                <w:color w:val="auto"/>
              </w:rPr>
            </w:pPr>
          </w:p>
        </w:tc>
        <w:tc>
          <w:tcPr>
            <w:tcW w:w="5480" w:type="dxa"/>
            <w:vAlign w:val="bottom"/>
            <w:shd w:val="clear" w:color="auto" w:fill="EAF9E8"/>
          </w:tcPr>
          <w:p>
            <w:pPr>
              <w:spacing w:after="0"/>
              <w:rPr>
                <w:sz w:val="20"/>
                <w:szCs w:val="20"/>
                <w:color w:val="auto"/>
              </w:rPr>
            </w:pPr>
            <w:r>
              <w:rPr>
                <w:rFonts w:ascii="Arial" w:cs="Arial" w:eastAsia="Arial" w:hAnsi="Arial"/>
                <w:sz w:val="18"/>
                <w:szCs w:val="18"/>
                <w:color w:val="auto"/>
              </w:rPr>
              <w:t>Loans and Residuals</w:t>
            </w:r>
          </w:p>
        </w:tc>
        <w:tc>
          <w:tcPr>
            <w:tcW w:w="28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3,957</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4,321</w:t>
            </w: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Corporate Items and Other</w:t>
            </w: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480" w:type="dxa"/>
            <w:vAlign w:val="bottom"/>
            <w:shd w:val="clear" w:color="auto" w:fill="EAF9E8"/>
          </w:tcPr>
          <w:p>
            <w:pPr>
              <w:spacing w:after="0"/>
              <w:rPr>
                <w:sz w:val="20"/>
                <w:szCs w:val="20"/>
                <w:color w:val="auto"/>
              </w:rPr>
            </w:pPr>
          </w:p>
        </w:tc>
        <w:tc>
          <w:tcPr>
            <w:tcW w:w="31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184,833</w:t>
            </w:r>
          </w:p>
        </w:tc>
        <w:tc>
          <w:tcPr>
            <w:tcW w:w="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145,914</w:t>
            </w:r>
          </w:p>
        </w:tc>
      </w:tr>
      <w:tr>
        <w:trPr>
          <w:trHeight w:val="20"/>
        </w:trPr>
        <w:tc>
          <w:tcPr>
            <w:tcW w:w="20" w:type="dxa"/>
            <w:vAlign w:val="bottom"/>
          </w:tcPr>
          <w:p>
            <w:pPr>
              <w:spacing w:after="0" w:line="20" w:lineRule="exact"/>
              <w:rPr>
                <w:sz w:val="1"/>
                <w:szCs w:val="1"/>
                <w:color w:val="auto"/>
              </w:rPr>
            </w:pPr>
          </w:p>
        </w:tc>
        <w:tc>
          <w:tcPr>
            <w:tcW w:w="5480" w:type="dxa"/>
            <w:vAlign w:val="bottom"/>
            <w:tcBorders>
              <w:top w:val="single" w:sz="8" w:color="EAF9E8"/>
            </w:tcBorders>
            <w:shd w:val="clear" w:color="auto" w:fill="EAF9E8"/>
          </w:tcPr>
          <w:p>
            <w:pPr>
              <w:spacing w:after="0" w:line="20" w:lineRule="exact"/>
              <w:rPr>
                <w:sz w:val="1"/>
                <w:szCs w:val="1"/>
                <w:color w:val="auto"/>
              </w:rPr>
            </w:pPr>
          </w:p>
        </w:tc>
        <w:tc>
          <w:tcPr>
            <w:tcW w:w="286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02" w:lineRule="exact"/>
        <w:rPr>
          <w:sz w:val="20"/>
          <w:szCs w:val="20"/>
          <w:color w:val="auto"/>
        </w:rPr>
      </w:pPr>
    </w:p>
    <w:p>
      <w:pPr>
        <w:ind w:right="720" w:firstLine="666"/>
        <w:spacing w:after="0" w:line="277" w:lineRule="auto"/>
        <w:rPr>
          <w:sz w:val="20"/>
          <w:szCs w:val="20"/>
          <w:color w:val="auto"/>
        </w:rPr>
      </w:pPr>
      <w:r>
        <w:rPr>
          <w:rFonts w:ascii="Arial" w:cs="Arial" w:eastAsia="Arial" w:hAnsi="Arial"/>
          <w:sz w:val="18"/>
          <w:szCs w:val="18"/>
          <w:color w:val="auto"/>
        </w:rPr>
        <w:t>Servicing advances of $75,489 and $72,670 were pledged as collateral under the terms of the term reimbursement advance borrowing as of December 31, 2010 and 2009, respectively.</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MATCH FUNDED ADVANCES</w:t>
      </w:r>
    </w:p>
    <w:p>
      <w:pPr>
        <w:spacing w:after="0" w:line="229" w:lineRule="exact"/>
        <w:rPr>
          <w:sz w:val="20"/>
          <w:szCs w:val="20"/>
          <w:color w:val="auto"/>
        </w:rPr>
      </w:pPr>
    </w:p>
    <w:p>
      <w:pPr>
        <w:ind w:right="140" w:firstLine="666"/>
        <w:spacing w:after="0" w:line="277" w:lineRule="auto"/>
        <w:rPr>
          <w:sz w:val="20"/>
          <w:szCs w:val="20"/>
          <w:color w:val="auto"/>
        </w:rPr>
      </w:pPr>
      <w:r>
        <w:rPr>
          <w:rFonts w:ascii="Arial" w:cs="Arial" w:eastAsia="Arial" w:hAnsi="Arial"/>
          <w:sz w:val="18"/>
          <w:szCs w:val="18"/>
          <w:color w:val="auto"/>
        </w:rPr>
        <w:t>Match funded advances on residential loans we service for others, as more fully described in Note 1— Principles of Consolidation—Match Funded Advances on Loans Serviced for Others, are comprised of the following at December 31: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Principal and interest</w:t>
            </w:r>
          </w:p>
        </w:tc>
        <w:tc>
          <w:tcPr>
            <w:tcW w:w="12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947,990</w:t>
            </w:r>
          </w:p>
        </w:tc>
        <w:tc>
          <w:tcPr>
            <w:tcW w:w="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345,924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Taxes and insurance</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684,928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332,326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Foreclosures and bankruptcy costs</w:t>
            </w:r>
          </w:p>
        </w:tc>
        <w:tc>
          <w:tcPr>
            <w:tcW w:w="9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140,181</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72,385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Real estate servicing costs</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116,064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64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34,889</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22,534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EAF9E8"/>
          </w:tcPr>
          <w:p>
            <w:pPr>
              <w:spacing w:after="0"/>
              <w:rPr>
                <w:sz w:val="2"/>
                <w:szCs w:val="2"/>
                <w:color w:val="auto"/>
              </w:rPr>
            </w:pPr>
          </w:p>
        </w:tc>
        <w:tc>
          <w:tcPr>
            <w:tcW w:w="6400" w:type="dxa"/>
            <w:vAlign w:val="bottom"/>
            <w:shd w:val="clear" w:color="auto" w:fill="EAF9E8"/>
          </w:tcPr>
          <w:p>
            <w:pPr>
              <w:spacing w:after="0"/>
              <w:rPr>
                <w:sz w:val="2"/>
                <w:szCs w:val="2"/>
                <w:color w:val="auto"/>
              </w:rPr>
            </w:pPr>
          </w:p>
        </w:tc>
        <w:tc>
          <w:tcPr>
            <w:tcW w:w="94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1,924,052</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822,615</w:t>
            </w:r>
          </w:p>
        </w:tc>
        <w:tc>
          <w:tcPr>
            <w:tcW w:w="0" w:type="dxa"/>
            <w:vAlign w:val="bottom"/>
          </w:tcPr>
          <w:p>
            <w:pPr>
              <w:spacing w:after="0"/>
              <w:rPr>
                <w:sz w:val="1"/>
                <w:szCs w:val="1"/>
                <w:color w:val="auto"/>
              </w:rPr>
            </w:pPr>
          </w:p>
        </w:tc>
      </w:tr>
      <w:tr>
        <w:trPr>
          <w:trHeight w:val="21"/>
        </w:trPr>
        <w:tc>
          <w:tcPr>
            <w:tcW w:w="1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8</w:t>
            </w:r>
          </w:p>
        </w:tc>
        <w:tc>
          <w:tcPr>
            <w:tcW w:w="640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LOANS – RESTRICTED FOR SECURITIZATION INVESTORS</w:t>
            </w:r>
          </w:p>
        </w:tc>
        <w:tc>
          <w:tcPr>
            <w:tcW w:w="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1020" w:type="dxa"/>
            <w:vAlign w:val="bottom"/>
            <w:gridSpan w:val="2"/>
            <w:vMerge w:val="continue"/>
          </w:tcPr>
          <w:p>
            <w:pPr>
              <w:spacing w:after="0"/>
              <w:rPr>
                <w:sz w:val="24"/>
                <w:szCs w:val="24"/>
                <w:color w:val="auto"/>
              </w:rPr>
            </w:pPr>
          </w:p>
        </w:tc>
        <w:tc>
          <w:tcPr>
            <w:tcW w:w="64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666"/>
        <w:spacing w:after="0" w:line="264" w:lineRule="auto"/>
        <w:rPr>
          <w:sz w:val="20"/>
          <w:szCs w:val="20"/>
          <w:color w:val="auto"/>
        </w:rPr>
      </w:pPr>
      <w:r>
        <w:rPr>
          <w:rFonts w:ascii="Arial" w:cs="Arial" w:eastAsia="Arial" w:hAnsi="Arial"/>
          <w:sz w:val="18"/>
          <w:szCs w:val="18"/>
          <w:color w:val="auto"/>
        </w:rPr>
        <w:t>Loans – restricted for securitization investors are held by four securitization trusts that we include in our consolidated financial statements under the provisions of ASC 810, Consolidation, as more fully described in Note 1—Securitizations of Residential Mortgage Loans. Loans – restricted for securitization investors consisted of the following at December 31, 2010:</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shd w:val="clear" w:color="auto" w:fill="EAF9E8"/>
          </w:tcPr>
          <w:p>
            <w:pPr>
              <w:spacing w:after="0"/>
              <w:rPr>
                <w:sz w:val="20"/>
                <w:szCs w:val="20"/>
                <w:color w:val="auto"/>
              </w:rPr>
            </w:pPr>
            <w:r>
              <w:rPr>
                <w:rFonts w:ascii="Arial" w:cs="Arial" w:eastAsia="Arial" w:hAnsi="Arial"/>
                <w:sz w:val="18"/>
                <w:szCs w:val="18"/>
                <w:color w:val="auto"/>
              </w:rPr>
              <w:t>Single family residential loans (1)</w:t>
            </w:r>
          </w:p>
        </w:tc>
        <w:tc>
          <w:tcPr>
            <w:tcW w:w="4220" w:type="dxa"/>
            <w:vAlign w:val="bottom"/>
            <w:gridSpan w:val="2"/>
            <w:shd w:val="clear" w:color="auto" w:fill="EAF9E8"/>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69,718</w:t>
            </w: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Allowance for loans losses</w:t>
            </w:r>
          </w:p>
        </w:tc>
        <w:tc>
          <w:tcPr>
            <w:tcW w:w="3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(2,378)</w:t>
            </w:r>
          </w:p>
        </w:tc>
      </w:tr>
      <w:tr>
        <w:trPr>
          <w:trHeight w:val="257"/>
        </w:trPr>
        <w:tc>
          <w:tcPr>
            <w:tcW w:w="6260" w:type="dxa"/>
            <w:vAlign w:val="bottom"/>
            <w:tcBorders>
              <w:bottom w:val="single" w:sz="8" w:color="EAF9E8"/>
            </w:tcBorders>
            <w:shd w:val="clear" w:color="auto" w:fill="EAF9E8"/>
          </w:tcPr>
          <w:p>
            <w:pPr>
              <w:spacing w:after="0"/>
              <w:rPr>
                <w:sz w:val="22"/>
                <w:szCs w:val="22"/>
                <w:color w:val="auto"/>
              </w:rPr>
            </w:pPr>
          </w:p>
        </w:tc>
        <w:tc>
          <w:tcPr>
            <w:tcW w:w="3800" w:type="dxa"/>
            <w:vAlign w:val="bottom"/>
            <w:tcBorders>
              <w:bottom w:val="single" w:sz="8" w:color="EAF9E8"/>
            </w:tcBorders>
            <w:shd w:val="clear" w:color="auto" w:fill="EAF9E8"/>
          </w:tcPr>
          <w:p>
            <w:pPr>
              <w:spacing w:after="0"/>
              <w:rPr>
                <w:sz w:val="22"/>
                <w:szCs w:val="22"/>
                <w:color w:val="auto"/>
              </w:rPr>
            </w:pPr>
          </w:p>
        </w:tc>
        <w:tc>
          <w:tcPr>
            <w:tcW w:w="420" w:type="dxa"/>
            <w:vAlign w:val="bottom"/>
            <w:tcBorders>
              <w:top w:val="single" w:sz="8" w:color="auto"/>
              <w:bottom w:val="single" w:sz="8" w:color="auto"/>
            </w:tcBorders>
            <w:shd w:val="clear" w:color="auto" w:fill="EAF9E8"/>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67,340</w:t>
            </w:r>
          </w:p>
        </w:tc>
        <w:tc>
          <w:tcPr>
            <w:tcW w:w="100" w:type="dxa"/>
            <w:vAlign w:val="bottom"/>
            <w:tcBorders>
              <w:bottom w:val="single" w:sz="8" w:color="EAF9E8"/>
            </w:tcBorders>
            <w:shd w:val="clear" w:color="auto" w:fill="EAF9E8"/>
          </w:tcPr>
          <w:p>
            <w:pPr>
              <w:spacing w:after="0"/>
              <w:rPr>
                <w:sz w:val="22"/>
                <w:szCs w:val="22"/>
                <w:color w:val="auto"/>
              </w:rPr>
            </w:pPr>
          </w:p>
        </w:tc>
      </w:tr>
    </w:tbl>
    <w:p>
      <w:pPr>
        <w:spacing w:after="0" w:line="202" w:lineRule="exact"/>
        <w:rPr>
          <w:sz w:val="20"/>
          <w:szCs w:val="20"/>
          <w:color w:val="auto"/>
        </w:rPr>
      </w:pPr>
    </w:p>
    <w:p>
      <w:pPr>
        <w:ind w:left="600" w:hanging="592"/>
        <w:spacing w:after="0"/>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Includes nonperforming loans of $12,933.</w:t>
      </w:r>
    </w:p>
    <w:p>
      <w:pPr>
        <w:spacing w:after="0" w:line="225" w:lineRule="exact"/>
        <w:rPr>
          <w:sz w:val="20"/>
          <w:szCs w:val="20"/>
          <w:color w:val="auto"/>
        </w:rPr>
      </w:pPr>
    </w:p>
    <w:p>
      <w:pPr>
        <w:ind w:right="80" w:firstLine="663"/>
        <w:spacing w:after="0" w:line="257" w:lineRule="auto"/>
        <w:rPr>
          <w:sz w:val="20"/>
          <w:szCs w:val="20"/>
          <w:color w:val="auto"/>
        </w:rPr>
      </w:pPr>
      <w:r>
        <w:rPr>
          <w:rFonts w:ascii="Arial" w:cs="Arial" w:eastAsia="Arial" w:hAnsi="Arial"/>
          <w:sz w:val="18"/>
          <w:szCs w:val="18"/>
          <w:color w:val="auto"/>
        </w:rPr>
        <w:t>We report loans held by the consolidated securitization trusts at cost, less an allowance for loan losses. We consider loans held by the trusts to be nonperforming if they are delinquent greater than 89 days or if the loan is in foreclosure or in bankruptcy. We do not accrue for interest on nonperforming loans. In situations where the trusts foreclose upon the collateral, we classify the loans as real estate, a component of Other assets. We report as Other, net the losses that are realized by the trusts on loans or real estate resolved through repayment of less than the unpaid principal balance of the loan in full plus any costs incurred by the servicer to resolve the loan or real estate.</w:t>
      </w:r>
    </w:p>
    <w:p>
      <w:pPr>
        <w:spacing w:after="0" w:line="188" w:lineRule="exact"/>
        <w:rPr>
          <w:sz w:val="20"/>
          <w:szCs w:val="20"/>
          <w:color w:val="auto"/>
        </w:rPr>
      </w:pPr>
    </w:p>
    <w:p>
      <w:pPr>
        <w:jc w:val="both"/>
        <w:ind w:right="60" w:firstLine="663"/>
        <w:spacing w:after="0" w:line="312" w:lineRule="auto"/>
        <w:rPr>
          <w:sz w:val="20"/>
          <w:szCs w:val="20"/>
          <w:color w:val="auto"/>
        </w:rPr>
      </w:pPr>
      <w:r>
        <w:rPr>
          <w:rFonts w:ascii="Arial" w:cs="Arial" w:eastAsia="Arial" w:hAnsi="Arial"/>
          <w:sz w:val="16"/>
          <w:szCs w:val="16"/>
          <w:color w:val="auto"/>
        </w:rPr>
        <w:t>We maintain an allowance for loan losses for loans and real estate held by the trusts at a level that, based upon our evaluation of known and inherent risks in the collateral of the trusts, we consider to be adequate to provide for probable losses. We base our ongoing evaluation of the allowance for loan losses upon an analysis of the collateral of the trusts, historical loss experience, economic conditions and trends, collateral values and other relevant factors.</w:t>
      </w:r>
    </w:p>
    <w:p>
      <w:pPr>
        <w:spacing w:after="0" w:line="147" w:lineRule="exact"/>
        <w:rPr>
          <w:sz w:val="20"/>
          <w:szCs w:val="20"/>
          <w:color w:val="auto"/>
        </w:rPr>
      </w:pPr>
    </w:p>
    <w:p>
      <w:pPr>
        <w:ind w:right="140" w:firstLine="656"/>
        <w:spacing w:after="0" w:line="277" w:lineRule="auto"/>
        <w:rPr>
          <w:sz w:val="20"/>
          <w:szCs w:val="20"/>
          <w:color w:val="auto"/>
        </w:rPr>
      </w:pPr>
      <w:r>
        <w:rPr>
          <w:rFonts w:ascii="Arial" w:cs="Arial" w:eastAsia="Arial" w:hAnsi="Arial"/>
          <w:sz w:val="18"/>
          <w:szCs w:val="18"/>
          <w:color w:val="auto"/>
        </w:rPr>
        <w:t>At December 31, 2010, the trusts held 1,222 loans that are secured by first or second liens on one- to four-family residential properties. These loans have a weighted average coupon rate of 9.07% and a weighted average remaining life of 136 months.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89" w:name="page90"/>
    <w:bookmarkEnd w:id="89"/>
    <w:p>
      <w:pPr>
        <w:spacing w:after="0"/>
        <w:tabs>
          <w:tab w:leader="none" w:pos="13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8"/>
          <w:szCs w:val="18"/>
          <w:b w:val="1"/>
          <w:bCs w:val="1"/>
          <w:color w:val="auto"/>
        </w:rPr>
        <w:t>MORTGAGE SERVICING RIGHTS</w:t>
      </w:r>
    </w:p>
    <w:p>
      <w:pPr>
        <w:spacing w:after="0" w:line="229" w:lineRule="exact"/>
        <w:rPr>
          <w:sz w:val="20"/>
          <w:szCs w:val="20"/>
          <w:color w:val="auto"/>
        </w:rPr>
      </w:pPr>
    </w:p>
    <w:p>
      <w:pPr>
        <w:ind w:right="140" w:firstLine="666"/>
        <w:spacing w:after="0" w:line="277" w:lineRule="auto"/>
        <w:rPr>
          <w:sz w:val="20"/>
          <w:szCs w:val="20"/>
          <w:color w:val="auto"/>
        </w:rPr>
      </w:pPr>
      <w:r>
        <w:rPr>
          <w:rFonts w:ascii="Arial" w:cs="Arial" w:eastAsia="Arial" w:hAnsi="Arial"/>
          <w:sz w:val="18"/>
          <w:szCs w:val="18"/>
          <w:i w:val="1"/>
          <w:iCs w:val="1"/>
          <w:color w:val="auto"/>
        </w:rPr>
        <w:t xml:space="preserve">Servicing Assets. </w:t>
      </w:r>
      <w:r>
        <w:rPr>
          <w:rFonts w:ascii="Arial" w:cs="Arial" w:eastAsia="Arial" w:hAnsi="Arial"/>
          <w:sz w:val="18"/>
          <w:szCs w:val="18"/>
          <w:color w:val="auto"/>
        </w:rPr>
        <w:t>The following table summarizes the activity in the carrying value of residential servicing assets for the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2010, 2009 and 2008: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Residential</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Commercial</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Balance at December 31, 2007</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191,935</w:t>
            </w:r>
          </w:p>
        </w:tc>
        <w:tc>
          <w:tcPr>
            <w:tcW w:w="280" w:type="dxa"/>
            <w:vAlign w:val="bottom"/>
            <w:shd w:val="clear" w:color="auto" w:fill="EAF9E8"/>
          </w:tcPr>
          <w:p>
            <w:pPr>
              <w:spacing w:after="0"/>
              <w:rPr>
                <w:sz w:val="18"/>
                <w:szCs w:val="18"/>
                <w:color w:val="auto"/>
              </w:rPr>
            </w:pP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5,360</w:t>
            </w:r>
          </w:p>
        </w:tc>
        <w:tc>
          <w:tcPr>
            <w:tcW w:w="4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197,295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Purchases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3,757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(5,036)</w:t>
            </w: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Servicing transfers and adjustments</w:t>
            </w:r>
          </w:p>
        </w:tc>
        <w:tc>
          <w:tcPr>
            <w:tcW w:w="1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(3,620)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Reclassification of servicing liability (1)</w:t>
            </w: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3,239</w:t>
            </w: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Increase in impairment valuation allowance</w:t>
            </w:r>
          </w:p>
        </w:tc>
        <w:tc>
          <w:tcPr>
            <w:tcW w:w="1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(3,624)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(52,187)</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(274)</w:t>
            </w: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(52,461)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shd w:val="clear" w:color="auto" w:fill="EAF9E8"/>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Balance at December 31, 2008</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139,500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Purchases</w:t>
            </w:r>
          </w:p>
        </w:tc>
        <w:tc>
          <w:tcPr>
            <w:tcW w:w="14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10,241</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Servicing transfers and adjustments</w:t>
            </w:r>
          </w:p>
        </w:tc>
        <w:tc>
          <w:tcPr>
            <w:tcW w:w="1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Decrease in impairment valuation allowance</w:t>
            </w:r>
          </w:p>
        </w:tc>
        <w:tc>
          <w:tcPr>
            <w:tcW w:w="14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670</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Amortization (2)</w:t>
            </w:r>
          </w:p>
        </w:tc>
        <w:tc>
          <w:tcPr>
            <w:tcW w:w="1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(32,589)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(32,589)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Balance at December 31, 2009</w:t>
            </w:r>
          </w:p>
        </w:tc>
        <w:tc>
          <w:tcPr>
            <w:tcW w:w="14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117,802</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117,802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Purchases (3)</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107,749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107,749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Servicing transfers and adjustments</w:t>
            </w:r>
          </w:p>
        </w:tc>
        <w:tc>
          <w:tcPr>
            <w:tcW w:w="14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Decrease in impairment valuation allowance</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Amortization (2)</w:t>
            </w:r>
          </w:p>
        </w:tc>
        <w:tc>
          <w:tcPr>
            <w:tcW w:w="14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(31,627)</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(31,627)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shd w:val="clear" w:color="auto" w:fill="EAF9E8"/>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Balance at December 31, 2010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193,985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193,985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At December 31, 2007, the servicing liability was not material.</w:t>
      </w:r>
    </w:p>
    <w:p>
      <w:pPr>
        <w:spacing w:after="0" w:line="225" w:lineRule="exact"/>
        <w:rPr>
          <w:rFonts w:ascii="Arial" w:cs="Arial" w:eastAsia="Arial" w:hAnsi="Arial"/>
          <w:sz w:val="18"/>
          <w:szCs w:val="18"/>
          <w:color w:val="auto"/>
        </w:rPr>
      </w:pPr>
    </w:p>
    <w:p>
      <w:pPr>
        <w:jc w:val="both"/>
        <w:ind w:left="580" w:right="160" w:hanging="572"/>
        <w:spacing w:after="0" w:line="264" w:lineRule="auto"/>
        <w:tabs>
          <w:tab w:leader="none" w:pos="5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During 2010 and 2009, amortization of servicing liabilities exceeded the amount of charges we recognized to increase servicing liability obligations by $172 and $361, respectively. Amortization of mortgage servicing rights of $31,455 and $32,228 for 2010 and 2009, respectively, are reported net of these amounts in our Consolidated Statement of Operations.</w:t>
      </w:r>
    </w:p>
    <w:p>
      <w:pPr>
        <w:spacing w:after="0" w:line="181" w:lineRule="exact"/>
        <w:rPr>
          <w:rFonts w:ascii="Arial" w:cs="Arial" w:eastAsia="Arial" w:hAnsi="Arial"/>
          <w:sz w:val="18"/>
          <w:szCs w:val="18"/>
          <w:color w:val="auto"/>
        </w:rPr>
      </w:pPr>
    </w:p>
    <w:p>
      <w:pPr>
        <w:ind w:left="580" w:hanging="572"/>
        <w:spacing w:after="0"/>
        <w:tabs>
          <w:tab w:leader="none" w:pos="5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Includes $84,324 of MSRs acquired as part of the HomEq Acquisition.</w:t>
      </w:r>
    </w:p>
    <w:p>
      <w:pPr>
        <w:spacing w:after="0" w:line="225"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 estimated amortization expense for mortgage servicing rights, calculated based on assumptions used at December 31, 2010, is projected as follows over the next five years:</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560" w:type="dxa"/>
            <w:vAlign w:val="bottom"/>
            <w:shd w:val="clear" w:color="auto" w:fill="EAF9E8"/>
          </w:tcPr>
          <w:p>
            <w:pPr>
              <w:jc w:val="right"/>
              <w:ind w:right="4110"/>
              <w:spacing w:after="0"/>
              <w:rPr>
                <w:sz w:val="20"/>
                <w:szCs w:val="20"/>
                <w:color w:val="auto"/>
              </w:rPr>
            </w:pPr>
            <w:r>
              <w:rPr>
                <w:rFonts w:ascii="Arial" w:cs="Arial" w:eastAsia="Arial" w:hAnsi="Arial"/>
                <w:sz w:val="18"/>
                <w:szCs w:val="18"/>
                <w:color w:val="auto"/>
                <w:w w:val="84"/>
              </w:rPr>
              <w:t>2011</w:t>
            </w:r>
          </w:p>
        </w:tc>
        <w:tc>
          <w:tcPr>
            <w:tcW w:w="4700" w:type="dxa"/>
            <w:vAlign w:val="bottom"/>
            <w:shd w:val="clear" w:color="auto" w:fill="EAF9E8"/>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35,448</w:t>
            </w:r>
          </w:p>
        </w:tc>
      </w:tr>
      <w:tr>
        <w:trPr>
          <w:trHeight w:val="216"/>
        </w:trPr>
        <w:tc>
          <w:tcPr>
            <w:tcW w:w="4560" w:type="dxa"/>
            <w:vAlign w:val="bottom"/>
          </w:tcPr>
          <w:p>
            <w:pPr>
              <w:jc w:val="right"/>
              <w:ind w:right="4110"/>
              <w:spacing w:after="0"/>
              <w:rPr>
                <w:sz w:val="20"/>
                <w:szCs w:val="20"/>
                <w:color w:val="auto"/>
              </w:rPr>
            </w:pPr>
            <w:r>
              <w:rPr>
                <w:rFonts w:ascii="Arial" w:cs="Arial" w:eastAsia="Arial" w:hAnsi="Arial"/>
                <w:sz w:val="18"/>
                <w:szCs w:val="18"/>
                <w:color w:val="auto"/>
                <w:w w:val="84"/>
              </w:rPr>
              <w:t>2012</w:t>
            </w:r>
          </w:p>
        </w:tc>
        <w:tc>
          <w:tcPr>
            <w:tcW w:w="47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29,084</w:t>
            </w:r>
          </w:p>
        </w:tc>
      </w:tr>
      <w:tr>
        <w:trPr>
          <w:trHeight w:val="216"/>
        </w:trPr>
        <w:tc>
          <w:tcPr>
            <w:tcW w:w="4560" w:type="dxa"/>
            <w:vAlign w:val="bottom"/>
            <w:shd w:val="clear" w:color="auto" w:fill="EAF9E8"/>
          </w:tcPr>
          <w:p>
            <w:pPr>
              <w:jc w:val="right"/>
              <w:ind w:right="4110"/>
              <w:spacing w:after="0"/>
              <w:rPr>
                <w:sz w:val="20"/>
                <w:szCs w:val="20"/>
                <w:color w:val="auto"/>
              </w:rPr>
            </w:pPr>
            <w:r>
              <w:rPr>
                <w:rFonts w:ascii="Arial" w:cs="Arial" w:eastAsia="Arial" w:hAnsi="Arial"/>
                <w:sz w:val="18"/>
                <w:szCs w:val="18"/>
                <w:color w:val="auto"/>
                <w:w w:val="84"/>
              </w:rPr>
              <w:t>2013</w:t>
            </w:r>
          </w:p>
        </w:tc>
        <w:tc>
          <w:tcPr>
            <w:tcW w:w="4700" w:type="dxa"/>
            <w:vAlign w:val="bottom"/>
            <w:shd w:val="clear" w:color="auto" w:fill="EAF9E8"/>
          </w:tcPr>
          <w:p>
            <w:pPr>
              <w:spacing w:after="0"/>
              <w:rPr>
                <w:sz w:val="18"/>
                <w:szCs w:val="18"/>
                <w:color w:val="auto"/>
              </w:rPr>
            </w:pPr>
          </w:p>
        </w:tc>
        <w:tc>
          <w:tcPr>
            <w:tcW w:w="10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23,842</w:t>
            </w:r>
          </w:p>
        </w:tc>
      </w:tr>
      <w:tr>
        <w:trPr>
          <w:trHeight w:val="216"/>
        </w:trPr>
        <w:tc>
          <w:tcPr>
            <w:tcW w:w="4560" w:type="dxa"/>
            <w:vAlign w:val="bottom"/>
          </w:tcPr>
          <w:p>
            <w:pPr>
              <w:jc w:val="right"/>
              <w:ind w:right="4110"/>
              <w:spacing w:after="0"/>
              <w:rPr>
                <w:sz w:val="20"/>
                <w:szCs w:val="20"/>
                <w:color w:val="auto"/>
              </w:rPr>
            </w:pPr>
            <w:r>
              <w:rPr>
                <w:rFonts w:ascii="Arial" w:cs="Arial" w:eastAsia="Arial" w:hAnsi="Arial"/>
                <w:sz w:val="18"/>
                <w:szCs w:val="18"/>
                <w:color w:val="auto"/>
                <w:w w:val="84"/>
              </w:rPr>
              <w:t>2014</w:t>
            </w:r>
          </w:p>
        </w:tc>
        <w:tc>
          <w:tcPr>
            <w:tcW w:w="47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19,545</w:t>
            </w:r>
          </w:p>
        </w:tc>
      </w:tr>
      <w:tr>
        <w:trPr>
          <w:trHeight w:val="216"/>
        </w:trPr>
        <w:tc>
          <w:tcPr>
            <w:tcW w:w="4560" w:type="dxa"/>
            <w:vAlign w:val="bottom"/>
            <w:shd w:val="clear" w:color="auto" w:fill="EAF9E8"/>
          </w:tcPr>
          <w:p>
            <w:pPr>
              <w:jc w:val="right"/>
              <w:ind w:right="4110"/>
              <w:spacing w:after="0"/>
              <w:rPr>
                <w:sz w:val="20"/>
                <w:szCs w:val="20"/>
                <w:color w:val="auto"/>
              </w:rPr>
            </w:pPr>
            <w:r>
              <w:rPr>
                <w:rFonts w:ascii="Arial" w:cs="Arial" w:eastAsia="Arial" w:hAnsi="Arial"/>
                <w:sz w:val="18"/>
                <w:szCs w:val="18"/>
                <w:color w:val="auto"/>
                <w:w w:val="84"/>
              </w:rPr>
              <w:t>2015</w:t>
            </w:r>
          </w:p>
        </w:tc>
        <w:tc>
          <w:tcPr>
            <w:tcW w:w="4700" w:type="dxa"/>
            <w:vAlign w:val="bottom"/>
            <w:shd w:val="clear" w:color="auto" w:fill="EAF9E8"/>
          </w:tcPr>
          <w:p>
            <w:pPr>
              <w:spacing w:after="0"/>
              <w:rPr>
                <w:sz w:val="18"/>
                <w:szCs w:val="18"/>
                <w:color w:val="auto"/>
              </w:rPr>
            </w:pPr>
          </w:p>
        </w:tc>
        <w:tc>
          <w:tcPr>
            <w:tcW w:w="10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16,022</w:t>
            </w:r>
          </w:p>
        </w:tc>
      </w:tr>
    </w:tbl>
    <w:p>
      <w:pPr>
        <w:spacing w:after="0" w:line="202" w:lineRule="exact"/>
        <w:rPr>
          <w:sz w:val="20"/>
          <w:szCs w:val="20"/>
          <w:color w:val="auto"/>
        </w:rPr>
      </w:pPr>
    </w:p>
    <w:p>
      <w:pPr>
        <w:ind w:right="320" w:firstLine="663"/>
        <w:spacing w:after="0" w:line="342" w:lineRule="auto"/>
        <w:rPr>
          <w:sz w:val="20"/>
          <w:szCs w:val="20"/>
          <w:color w:val="auto"/>
        </w:rPr>
      </w:pPr>
      <w:r>
        <w:rPr>
          <w:rFonts w:ascii="Arial" w:cs="Arial" w:eastAsia="Arial" w:hAnsi="Arial"/>
          <w:sz w:val="16"/>
          <w:szCs w:val="16"/>
          <w:color w:val="auto"/>
        </w:rPr>
        <w:t>The following table presents the composition of our servicing and subservicing portfolios by type of property serviced as measured by UPB. The servicing portfolio represents purchased mortgage servicing rights while subservicing generally represents all other mortgage servicing rights.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UPB of Assets Serviced:</w:t>
            </w:r>
          </w:p>
        </w:tc>
        <w:tc>
          <w:tcPr>
            <w:tcW w:w="268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3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b w:val="1"/>
                <w:bCs w:val="1"/>
                <w:color w:val="auto"/>
                <w:w w:val="93"/>
              </w:rPr>
              <w:t>Residential</w:t>
            </w:r>
          </w:p>
        </w:tc>
        <w:tc>
          <w:tcPr>
            <w:tcW w:w="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b w:val="1"/>
                <w:bCs w:val="1"/>
                <w:color w:val="auto"/>
                <w:w w:val="93"/>
              </w:rPr>
              <w:t>Commercial</w:t>
            </w:r>
          </w:p>
        </w:tc>
        <w:tc>
          <w:tcPr>
            <w:tcW w:w="2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100" w:type="dxa"/>
            <w:vAlign w:val="bottom"/>
            <w:gridSpan w:val="2"/>
            <w:shd w:val="clear" w:color="auto" w:fill="EAF9E8"/>
          </w:tcPr>
          <w:p>
            <w:pPr>
              <w:ind w:left="180"/>
              <w:spacing w:after="0"/>
              <w:rPr>
                <w:sz w:val="20"/>
                <w:szCs w:val="20"/>
                <w:color w:val="auto"/>
              </w:rPr>
            </w:pPr>
            <w:r>
              <w:rPr>
                <w:rFonts w:ascii="Arial" w:cs="Arial" w:eastAsia="Arial" w:hAnsi="Arial"/>
                <w:sz w:val="18"/>
                <w:szCs w:val="18"/>
                <w:b w:val="1"/>
                <w:bCs w:val="1"/>
                <w:color w:val="auto"/>
              </w:rPr>
              <w:t>Total</w:t>
            </w:r>
          </w:p>
        </w:tc>
      </w:tr>
      <w:tr>
        <w:trPr>
          <w:trHeight w:val="216"/>
        </w:trPr>
        <w:tc>
          <w:tcPr>
            <w:tcW w:w="3960" w:type="dxa"/>
            <w:vAlign w:val="bottom"/>
            <w:tcBorders>
              <w:top w:val="single" w:sz="8" w:color="EAF9E8"/>
            </w:tcBorders>
          </w:tcPr>
          <w:p>
            <w:pPr>
              <w:ind w:left="180"/>
              <w:spacing w:after="0"/>
              <w:rPr>
                <w:sz w:val="20"/>
                <w:szCs w:val="20"/>
                <w:color w:val="auto"/>
              </w:rPr>
            </w:pPr>
            <w:r>
              <w:rPr>
                <w:rFonts w:ascii="Arial" w:cs="Arial" w:eastAsia="Arial" w:hAnsi="Arial"/>
                <w:sz w:val="18"/>
                <w:szCs w:val="18"/>
                <w:color w:val="auto"/>
              </w:rPr>
              <w:t>Balance at December 31, 2008</w:t>
            </w:r>
          </w:p>
        </w:tc>
        <w:tc>
          <w:tcPr>
            <w:tcW w:w="2680" w:type="dxa"/>
            <w:vAlign w:val="bottom"/>
            <w:tcBorders>
              <w:top w:val="single" w:sz="8" w:color="EAF9E8"/>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r>
      <w:tr>
        <w:trPr>
          <w:trHeight w:val="216"/>
        </w:trPr>
        <w:tc>
          <w:tcPr>
            <w:tcW w:w="3960" w:type="dxa"/>
            <w:vAlign w:val="bottom"/>
            <w:shd w:val="clear" w:color="auto" w:fill="EAF9E8"/>
          </w:tcPr>
          <w:p>
            <w:pPr>
              <w:ind w:left="340"/>
              <w:spacing w:after="0"/>
              <w:rPr>
                <w:sz w:val="20"/>
                <w:szCs w:val="20"/>
                <w:color w:val="auto"/>
              </w:rPr>
            </w:pPr>
            <w:r>
              <w:rPr>
                <w:rFonts w:ascii="Arial" w:cs="Arial" w:eastAsia="Arial" w:hAnsi="Arial"/>
                <w:sz w:val="18"/>
                <w:szCs w:val="18"/>
                <w:color w:val="auto"/>
              </w:rPr>
              <w:t>Servicing</w:t>
            </w:r>
          </w:p>
        </w:tc>
        <w:tc>
          <w:tcPr>
            <w:tcW w:w="28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29,830,654</w:t>
            </w:r>
          </w:p>
        </w:tc>
        <w:tc>
          <w:tcPr>
            <w:tcW w:w="3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w w:val="99"/>
              </w:rPr>
              <w:t>29,830,654</w:t>
            </w:r>
          </w:p>
        </w:tc>
      </w:tr>
      <w:tr>
        <w:trPr>
          <w:trHeight w:val="216"/>
        </w:trPr>
        <w:tc>
          <w:tcPr>
            <w:tcW w:w="3960" w:type="dxa"/>
            <w:vAlign w:val="bottom"/>
          </w:tcPr>
          <w:p>
            <w:pPr>
              <w:ind w:left="340"/>
              <w:spacing w:after="0"/>
              <w:rPr>
                <w:sz w:val="20"/>
                <w:szCs w:val="20"/>
                <w:color w:val="auto"/>
              </w:rPr>
            </w:pPr>
            <w:r>
              <w:rPr>
                <w:rFonts w:ascii="Arial" w:cs="Arial" w:eastAsia="Arial" w:hAnsi="Arial"/>
                <w:sz w:val="18"/>
                <w:szCs w:val="18"/>
                <w:color w:val="auto"/>
              </w:rPr>
              <w:t>Subservicing</w:t>
            </w: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10,340,878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1,319,175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w w:val="99"/>
              </w:rPr>
              <w:t>11,660,053</w:t>
            </w:r>
          </w:p>
        </w:tc>
      </w:tr>
      <w:tr>
        <w:trPr>
          <w:trHeight w:val="27"/>
        </w:trPr>
        <w:tc>
          <w:tcPr>
            <w:tcW w:w="39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3960" w:type="dxa"/>
            <w:vAlign w:val="bottom"/>
            <w:shd w:val="clear" w:color="auto" w:fill="EAF9E8"/>
          </w:tcPr>
          <w:p>
            <w:pPr>
              <w:spacing w:after="0"/>
              <w:rPr>
                <w:sz w:val="22"/>
                <w:szCs w:val="22"/>
                <w:color w:val="auto"/>
              </w:rPr>
            </w:pPr>
          </w:p>
        </w:tc>
        <w:tc>
          <w:tcPr>
            <w:tcW w:w="28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40,171,532</w:t>
            </w:r>
          </w:p>
        </w:tc>
        <w:tc>
          <w:tcPr>
            <w:tcW w:w="3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1,319,175</w:t>
            </w:r>
          </w:p>
        </w:tc>
        <w:tc>
          <w:tcPr>
            <w:tcW w:w="4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w w:val="99"/>
              </w:rPr>
              <w:t>41,490,707</w:t>
            </w:r>
          </w:p>
        </w:tc>
      </w:tr>
      <w:tr>
        <w:trPr>
          <w:trHeight w:val="210"/>
        </w:trPr>
        <w:tc>
          <w:tcPr>
            <w:tcW w:w="3960" w:type="dxa"/>
            <w:vAlign w:val="bottom"/>
            <w:tcBorders>
              <w:top w:val="single" w:sz="8" w:color="EAF9E8"/>
            </w:tcBorders>
          </w:tcPr>
          <w:p>
            <w:pPr>
              <w:ind w:left="180"/>
              <w:spacing w:after="0"/>
              <w:rPr>
                <w:sz w:val="20"/>
                <w:szCs w:val="20"/>
                <w:color w:val="auto"/>
              </w:rPr>
            </w:pPr>
            <w:r>
              <w:rPr>
                <w:rFonts w:ascii="Arial" w:cs="Arial" w:eastAsia="Arial" w:hAnsi="Arial"/>
                <w:sz w:val="18"/>
                <w:szCs w:val="18"/>
                <w:color w:val="auto"/>
              </w:rPr>
              <w:t>Balance at December 31, 2009</w:t>
            </w:r>
          </w:p>
        </w:tc>
        <w:tc>
          <w:tcPr>
            <w:tcW w:w="2680" w:type="dxa"/>
            <w:vAlign w:val="bottom"/>
            <w:tcBorders>
              <w:top w:val="single" w:sz="8" w:color="EAF9E8"/>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r>
      <w:tr>
        <w:trPr>
          <w:trHeight w:val="216"/>
        </w:trPr>
        <w:tc>
          <w:tcPr>
            <w:tcW w:w="3960" w:type="dxa"/>
            <w:vAlign w:val="bottom"/>
            <w:shd w:val="clear" w:color="auto" w:fill="EAF9E8"/>
          </w:tcPr>
          <w:p>
            <w:pPr>
              <w:ind w:left="340"/>
              <w:spacing w:after="0"/>
              <w:rPr>
                <w:sz w:val="20"/>
                <w:szCs w:val="20"/>
                <w:color w:val="auto"/>
              </w:rPr>
            </w:pPr>
            <w:r>
              <w:rPr>
                <w:rFonts w:ascii="Arial" w:cs="Arial" w:eastAsia="Arial" w:hAnsi="Arial"/>
                <w:sz w:val="18"/>
                <w:szCs w:val="18"/>
                <w:color w:val="auto"/>
              </w:rPr>
              <w:t>Servicing</w:t>
            </w:r>
          </w:p>
        </w:tc>
        <w:tc>
          <w:tcPr>
            <w:tcW w:w="28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27,408,436</w:t>
            </w:r>
          </w:p>
        </w:tc>
        <w:tc>
          <w:tcPr>
            <w:tcW w:w="3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w w:val="99"/>
              </w:rPr>
              <w:t>27,408,436</w:t>
            </w:r>
          </w:p>
        </w:tc>
      </w:tr>
      <w:tr>
        <w:trPr>
          <w:trHeight w:val="216"/>
        </w:trPr>
        <w:tc>
          <w:tcPr>
            <w:tcW w:w="3960" w:type="dxa"/>
            <w:vAlign w:val="bottom"/>
          </w:tcPr>
          <w:p>
            <w:pPr>
              <w:ind w:left="340"/>
              <w:spacing w:after="0"/>
              <w:rPr>
                <w:sz w:val="20"/>
                <w:szCs w:val="20"/>
                <w:color w:val="auto"/>
              </w:rPr>
            </w:pPr>
            <w:r>
              <w:rPr>
                <w:rFonts w:ascii="Arial" w:cs="Arial" w:eastAsia="Arial" w:hAnsi="Arial"/>
                <w:sz w:val="18"/>
                <w:szCs w:val="18"/>
                <w:color w:val="auto"/>
              </w:rPr>
              <w:t>Subservicing (1)</w:t>
            </w: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22,571,641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211,603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w w:val="99"/>
              </w:rPr>
              <w:t>22,783,244</w:t>
            </w:r>
          </w:p>
        </w:tc>
      </w:tr>
      <w:tr>
        <w:trPr>
          <w:trHeight w:val="27"/>
        </w:trPr>
        <w:tc>
          <w:tcPr>
            <w:tcW w:w="39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3960" w:type="dxa"/>
            <w:vAlign w:val="bottom"/>
            <w:shd w:val="clear" w:color="auto" w:fill="EAF9E8"/>
          </w:tcPr>
          <w:p>
            <w:pPr>
              <w:spacing w:after="0"/>
              <w:rPr>
                <w:sz w:val="22"/>
                <w:szCs w:val="22"/>
                <w:color w:val="auto"/>
              </w:rPr>
            </w:pPr>
          </w:p>
        </w:tc>
        <w:tc>
          <w:tcPr>
            <w:tcW w:w="28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49,980,077</w:t>
            </w:r>
          </w:p>
        </w:tc>
        <w:tc>
          <w:tcPr>
            <w:tcW w:w="3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211,603</w:t>
            </w:r>
          </w:p>
        </w:tc>
        <w:tc>
          <w:tcPr>
            <w:tcW w:w="4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w w:val="99"/>
              </w:rPr>
              <w:t>50,191,680</w:t>
            </w:r>
          </w:p>
        </w:tc>
      </w:tr>
      <w:tr>
        <w:trPr>
          <w:trHeight w:val="574"/>
        </w:trPr>
        <w:tc>
          <w:tcPr>
            <w:tcW w:w="3960" w:type="dxa"/>
            <w:vAlign w:val="bottom"/>
            <w:tcBorders>
              <w:top w:val="single" w:sz="8" w:color="EAF9E8"/>
            </w:tcBorders>
          </w:tcPr>
          <w:p>
            <w:pPr>
              <w:spacing w:after="0"/>
              <w:rPr>
                <w:sz w:val="24"/>
                <w:szCs w:val="24"/>
                <w:color w:val="auto"/>
              </w:rPr>
            </w:pPr>
          </w:p>
        </w:tc>
        <w:tc>
          <w:tcPr>
            <w:tcW w:w="2680" w:type="dxa"/>
            <w:vAlign w:val="bottom"/>
            <w:tcBorders>
              <w:top w:val="single" w:sz="8" w:color="EAF9E8"/>
            </w:tcBorders>
          </w:tcPr>
          <w:p>
            <w:pPr>
              <w:ind w:left="1580"/>
              <w:spacing w:after="0"/>
              <w:rPr>
                <w:sz w:val="20"/>
                <w:szCs w:val="20"/>
                <w:color w:val="auto"/>
              </w:rPr>
            </w:pPr>
            <w:r>
              <w:rPr>
                <w:rFonts w:ascii="Arial" w:cs="Arial" w:eastAsia="Arial" w:hAnsi="Arial"/>
                <w:sz w:val="18"/>
                <w:szCs w:val="18"/>
                <w:color w:val="auto"/>
              </w:rPr>
              <w:t>F-30</w:t>
            </w: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40" w:type="dxa"/>
            <w:vAlign w:val="bottom"/>
            <w:tcBorders>
              <w:top w:val="single" w:sz="8" w:color="EAF9E8"/>
            </w:tcBorders>
          </w:tcPr>
          <w:p>
            <w:pPr>
              <w:spacing w:after="0"/>
              <w:rPr>
                <w:sz w:val="24"/>
                <w:szCs w:val="24"/>
                <w:color w:val="auto"/>
              </w:rPr>
            </w:pPr>
          </w:p>
        </w:tc>
        <w:tc>
          <w:tcPr>
            <w:tcW w:w="240" w:type="dxa"/>
            <w:vAlign w:val="bottom"/>
            <w:tcBorders>
              <w:top w:val="single" w:sz="8" w:color="EAF9E8"/>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EAF9E8"/>
            </w:tcBorders>
          </w:tcPr>
          <w:p>
            <w:pPr>
              <w:spacing w:after="0"/>
              <w:rPr>
                <w:sz w:val="24"/>
                <w:szCs w:val="24"/>
                <w:color w:val="auto"/>
              </w:rPr>
            </w:pPr>
          </w:p>
        </w:tc>
        <w:tc>
          <w:tcPr>
            <w:tcW w:w="220" w:type="dxa"/>
            <w:vAlign w:val="bottom"/>
            <w:tcBorders>
              <w:top w:val="single" w:sz="8" w:color="EAF9E8"/>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EAF9E8"/>
            </w:tcBorders>
          </w:tcPr>
          <w:p>
            <w:pPr>
              <w:spacing w:after="0"/>
              <w:rPr>
                <w:sz w:val="24"/>
                <w:szCs w:val="24"/>
                <w:color w:val="auto"/>
              </w:rPr>
            </w:pPr>
          </w:p>
        </w:tc>
      </w:tr>
      <w:tr>
        <w:trPr>
          <w:trHeight w:val="105"/>
        </w:trPr>
        <w:tc>
          <w:tcPr>
            <w:tcW w:w="3960" w:type="dxa"/>
            <w:vAlign w:val="bottom"/>
            <w:tcBorders>
              <w:bottom w:val="single" w:sz="8" w:color="808080"/>
            </w:tcBorders>
          </w:tcPr>
          <w:p>
            <w:pPr>
              <w:spacing w:after="0"/>
              <w:rPr>
                <w:sz w:val="9"/>
                <w:szCs w:val="9"/>
                <w:color w:val="auto"/>
              </w:rPr>
            </w:pPr>
          </w:p>
        </w:tc>
        <w:tc>
          <w:tcPr>
            <w:tcW w:w="26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23"/>
        </w:trPr>
        <w:tc>
          <w:tcPr>
            <w:tcW w:w="66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UPB of Assets Serviced:</w:t>
            </w:r>
          </w:p>
        </w:tc>
        <w:tc>
          <w:tcPr>
            <w:tcW w:w="140" w:type="dxa"/>
            <w:vAlign w:val="bottom"/>
            <w:shd w:val="clear" w:color="auto" w:fill="EAF9E8"/>
          </w:tcPr>
          <w:p>
            <w:pPr>
              <w:spacing w:after="0"/>
              <w:rPr>
                <w:sz w:val="19"/>
                <w:szCs w:val="19"/>
                <w:color w:val="auto"/>
              </w:rPr>
            </w:pPr>
          </w:p>
        </w:tc>
        <w:tc>
          <w:tcPr>
            <w:tcW w:w="13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b w:val="1"/>
                <w:bCs w:val="1"/>
                <w:color w:val="auto"/>
                <w:w w:val="93"/>
              </w:rPr>
              <w:t>Residential</w:t>
            </w:r>
          </w:p>
        </w:tc>
        <w:tc>
          <w:tcPr>
            <w:tcW w:w="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b w:val="1"/>
                <w:bCs w:val="1"/>
                <w:color w:val="auto"/>
                <w:w w:val="93"/>
              </w:rPr>
              <w:t>Commercial</w:t>
            </w:r>
          </w:p>
        </w:tc>
        <w:tc>
          <w:tcPr>
            <w:tcW w:w="2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100" w:type="dxa"/>
            <w:vAlign w:val="bottom"/>
            <w:gridSpan w:val="2"/>
            <w:shd w:val="clear" w:color="auto" w:fill="EAF9E8"/>
          </w:tcPr>
          <w:p>
            <w:pPr>
              <w:ind w:left="180"/>
              <w:spacing w:after="0"/>
              <w:rPr>
                <w:sz w:val="20"/>
                <w:szCs w:val="20"/>
                <w:color w:val="auto"/>
              </w:rPr>
            </w:pPr>
            <w:r>
              <w:rPr>
                <w:rFonts w:ascii="Arial" w:cs="Arial" w:eastAsia="Arial" w:hAnsi="Arial"/>
                <w:sz w:val="18"/>
                <w:szCs w:val="18"/>
                <w:b w:val="1"/>
                <w:bCs w:val="1"/>
                <w:color w:val="auto"/>
              </w:rPr>
              <w:t>Total</w:t>
            </w:r>
          </w:p>
        </w:tc>
      </w:tr>
      <w:tr>
        <w:trPr>
          <w:trHeight w:val="216"/>
        </w:trPr>
        <w:tc>
          <w:tcPr>
            <w:tcW w:w="6640" w:type="dxa"/>
            <w:vAlign w:val="bottom"/>
            <w:tcBorders>
              <w:top w:val="single" w:sz="8" w:color="EAF9E8"/>
            </w:tcBorders>
          </w:tcPr>
          <w:p>
            <w:pPr>
              <w:ind w:left="180"/>
              <w:spacing w:after="0"/>
              <w:rPr>
                <w:sz w:val="20"/>
                <w:szCs w:val="20"/>
                <w:color w:val="auto"/>
              </w:rPr>
            </w:pPr>
            <w:r>
              <w:rPr>
                <w:rFonts w:ascii="Arial" w:cs="Arial" w:eastAsia="Arial" w:hAnsi="Arial"/>
                <w:sz w:val="18"/>
                <w:szCs w:val="18"/>
                <w:color w:val="auto"/>
              </w:rPr>
              <w:t>Balance at December 31, 2010</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r>
      <w:tr>
        <w:trPr>
          <w:trHeight w:val="216"/>
        </w:trPr>
        <w:tc>
          <w:tcPr>
            <w:tcW w:w="6640" w:type="dxa"/>
            <w:vAlign w:val="bottom"/>
            <w:shd w:val="clear" w:color="auto" w:fill="EAF9E8"/>
          </w:tcPr>
          <w:p>
            <w:pPr>
              <w:ind w:left="340"/>
              <w:spacing w:after="0"/>
              <w:rPr>
                <w:sz w:val="20"/>
                <w:szCs w:val="20"/>
                <w:color w:val="auto"/>
              </w:rPr>
            </w:pPr>
            <w:r>
              <w:rPr>
                <w:rFonts w:ascii="Arial" w:cs="Arial" w:eastAsia="Arial" w:hAnsi="Arial"/>
                <w:sz w:val="18"/>
                <w:szCs w:val="18"/>
                <w:color w:val="auto"/>
              </w:rPr>
              <w:t>Servicing</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51,252,380</w:t>
            </w:r>
          </w:p>
        </w:tc>
        <w:tc>
          <w:tcPr>
            <w:tcW w:w="3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w w:val="99"/>
              </w:rPr>
              <w:t>51,252,380</w:t>
            </w:r>
          </w:p>
        </w:tc>
      </w:tr>
      <w:tr>
        <w:trPr>
          <w:trHeight w:val="216"/>
        </w:trPr>
        <w:tc>
          <w:tcPr>
            <w:tcW w:w="6640" w:type="dxa"/>
            <w:vAlign w:val="bottom"/>
          </w:tcPr>
          <w:p>
            <w:pPr>
              <w:ind w:left="340"/>
              <w:spacing w:after="0"/>
              <w:rPr>
                <w:sz w:val="20"/>
                <w:szCs w:val="20"/>
                <w:color w:val="auto"/>
              </w:rPr>
            </w:pPr>
            <w:r>
              <w:rPr>
                <w:rFonts w:ascii="Arial" w:cs="Arial" w:eastAsia="Arial" w:hAnsi="Arial"/>
                <w:sz w:val="18"/>
                <w:szCs w:val="18"/>
                <w:color w:val="auto"/>
              </w:rPr>
              <w:t>Subservicing (1)</w:t>
            </w: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22,634,011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434,305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w w:val="99"/>
              </w:rPr>
              <w:t>23,068,316</w:t>
            </w:r>
          </w:p>
        </w:tc>
      </w:tr>
      <w:tr>
        <w:trPr>
          <w:trHeight w:val="27"/>
        </w:trPr>
        <w:tc>
          <w:tcPr>
            <w:tcW w:w="6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6640" w:type="dxa"/>
            <w:vAlign w:val="bottom"/>
            <w:shd w:val="clear" w:color="auto" w:fill="EAF9E8"/>
          </w:tcPr>
          <w:p>
            <w:pPr>
              <w:spacing w:after="0"/>
              <w:rPr>
                <w:sz w:val="20"/>
                <w:szCs w:val="20"/>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73,886,391</w:t>
            </w:r>
          </w:p>
        </w:tc>
        <w:tc>
          <w:tcPr>
            <w:tcW w:w="3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434,305</w:t>
            </w:r>
          </w:p>
        </w:tc>
        <w:tc>
          <w:tcPr>
            <w:tcW w:w="4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w w:val="99"/>
              </w:rPr>
              <w:t>74,320,696</w:t>
            </w:r>
          </w:p>
        </w:tc>
      </w:tr>
      <w:tr>
        <w:trPr>
          <w:trHeight w:val="20"/>
        </w:trPr>
        <w:tc>
          <w:tcPr>
            <w:tcW w:w="664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Includes non-performing loans serviced for Freddie Mac.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December 31, 2010, the geographic distribution of the UPB and count of residential loans and real estate we serviced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Amount</w:t>
            </w:r>
          </w:p>
        </w:tc>
        <w:tc>
          <w:tcPr>
            <w:tcW w:w="440" w:type="dxa"/>
            <w:vAlign w:val="bottom"/>
          </w:tcPr>
          <w:p>
            <w:pPr>
              <w:spacing w:after="0"/>
              <w:rPr>
                <w:sz w:val="20"/>
                <w:szCs w:val="20"/>
                <w:color w:val="auto"/>
              </w:rPr>
            </w:pP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Count</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AF9E8"/>
          </w:tcPr>
          <w:p>
            <w:pPr>
              <w:spacing w:after="0"/>
              <w:rPr>
                <w:sz w:val="20"/>
                <w:szCs w:val="20"/>
                <w:color w:val="auto"/>
              </w:rPr>
            </w:pPr>
            <w:r>
              <w:rPr>
                <w:rFonts w:ascii="Arial" w:cs="Arial" w:eastAsia="Arial" w:hAnsi="Arial"/>
                <w:sz w:val="18"/>
                <w:szCs w:val="18"/>
                <w:color w:val="auto"/>
              </w:rPr>
              <w:t>California</w:t>
            </w:r>
          </w:p>
        </w:tc>
        <w:tc>
          <w:tcPr>
            <w:tcW w:w="40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15,365,876</w:t>
            </w:r>
          </w:p>
        </w:tc>
        <w:tc>
          <w:tcPr>
            <w:tcW w:w="13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54,111</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Florida</w:t>
            </w: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8,341,594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52,335</w:t>
            </w:r>
          </w:p>
        </w:tc>
      </w:tr>
      <w:tr>
        <w:trPr>
          <w:trHeight w:val="216"/>
        </w:trPr>
        <w:tc>
          <w:tcPr>
            <w:tcW w:w="20" w:type="dxa"/>
            <w:vAlign w:val="bottom"/>
          </w:tcPr>
          <w:p>
            <w:pPr>
              <w:spacing w:after="0"/>
              <w:rPr>
                <w:sz w:val="18"/>
                <w:szCs w:val="18"/>
                <w:color w:val="auto"/>
              </w:rPr>
            </w:pPr>
          </w:p>
        </w:tc>
        <w:tc>
          <w:tcPr>
            <w:tcW w:w="4520" w:type="dxa"/>
            <w:vAlign w:val="bottom"/>
            <w:shd w:val="clear" w:color="auto" w:fill="EAF9E8"/>
          </w:tcPr>
          <w:p>
            <w:pPr>
              <w:spacing w:after="0"/>
              <w:rPr>
                <w:sz w:val="20"/>
                <w:szCs w:val="20"/>
                <w:color w:val="auto"/>
              </w:rPr>
            </w:pPr>
            <w:r>
              <w:rPr>
                <w:rFonts w:ascii="Arial" w:cs="Arial" w:eastAsia="Arial" w:hAnsi="Arial"/>
                <w:sz w:val="18"/>
                <w:szCs w:val="18"/>
                <w:color w:val="auto"/>
              </w:rPr>
              <w:t>New York</w:t>
            </w:r>
          </w:p>
        </w:tc>
        <w:tc>
          <w:tcPr>
            <w:tcW w:w="38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6,479,318</w:t>
            </w:r>
          </w:p>
        </w:tc>
        <w:tc>
          <w:tcPr>
            <w:tcW w:w="13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26,961</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Texas</w:t>
            </w: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3,870,854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45,072</w:t>
            </w:r>
          </w:p>
        </w:tc>
      </w:tr>
      <w:tr>
        <w:trPr>
          <w:trHeight w:val="216"/>
        </w:trPr>
        <w:tc>
          <w:tcPr>
            <w:tcW w:w="20" w:type="dxa"/>
            <w:vAlign w:val="bottom"/>
          </w:tcPr>
          <w:p>
            <w:pPr>
              <w:spacing w:after="0"/>
              <w:rPr>
                <w:sz w:val="18"/>
                <w:szCs w:val="18"/>
                <w:color w:val="auto"/>
              </w:rPr>
            </w:pPr>
          </w:p>
        </w:tc>
        <w:tc>
          <w:tcPr>
            <w:tcW w:w="4520" w:type="dxa"/>
            <w:vAlign w:val="bottom"/>
            <w:shd w:val="clear" w:color="auto" w:fill="EAF9E8"/>
          </w:tcPr>
          <w:p>
            <w:pPr>
              <w:spacing w:after="0"/>
              <w:rPr>
                <w:sz w:val="20"/>
                <w:szCs w:val="20"/>
                <w:color w:val="auto"/>
              </w:rPr>
            </w:pPr>
            <w:r>
              <w:rPr>
                <w:rFonts w:ascii="Arial" w:cs="Arial" w:eastAsia="Arial" w:hAnsi="Arial"/>
                <w:sz w:val="18"/>
                <w:szCs w:val="18"/>
                <w:color w:val="auto"/>
              </w:rPr>
              <w:t>Illinois</w:t>
            </w:r>
          </w:p>
        </w:tc>
        <w:tc>
          <w:tcPr>
            <w:tcW w:w="38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3,458,609</w:t>
            </w:r>
          </w:p>
        </w:tc>
        <w:tc>
          <w:tcPr>
            <w:tcW w:w="13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22,903</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(1)</w:t>
            </w: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36,370,140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277,783</w:t>
            </w: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520" w:type="dxa"/>
            <w:vAlign w:val="bottom"/>
            <w:shd w:val="clear" w:color="auto" w:fill="EAF9E8"/>
          </w:tcPr>
          <w:p>
            <w:pPr>
              <w:spacing w:after="0"/>
              <w:rPr>
                <w:sz w:val="20"/>
                <w:szCs w:val="20"/>
                <w:color w:val="auto"/>
              </w:rPr>
            </w:pPr>
          </w:p>
        </w:tc>
        <w:tc>
          <w:tcPr>
            <w:tcW w:w="40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73,886,391</w:t>
            </w:r>
          </w:p>
        </w:tc>
        <w:tc>
          <w:tcPr>
            <w:tcW w:w="13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479,165</w:t>
            </w: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EAF9E8"/>
            </w:tcBorders>
            <w:shd w:val="clear" w:color="auto" w:fill="EAF9E8"/>
          </w:tcPr>
          <w:p>
            <w:pPr>
              <w:spacing w:after="0" w:line="20" w:lineRule="exact"/>
              <w:rPr>
                <w:sz w:val="1"/>
                <w:szCs w:val="1"/>
                <w:color w:val="auto"/>
              </w:rPr>
            </w:pPr>
          </w:p>
        </w:tc>
        <w:tc>
          <w:tcPr>
            <w:tcW w:w="382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EAF9E8"/>
            </w:tcBorders>
            <w:shd w:val="clear" w:color="auto" w:fill="EAF9E8"/>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02" w:lineRule="exact"/>
        <w:rPr>
          <w:sz w:val="20"/>
          <w:szCs w:val="20"/>
          <w:color w:val="auto"/>
        </w:rPr>
      </w:pPr>
    </w:p>
    <w:p>
      <w:pPr>
        <w:ind w:left="600" w:right="280" w:hanging="592"/>
        <w:spacing w:after="0" w:line="277" w:lineRule="auto"/>
        <w:tabs>
          <w:tab w:leader="none" w:pos="6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Consisted of loans and properties in 45 other states, the District of Columbia and two U.S. territories. No other single location had aggregate loans and properties over $2,502,812.</w:t>
      </w:r>
    </w:p>
    <w:p>
      <w:pPr>
        <w:spacing w:after="0" w:line="170" w:lineRule="exact"/>
        <w:rPr>
          <w:sz w:val="20"/>
          <w:szCs w:val="20"/>
          <w:color w:val="auto"/>
        </w:rPr>
      </w:pPr>
    </w:p>
    <w:p>
      <w:pPr>
        <w:ind w:firstLine="666"/>
        <w:spacing w:after="0" w:line="302" w:lineRule="auto"/>
        <w:rPr>
          <w:sz w:val="20"/>
          <w:szCs w:val="20"/>
          <w:color w:val="auto"/>
        </w:rPr>
      </w:pPr>
      <w:r>
        <w:rPr>
          <w:rFonts w:ascii="Arial" w:cs="Arial" w:eastAsia="Arial" w:hAnsi="Arial"/>
          <w:sz w:val="16"/>
          <w:szCs w:val="16"/>
          <w:i w:val="1"/>
          <w:iCs w:val="1"/>
          <w:color w:val="auto"/>
        </w:rPr>
        <w:t xml:space="preserve">Valuation Allowance for Impairment. </w:t>
      </w:r>
      <w:r>
        <w:rPr>
          <w:rFonts w:ascii="Arial" w:cs="Arial" w:eastAsia="Arial" w:hAnsi="Arial"/>
          <w:sz w:val="16"/>
          <w:szCs w:val="16"/>
          <w:color w:val="auto"/>
        </w:rPr>
        <w:t>During 2008, we established a valuation allowance for impairment of $3,624 on the high-loan-to-value stratum</w:t>
      </w:r>
      <w:r>
        <w:rPr>
          <w:rFonts w:ascii="Arial" w:cs="Arial" w:eastAsia="Arial" w:hAnsi="Arial"/>
          <w:sz w:val="16"/>
          <w:szCs w:val="16"/>
          <w:i w:val="1"/>
          <w:iCs w:val="1"/>
          <w:color w:val="auto"/>
        </w:rPr>
        <w:t xml:space="preserve"> </w:t>
      </w:r>
      <w:r>
        <w:rPr>
          <w:rFonts w:ascii="Arial" w:cs="Arial" w:eastAsia="Arial" w:hAnsi="Arial"/>
          <w:sz w:val="16"/>
          <w:szCs w:val="16"/>
          <w:color w:val="auto"/>
        </w:rPr>
        <w:t>of our mortgage servicing rights as the estimated fair value was less than the carrying value. Changes in the valuation allowance for impairment are reflected in Servicing and origination expenses in the Consolidated Statement of Operations. Net of the valuation allowance of $2,864 and $2,954, the carrying value of this stratum was $334 and $613 at December 31, 2010 and 2009, respectively. For all other strata, the fair value was above the carrying value.</w:t>
      </w:r>
    </w:p>
    <w:p>
      <w:pPr>
        <w:spacing w:after="0" w:line="15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estimated fair value of residential MSRs at December 31, 2010, 2009 and 2008 was $237,407, $127,268 and $148,135, respectively.</w:t>
      </w:r>
    </w:p>
    <w:p>
      <w:pPr>
        <w:spacing w:after="0" w:line="237" w:lineRule="exact"/>
        <w:rPr>
          <w:sz w:val="20"/>
          <w:szCs w:val="20"/>
          <w:color w:val="auto"/>
        </w:rPr>
      </w:pPr>
    </w:p>
    <w:p>
      <w:pPr>
        <w:ind w:right="340" w:firstLine="666"/>
        <w:spacing w:after="0" w:line="264" w:lineRule="auto"/>
        <w:rPr>
          <w:sz w:val="20"/>
          <w:szCs w:val="20"/>
          <w:color w:val="auto"/>
        </w:rPr>
      </w:pPr>
      <w:r>
        <w:rPr>
          <w:rFonts w:ascii="Arial" w:cs="Arial" w:eastAsia="Arial" w:hAnsi="Arial"/>
          <w:sz w:val="18"/>
          <w:szCs w:val="18"/>
          <w:i w:val="1"/>
          <w:iCs w:val="1"/>
          <w:color w:val="auto"/>
        </w:rPr>
        <w:t xml:space="preserve">Servicing Liability. </w:t>
      </w:r>
      <w:r>
        <w:rPr>
          <w:rFonts w:ascii="Arial" w:cs="Arial" w:eastAsia="Arial" w:hAnsi="Arial"/>
          <w:sz w:val="18"/>
          <w:szCs w:val="18"/>
          <w:color w:val="auto"/>
        </w:rPr>
        <w:t>We recognize a servicing liability for those agreements that are not expected to adequately compensate us for performing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servicing. Servicing liabilities were $3,415 and $2,878 at December 31, 2010 and 2009, respectively, and are included in other liabilities. We assumed servicing liabilities with a fair value of $709 as part of the HomEq Acquisition.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NOTE 10</w:t>
            </w:r>
          </w:p>
        </w:tc>
        <w:tc>
          <w:tcPr>
            <w:tcW w:w="7260" w:type="dxa"/>
            <w:vAlign w:val="bottom"/>
            <w:gridSpan w:val="2"/>
          </w:tcPr>
          <w:p>
            <w:pPr>
              <w:jc w:val="right"/>
              <w:ind w:right="5960"/>
              <w:spacing w:after="0"/>
              <w:rPr>
                <w:sz w:val="20"/>
                <w:szCs w:val="20"/>
                <w:color w:val="auto"/>
              </w:rPr>
            </w:pPr>
            <w:r>
              <w:rPr>
                <w:rFonts w:ascii="Arial" w:cs="Arial" w:eastAsia="Arial" w:hAnsi="Arial"/>
                <w:sz w:val="18"/>
                <w:szCs w:val="18"/>
                <w:b w:val="1"/>
                <w:bCs w:val="1"/>
                <w:color w:val="auto"/>
                <w:w w:val="99"/>
              </w:rPr>
              <w:t>RECEIVABLES</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8600" w:type="dxa"/>
            <w:vAlign w:val="bottom"/>
            <w:gridSpan w:val="3"/>
          </w:tcPr>
          <w:p>
            <w:pPr>
              <w:ind w:left="660"/>
              <w:spacing w:after="0"/>
              <w:rPr>
                <w:sz w:val="20"/>
                <w:szCs w:val="20"/>
                <w:color w:val="auto"/>
              </w:rPr>
            </w:pPr>
            <w:r>
              <w:rPr>
                <w:rFonts w:ascii="Arial" w:cs="Arial" w:eastAsia="Arial" w:hAnsi="Arial"/>
                <w:sz w:val="18"/>
                <w:szCs w:val="18"/>
                <w:color w:val="auto"/>
              </w:rPr>
              <w:t>Receivables consisted of the following at December 31:</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Accounts receivable by segment:</w:t>
            </w:r>
          </w:p>
        </w:tc>
        <w:tc>
          <w:tcPr>
            <w:tcW w:w="10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ind w:left="160"/>
              <w:spacing w:after="0"/>
              <w:rPr>
                <w:sz w:val="20"/>
                <w:szCs w:val="20"/>
                <w:color w:val="auto"/>
              </w:rPr>
            </w:pPr>
            <w:r>
              <w:rPr>
                <w:rFonts w:ascii="Arial" w:cs="Arial" w:eastAsia="Arial" w:hAnsi="Arial"/>
                <w:sz w:val="18"/>
                <w:szCs w:val="18"/>
                <w:color w:val="auto"/>
              </w:rPr>
              <w:t>Servicing (1)</w:t>
            </w:r>
          </w:p>
        </w:tc>
        <w:tc>
          <w:tcPr>
            <w:tcW w:w="7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59,000</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41,940</w:t>
            </w: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Loans and Residuals</w:t>
            </w: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844</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845</w:t>
            </w:r>
          </w:p>
        </w:tc>
      </w:tr>
      <w:tr>
        <w:trPr>
          <w:trHeight w:val="216"/>
        </w:trPr>
        <w:tc>
          <w:tcPr>
            <w:tcW w:w="20" w:type="dxa"/>
            <w:vAlign w:val="bottom"/>
          </w:tcPr>
          <w:p>
            <w:pPr>
              <w:spacing w:after="0"/>
              <w:rPr>
                <w:sz w:val="18"/>
                <w:szCs w:val="18"/>
                <w:color w:val="auto"/>
              </w:rPr>
            </w:pPr>
          </w:p>
        </w:tc>
        <w:tc>
          <w:tcPr>
            <w:tcW w:w="8600" w:type="dxa"/>
            <w:vAlign w:val="bottom"/>
            <w:gridSpan w:val="3"/>
          </w:tcPr>
          <w:p>
            <w:pPr>
              <w:ind w:left="160"/>
              <w:spacing w:after="0"/>
              <w:rPr>
                <w:sz w:val="20"/>
                <w:szCs w:val="20"/>
                <w:color w:val="auto"/>
              </w:rPr>
            </w:pPr>
            <w:r>
              <w:rPr>
                <w:rFonts w:ascii="Arial" w:cs="Arial" w:eastAsia="Arial" w:hAnsi="Arial"/>
                <w:sz w:val="18"/>
                <w:szCs w:val="18"/>
                <w:color w:val="auto"/>
              </w:rPr>
              <w:t>Asset Management Vehicles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Corporate Items and Other (2)</w:t>
            </w:r>
          </w:p>
        </w:tc>
        <w:tc>
          <w:tcPr>
            <w:tcW w:w="26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1,215</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1,795</w:t>
            </w:r>
          </w:p>
        </w:tc>
      </w:tr>
      <w:tr>
        <w:trPr>
          <w:trHeight w:val="27"/>
        </w:trPr>
        <w:tc>
          <w:tcPr>
            <w:tcW w:w="20" w:type="dxa"/>
            <w:vAlign w:val="bottom"/>
          </w:tcPr>
          <w:p>
            <w:pPr>
              <w:spacing w:after="0"/>
              <w:rPr>
                <w:sz w:val="2"/>
                <w:szCs w:val="2"/>
                <w:color w:val="auto"/>
              </w:rPr>
            </w:pPr>
          </w:p>
        </w:tc>
        <w:tc>
          <w:tcPr>
            <w:tcW w:w="1340" w:type="dxa"/>
            <w:vAlign w:val="bottom"/>
            <w:shd w:val="clear" w:color="auto" w:fill="EAF9E8"/>
          </w:tcPr>
          <w:p>
            <w:pPr>
              <w:spacing w:after="0"/>
              <w:rPr>
                <w:sz w:val="2"/>
                <w:szCs w:val="2"/>
                <w:color w:val="auto"/>
              </w:rPr>
            </w:pPr>
          </w:p>
        </w:tc>
        <w:tc>
          <w:tcPr>
            <w:tcW w:w="700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61,164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44,914</w:t>
            </w:r>
          </w:p>
        </w:tc>
      </w:tr>
      <w:tr>
        <w:trPr>
          <w:trHeight w:val="216"/>
        </w:trPr>
        <w:tc>
          <w:tcPr>
            <w:tcW w:w="20" w:type="dxa"/>
            <w:vAlign w:val="bottom"/>
          </w:tcPr>
          <w:p>
            <w:pPr>
              <w:spacing w:after="0"/>
              <w:rPr>
                <w:sz w:val="18"/>
                <w:szCs w:val="18"/>
                <w:color w:val="auto"/>
              </w:rPr>
            </w:pPr>
          </w:p>
        </w:tc>
        <w:tc>
          <w:tcPr>
            <w:tcW w:w="1340" w:type="dxa"/>
            <w:vAlign w:val="bottom"/>
            <w:shd w:val="clear" w:color="auto" w:fill="EAF9E8"/>
          </w:tcPr>
          <w:p>
            <w:pPr>
              <w:spacing w:after="0"/>
              <w:rPr>
                <w:sz w:val="20"/>
                <w:szCs w:val="20"/>
                <w:color w:val="auto"/>
              </w:rPr>
            </w:pPr>
            <w:r>
              <w:rPr>
                <w:rFonts w:ascii="Arial" w:cs="Arial" w:eastAsia="Arial" w:hAnsi="Arial"/>
                <w:sz w:val="18"/>
                <w:szCs w:val="18"/>
                <w:color w:val="auto"/>
                <w:w w:val="90"/>
              </w:rPr>
              <w:t>Other receivables:</w:t>
            </w:r>
          </w:p>
        </w:tc>
        <w:tc>
          <w:tcPr>
            <w:tcW w:w="70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7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3,620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17,865</w:t>
            </w: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Receivable from Altisource (3)</w:t>
            </w: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2,444</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3,310</w:t>
            </w:r>
          </w:p>
        </w:tc>
      </w:tr>
      <w:tr>
        <w:trPr>
          <w:trHeight w:val="216"/>
        </w:trPr>
        <w:tc>
          <w:tcPr>
            <w:tcW w:w="20" w:type="dxa"/>
            <w:vAlign w:val="bottom"/>
          </w:tcPr>
          <w:p>
            <w:pPr>
              <w:spacing w:after="0"/>
              <w:rPr>
                <w:sz w:val="18"/>
                <w:szCs w:val="18"/>
                <w:color w:val="auto"/>
              </w:rPr>
            </w:pPr>
          </w:p>
        </w:tc>
        <w:tc>
          <w:tcPr>
            <w:tcW w:w="1340" w:type="dxa"/>
            <w:vAlign w:val="bottom"/>
          </w:tcPr>
          <w:p>
            <w:pPr>
              <w:ind w:left="160"/>
              <w:spacing w:after="0"/>
              <w:rPr>
                <w:sz w:val="20"/>
                <w:szCs w:val="20"/>
                <w:color w:val="auto"/>
              </w:rPr>
            </w:pPr>
            <w:r>
              <w:rPr>
                <w:rFonts w:ascii="Arial" w:cs="Arial" w:eastAsia="Arial" w:hAnsi="Arial"/>
                <w:sz w:val="18"/>
                <w:szCs w:val="18"/>
                <w:color w:val="auto"/>
              </w:rPr>
              <w:t>Other</w:t>
            </w:r>
          </w:p>
        </w:tc>
        <w:tc>
          <w:tcPr>
            <w:tcW w:w="7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2,290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1,006</w:t>
            </w: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340" w:type="dxa"/>
            <w:vAlign w:val="bottom"/>
            <w:shd w:val="clear" w:color="auto" w:fill="EAF9E8"/>
          </w:tcPr>
          <w:p>
            <w:pPr>
              <w:spacing w:after="0"/>
              <w:rPr>
                <w:sz w:val="20"/>
                <w:szCs w:val="20"/>
                <w:color w:val="auto"/>
              </w:rPr>
            </w:pPr>
          </w:p>
        </w:tc>
        <w:tc>
          <w:tcPr>
            <w:tcW w:w="72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69,518</w:t>
            </w:r>
          </w:p>
        </w:tc>
        <w:tc>
          <w:tcPr>
            <w:tcW w:w="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67,095</w:t>
            </w:r>
          </w:p>
        </w:tc>
      </w:tr>
      <w:tr>
        <w:trPr>
          <w:trHeight w:val="20"/>
        </w:trPr>
        <w:tc>
          <w:tcPr>
            <w:tcW w:w="20" w:type="dxa"/>
            <w:vAlign w:val="bottom"/>
          </w:tcPr>
          <w:p>
            <w:pPr>
              <w:spacing w:after="0" w:line="20" w:lineRule="exact"/>
              <w:rPr>
                <w:sz w:val="1"/>
                <w:szCs w:val="1"/>
                <w:color w:val="auto"/>
              </w:rPr>
            </w:pPr>
          </w:p>
        </w:tc>
        <w:tc>
          <w:tcPr>
            <w:tcW w:w="1340" w:type="dxa"/>
            <w:vAlign w:val="bottom"/>
            <w:tcBorders>
              <w:top w:val="single" w:sz="8" w:color="EAF9E8"/>
            </w:tcBorders>
            <w:shd w:val="clear" w:color="auto" w:fill="EAF9E8"/>
          </w:tcPr>
          <w:p>
            <w:pPr>
              <w:spacing w:after="0" w:line="20" w:lineRule="exact"/>
              <w:rPr>
                <w:sz w:val="1"/>
                <w:szCs w:val="1"/>
                <w:color w:val="auto"/>
              </w:rPr>
            </w:pPr>
          </w:p>
        </w:tc>
        <w:tc>
          <w:tcPr>
            <w:tcW w:w="700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02" w:lineRule="exact"/>
        <w:rPr>
          <w:sz w:val="20"/>
          <w:szCs w:val="20"/>
          <w:color w:val="auto"/>
        </w:rPr>
      </w:pPr>
    </w:p>
    <w:p>
      <w:pPr>
        <w:ind w:left="580" w:right="140" w:hanging="572"/>
        <w:spacing w:after="0" w:line="264" w:lineRule="auto"/>
        <w:tabs>
          <w:tab w:leader="none" w:pos="5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balances at December 31, 2010 and 2009 primarily include reimbursable expenditures due from investors and amounts to be recovered from the custodial accounts of the trustees. The total balance of receivables for this segment is net of reserves of $262 and $547 at December 31, 2010 and 2009, respectively.</w:t>
      </w:r>
    </w:p>
    <w:p>
      <w:pPr>
        <w:spacing w:after="0" w:line="181" w:lineRule="exact"/>
        <w:rPr>
          <w:rFonts w:ascii="Arial" w:cs="Arial" w:eastAsia="Arial" w:hAnsi="Arial"/>
          <w:sz w:val="18"/>
          <w:szCs w:val="18"/>
          <w:color w:val="auto"/>
        </w:rPr>
      </w:pPr>
    </w:p>
    <w:p>
      <w:pPr>
        <w:ind w:left="580" w:right="140" w:hanging="572"/>
        <w:spacing w:after="0" w:line="286" w:lineRule="auto"/>
        <w:tabs>
          <w:tab w:leader="none" w:pos="5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balances at December 31, 2010 and 2009 include receivables totaling $1,015 and $1,680, respectively, that primarily represent annual payments to be received through June 2014 for proceeds from sales of investments in affordable housing properties. These affordable housing receivables are net of reserves for doubtful accounts of $5,866 and $6,609, respectively. None of these receivables are delinquent.</w:t>
      </w:r>
    </w:p>
    <w:p>
      <w:pPr>
        <w:spacing w:after="0" w:line="165" w:lineRule="exact"/>
        <w:rPr>
          <w:rFonts w:ascii="Arial" w:cs="Arial" w:eastAsia="Arial" w:hAnsi="Arial"/>
          <w:sz w:val="17"/>
          <w:szCs w:val="17"/>
          <w:color w:val="auto"/>
        </w:rPr>
      </w:pPr>
    </w:p>
    <w:p>
      <w:pPr>
        <w:ind w:left="580" w:hanging="572"/>
        <w:spacing w:after="0"/>
        <w:tabs>
          <w:tab w:leader="none" w:pos="5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See Note 30 for additional information regarding our relationship with Altisource.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4"/>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NOTE 11</w:t>
            </w:r>
          </w:p>
        </w:tc>
        <w:tc>
          <w:tcPr>
            <w:tcW w:w="6100" w:type="dxa"/>
            <w:vAlign w:val="bottom"/>
          </w:tcPr>
          <w:p>
            <w:pPr>
              <w:ind w:left="320"/>
              <w:spacing w:after="0"/>
              <w:rPr>
                <w:sz w:val="20"/>
                <w:szCs w:val="20"/>
                <w:color w:val="auto"/>
              </w:rPr>
            </w:pPr>
            <w:r>
              <w:rPr>
                <w:rFonts w:ascii="Arial" w:cs="Arial" w:eastAsia="Arial" w:hAnsi="Arial"/>
                <w:sz w:val="18"/>
                <w:szCs w:val="18"/>
                <w:b w:val="1"/>
                <w:bCs w:val="1"/>
                <w:color w:val="auto"/>
              </w:rPr>
              <w:t>PREMISES AND EQUIPMENT</w:t>
            </w: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7140" w:type="dxa"/>
            <w:vAlign w:val="bottom"/>
            <w:gridSpan w:val="2"/>
          </w:tcPr>
          <w:p>
            <w:pPr>
              <w:ind w:left="660"/>
              <w:spacing w:after="0"/>
              <w:rPr>
                <w:sz w:val="20"/>
                <w:szCs w:val="20"/>
                <w:color w:val="auto"/>
              </w:rPr>
            </w:pPr>
            <w:r>
              <w:rPr>
                <w:rFonts w:ascii="Arial" w:cs="Arial" w:eastAsia="Arial" w:hAnsi="Arial"/>
                <w:sz w:val="18"/>
                <w:szCs w:val="18"/>
                <w:color w:val="auto"/>
              </w:rPr>
              <w:t>Our premises and equipment are summarized as follows at December 31:</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Computer hardware and software</w:t>
            </w:r>
          </w:p>
        </w:tc>
        <w:tc>
          <w:tcPr>
            <w:tcW w:w="14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14,619</w:t>
            </w:r>
          </w:p>
        </w:tc>
        <w:tc>
          <w:tcPr>
            <w:tcW w:w="4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13,072</w:t>
            </w: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6,626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5,838</w:t>
            </w: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Furniture and fixtures</w:t>
            </w:r>
          </w:p>
        </w:tc>
        <w:tc>
          <w:tcPr>
            <w:tcW w:w="1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6,528</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6,286</w:t>
            </w: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Office equipment and other</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3,439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2,228</w:t>
            </w: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610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31,212</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27,424</w:t>
            </w: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(25,737)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(24,099)</w:t>
            </w: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040" w:type="dxa"/>
            <w:vAlign w:val="bottom"/>
            <w:shd w:val="clear" w:color="auto" w:fill="EAF9E8"/>
          </w:tcPr>
          <w:p>
            <w:pPr>
              <w:spacing w:after="0"/>
              <w:rPr>
                <w:sz w:val="20"/>
                <w:szCs w:val="20"/>
                <w:color w:val="auto"/>
              </w:rPr>
            </w:pPr>
          </w:p>
        </w:tc>
        <w:tc>
          <w:tcPr>
            <w:tcW w:w="6100" w:type="dxa"/>
            <w:vAlign w:val="bottom"/>
            <w:shd w:val="clear" w:color="auto" w:fill="EAF9E8"/>
          </w:tcPr>
          <w:p>
            <w:pPr>
              <w:spacing w:after="0"/>
              <w:rPr>
                <w:sz w:val="20"/>
                <w:szCs w:val="20"/>
                <w:color w:val="auto"/>
              </w:rPr>
            </w:pPr>
          </w:p>
        </w:tc>
        <w:tc>
          <w:tcPr>
            <w:tcW w:w="14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5,475</w:t>
            </w:r>
          </w:p>
        </w:tc>
        <w:tc>
          <w:tcPr>
            <w:tcW w:w="4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3,325</w:t>
            </w: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EAF9E8"/>
            </w:tcBorders>
            <w:shd w:val="clear" w:color="auto" w:fill="EAF9E8"/>
          </w:tcPr>
          <w:p>
            <w:pPr>
              <w:spacing w:after="0" w:line="20" w:lineRule="exact"/>
              <w:rPr>
                <w:sz w:val="1"/>
                <w:szCs w:val="1"/>
                <w:color w:val="auto"/>
              </w:rPr>
            </w:pPr>
          </w:p>
        </w:tc>
        <w:tc>
          <w:tcPr>
            <w:tcW w:w="6100" w:type="dxa"/>
            <w:vAlign w:val="bottom"/>
            <w:tcBorders>
              <w:top w:val="single" w:sz="8" w:color="EAF9E8"/>
            </w:tcBorders>
            <w:shd w:val="clear" w:color="auto" w:fill="EAF9E8"/>
          </w:tcPr>
          <w:p>
            <w:pPr>
              <w:spacing w:after="0" w:line="20" w:lineRule="exact"/>
              <w:rPr>
                <w:sz w:val="1"/>
                <w:szCs w:val="1"/>
                <w:color w:val="auto"/>
              </w:rPr>
            </w:pPr>
          </w:p>
        </w:tc>
        <w:tc>
          <w:tcPr>
            <w:tcW w:w="120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02" w:lineRule="exact"/>
        <w:rPr>
          <w:sz w:val="20"/>
          <w:szCs w:val="20"/>
          <w:color w:val="auto"/>
        </w:rPr>
      </w:pPr>
    </w:p>
    <w:p>
      <w:pPr>
        <w:ind w:right="120" w:firstLine="663"/>
        <w:spacing w:after="0" w:line="259" w:lineRule="auto"/>
        <w:rPr>
          <w:sz w:val="20"/>
          <w:szCs w:val="20"/>
          <w:color w:val="auto"/>
        </w:rPr>
      </w:pPr>
      <w:r>
        <w:rPr>
          <w:rFonts w:ascii="Arial" w:cs="Arial" w:eastAsia="Arial" w:hAnsi="Arial"/>
          <w:sz w:val="18"/>
          <w:szCs w:val="18"/>
          <w:color w:val="auto"/>
        </w:rPr>
        <w:t>We acquired leasehold improvements and equipment with a fair value of $6,728 as part of the HomEq Acquisition. These assets are associated with the leased facilities located in Raleigh, North Carolina and Sacramento, California. As disclosed in Note 2, subsequent to the acquisition we vacated these premises following termination of the former HomEq employees. In December 2010, we exercised our option to terminate these leases in 2013. At that time, we recorded a depreciation charge of $5,840 to write off the leasehold improvements.</w:t>
      </w:r>
    </w:p>
    <w:p>
      <w:pPr>
        <w:spacing w:after="0" w:line="187" w:lineRule="exact"/>
        <w:rPr>
          <w:sz w:val="20"/>
          <w:szCs w:val="20"/>
          <w:color w:val="auto"/>
        </w:rPr>
      </w:pPr>
    </w:p>
    <w:p>
      <w:pPr>
        <w:ind w:firstLine="663"/>
        <w:spacing w:after="0" w:line="277" w:lineRule="auto"/>
        <w:rPr>
          <w:sz w:val="20"/>
          <w:szCs w:val="20"/>
          <w:color w:val="auto"/>
        </w:rPr>
      </w:pPr>
      <w:r>
        <w:rPr>
          <w:rFonts w:ascii="Arial" w:cs="Arial" w:eastAsia="Arial" w:hAnsi="Arial"/>
          <w:sz w:val="18"/>
          <w:szCs w:val="18"/>
          <w:color w:val="auto"/>
        </w:rPr>
        <w:t>We sold the equipment acquired in the HomEq Acquisition to Altisource for cash proceeds equal to the acquisition fair value of $888. As a result, we recognized no gain or loss on this transaction.</w:t>
      </w:r>
    </w:p>
    <w:p>
      <w:pPr>
        <w:spacing w:after="0" w:line="170"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Depreciation and other amortization expense amounted to $7,512, $4,742 and $9,717 for 2010, 2009 and 2008, respectively, of which $180, $899 and $1,926 related to computer software.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NOTE 12</w:t>
            </w:r>
          </w:p>
        </w:tc>
        <w:tc>
          <w:tcPr>
            <w:tcW w:w="5820" w:type="dxa"/>
            <w:vAlign w:val="bottom"/>
            <w:gridSpan w:val="2"/>
          </w:tcPr>
          <w:p>
            <w:pPr>
              <w:jc w:val="right"/>
              <w:ind w:right="1440"/>
              <w:spacing w:after="0"/>
              <w:rPr>
                <w:sz w:val="20"/>
                <w:szCs w:val="20"/>
                <w:color w:val="auto"/>
              </w:rPr>
            </w:pPr>
            <w:r>
              <w:rPr>
                <w:rFonts w:ascii="Arial" w:cs="Arial" w:eastAsia="Arial" w:hAnsi="Arial"/>
                <w:sz w:val="18"/>
                <w:szCs w:val="18"/>
                <w:b w:val="1"/>
                <w:bCs w:val="1"/>
                <w:color w:val="auto"/>
              </w:rPr>
              <w:t>INVESTMENT IN UNCONSOLIDATED ENTITIES</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900" w:type="dxa"/>
            <w:vAlign w:val="bottom"/>
            <w:gridSpan w:val="3"/>
          </w:tcPr>
          <w:p>
            <w:pPr>
              <w:ind w:left="480"/>
              <w:spacing w:after="0"/>
              <w:rPr>
                <w:sz w:val="20"/>
                <w:szCs w:val="20"/>
                <w:color w:val="auto"/>
              </w:rPr>
            </w:pPr>
            <w:r>
              <w:rPr>
                <w:rFonts w:ascii="Arial" w:cs="Arial" w:eastAsia="Arial" w:hAnsi="Arial"/>
                <w:sz w:val="18"/>
                <w:szCs w:val="18"/>
                <w:color w:val="auto"/>
              </w:rPr>
              <w:t>Investment in unconsolidated entities consisted of the following at December 31:</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Asset Management Vehicles:</w:t>
            </w:r>
          </w:p>
        </w:tc>
        <w:tc>
          <w:tcPr>
            <w:tcW w:w="9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60" w:type="dxa"/>
            <w:vAlign w:val="bottom"/>
            <w:tcBorders>
              <w:right w:val="single" w:sz="8" w:color="EAF9E8"/>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3"/>
          </w:tcPr>
          <w:p>
            <w:pPr>
              <w:ind w:left="160"/>
              <w:spacing w:after="0"/>
              <w:rPr>
                <w:sz w:val="20"/>
                <w:szCs w:val="20"/>
                <w:color w:val="auto"/>
              </w:rPr>
            </w:pPr>
            <w:r>
              <w:rPr>
                <w:rFonts w:ascii="Arial" w:cs="Arial" w:eastAsia="Arial" w:hAnsi="Arial"/>
                <w:sz w:val="18"/>
                <w:szCs w:val="18"/>
                <w:color w:val="auto"/>
              </w:rPr>
              <w:t>Investment in OSI (1)</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7,572</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Investment in ONL and affiliates (2)</w:t>
            </w:r>
          </w:p>
        </w:tc>
        <w:tc>
          <w:tcPr>
            <w:tcW w:w="9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60" w:type="dxa"/>
            <w:vAlign w:val="bottom"/>
            <w:tcBorders>
              <w:right w:val="single" w:sz="8" w:color="EAF9E8"/>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4,420</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7,044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shd w:val="clear" w:color="auto" w:fill="EAF9E8"/>
          </w:tcPr>
          <w:p>
            <w:pPr>
              <w:spacing w:after="0"/>
              <w:rPr>
                <w:sz w:val="2"/>
                <w:szCs w:val="2"/>
                <w:color w:val="auto"/>
              </w:rPr>
            </w:pPr>
          </w:p>
        </w:tc>
        <w:tc>
          <w:tcPr>
            <w:tcW w:w="5540" w:type="dxa"/>
            <w:vAlign w:val="bottom"/>
            <w:shd w:val="clear" w:color="auto" w:fill="EAF9E8"/>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980" w:type="dxa"/>
            <w:vAlign w:val="bottom"/>
            <w:shd w:val="clear" w:color="auto" w:fill="EAF9E8"/>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60" w:type="dxa"/>
            <w:vAlign w:val="bottom"/>
            <w:tcBorders>
              <w:right w:val="single" w:sz="8" w:color="auto"/>
            </w:tcBorders>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11,992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Corporate Items and Other</w:t>
            </w:r>
          </w:p>
        </w:tc>
        <w:tc>
          <w:tcPr>
            <w:tcW w:w="9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60" w:type="dxa"/>
            <w:vAlign w:val="bottom"/>
            <w:tcBorders>
              <w:right w:val="single" w:sz="8" w:color="EAF9E8"/>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80</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shd w:val="clear" w:color="auto" w:fill="EAF9E8"/>
          </w:tcPr>
          <w:p>
            <w:pPr>
              <w:spacing w:after="0"/>
              <w:rPr>
                <w:sz w:val="2"/>
                <w:szCs w:val="2"/>
                <w:color w:val="auto"/>
              </w:rPr>
            </w:pPr>
          </w:p>
        </w:tc>
        <w:tc>
          <w:tcPr>
            <w:tcW w:w="5540" w:type="dxa"/>
            <w:vAlign w:val="bottom"/>
            <w:shd w:val="clear" w:color="auto" w:fill="EAF9E8"/>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980" w:type="dxa"/>
            <w:vAlign w:val="bottom"/>
            <w:shd w:val="clear" w:color="auto" w:fill="EAF9E8"/>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60" w:type="dxa"/>
            <w:vAlign w:val="bottom"/>
            <w:tcBorders>
              <w:right w:val="single" w:sz="8" w:color="auto"/>
            </w:tcBorders>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12,072</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15,008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0" w:type="dxa"/>
            <w:vAlign w:val="bottom"/>
            <w:gridSpan w:val="5"/>
            <w:vMerge w:val="restart"/>
          </w:tcPr>
          <w:p>
            <w:pPr>
              <w:ind w:left="660"/>
              <w:spacing w:after="0"/>
              <w:rPr>
                <w:sz w:val="20"/>
                <w:szCs w:val="20"/>
                <w:color w:val="auto"/>
              </w:rPr>
            </w:pPr>
            <w:r>
              <w:rPr>
                <w:rFonts w:ascii="Arial" w:cs="Arial" w:eastAsia="Arial" w:hAnsi="Arial"/>
                <w:sz w:val="18"/>
                <w:szCs w:val="18"/>
                <w:color w:val="auto"/>
                <w:w w:val="91"/>
              </w:rPr>
              <w:t>Equity in earnings (losses) of unconsolidated entities was as follows for the years ended December 31:</w:t>
            </w: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20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EAF9E8"/>
          </w:tcPr>
          <w:p>
            <w:pPr>
              <w:spacing w:after="0"/>
              <w:rPr>
                <w:sz w:val="20"/>
                <w:szCs w:val="20"/>
                <w:color w:val="auto"/>
              </w:rPr>
            </w:pPr>
            <w:r>
              <w:rPr>
                <w:rFonts w:ascii="Arial" w:cs="Arial" w:eastAsia="Arial" w:hAnsi="Arial"/>
                <w:sz w:val="18"/>
                <w:szCs w:val="18"/>
                <w:color w:val="auto"/>
              </w:rPr>
              <w:t>OSI (1) (3)</w:t>
            </w:r>
          </w:p>
        </w:tc>
        <w:tc>
          <w:tcPr>
            <w:tcW w:w="58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1,195</w:t>
            </w:r>
          </w:p>
        </w:tc>
        <w:tc>
          <w:tcPr>
            <w:tcW w:w="320" w:type="dxa"/>
            <w:vAlign w:val="bottom"/>
            <w:shd w:val="clear" w:color="auto" w:fill="EAF9E8"/>
          </w:tcPr>
          <w:p>
            <w:pPr>
              <w:spacing w:after="0"/>
              <w:rPr>
                <w:sz w:val="18"/>
                <w:szCs w:val="18"/>
                <w:color w:val="auto"/>
              </w:rPr>
            </w:pPr>
          </w:p>
        </w:tc>
        <w:tc>
          <w:tcPr>
            <w:tcW w:w="4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(1,756)</w:t>
            </w:r>
          </w:p>
        </w:tc>
        <w:tc>
          <w:tcPr>
            <w:tcW w:w="4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rPr>
              <w:t>ONL and affiliates (2) (3)</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(1,177)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BHI Liquidation, Inc. (formerly BMS Holdings, Inc.) (4)</w:t>
            </w:r>
          </w:p>
        </w:tc>
        <w:tc>
          <w:tcPr>
            <w:tcW w:w="28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EAF9E8"/>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(5,666)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shd w:val="clear" w:color="auto" w:fill="EAF9E8"/>
          </w:tcPr>
          <w:p>
            <w:pPr>
              <w:spacing w:after="0"/>
              <w:rPr>
                <w:sz w:val="2"/>
                <w:szCs w:val="2"/>
                <w:color w:val="auto"/>
              </w:rPr>
            </w:pPr>
          </w:p>
        </w:tc>
        <w:tc>
          <w:tcPr>
            <w:tcW w:w="554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60" w:type="dxa"/>
            <w:vAlign w:val="bottom"/>
            <w:tcBorders>
              <w:right w:val="single" w:sz="8" w:color="EAF9E8"/>
            </w:tcBorders>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1,371</w:t>
            </w:r>
          </w:p>
        </w:tc>
        <w:tc>
          <w:tcPr>
            <w:tcW w:w="32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(2,933)</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(13,110)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right="60" w:hanging="572"/>
        <w:spacing w:after="0" w:line="264" w:lineRule="auto"/>
        <w:tabs>
          <w:tab w:leader="none" w:pos="5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investment in OSI represents a 25% equity interest. OSI invests in the lower tranches and residuals of residential mortgage-backed securities, the related mortgage servicing rights and other similar assets. During 2010, we received distributions from OSI totaling $875. We have no remaining commitment to invest in OSI.</w:t>
      </w:r>
    </w:p>
    <w:p>
      <w:pPr>
        <w:spacing w:after="0" w:line="181" w:lineRule="exact"/>
        <w:rPr>
          <w:rFonts w:ascii="Arial" w:cs="Arial" w:eastAsia="Arial" w:hAnsi="Arial"/>
          <w:sz w:val="18"/>
          <w:szCs w:val="18"/>
          <w:color w:val="auto"/>
        </w:rPr>
      </w:pPr>
    </w:p>
    <w:p>
      <w:pPr>
        <w:ind w:left="580" w:right="160" w:hanging="572"/>
        <w:spacing w:after="0" w:line="259" w:lineRule="auto"/>
        <w:tabs>
          <w:tab w:leader="none" w:pos="5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investment in ONL and affiliates represent equity interests of approximately 25%. ONL resolves non-performing loans purchased at a discount. An affiliate purchases real estate for sale, including real estate that ONL may obtain through foreclosure. During 2010, we received distributions totaling $2,667 from ONL and affiliates. Our remaining commitment to invest additional capital in ONL and affiliated entities expired in September 2010.</w:t>
      </w:r>
    </w:p>
    <w:p>
      <w:pPr>
        <w:spacing w:after="0" w:line="186" w:lineRule="exact"/>
        <w:rPr>
          <w:rFonts w:ascii="Arial" w:cs="Arial" w:eastAsia="Arial" w:hAnsi="Arial"/>
          <w:sz w:val="18"/>
          <w:szCs w:val="18"/>
          <w:color w:val="auto"/>
        </w:rPr>
      </w:pPr>
    </w:p>
    <w:p>
      <w:pPr>
        <w:ind w:left="580" w:right="80" w:hanging="572"/>
        <w:spacing w:after="0" w:line="259" w:lineRule="auto"/>
        <w:tabs>
          <w:tab w:leader="none" w:pos="5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earn loan servicing and management fees from OSI and from ONL and affiliates. In determining the amount of consolidated equity in earnings to recognize, we add back our share of the loan servicing and management fee expense recognized by OSI, ONL and affiliates. During 2010, 2009 and 2008, OLS earned fees of $3,064, $4,481 and $6,918, respectively, from OSI and from ONL and affiliates. On a consolidated basis, we have recognized approximately 75% of the loan servicing and management fee revenue.</w:t>
      </w:r>
    </w:p>
    <w:p>
      <w:pPr>
        <w:spacing w:after="0" w:line="186" w:lineRule="exact"/>
        <w:rPr>
          <w:rFonts w:ascii="Arial" w:cs="Arial" w:eastAsia="Arial" w:hAnsi="Arial"/>
          <w:sz w:val="18"/>
          <w:szCs w:val="18"/>
          <w:color w:val="auto"/>
        </w:rPr>
      </w:pPr>
    </w:p>
    <w:p>
      <w:pPr>
        <w:ind w:left="580" w:right="120" w:hanging="572"/>
        <w:spacing w:after="0" w:line="277" w:lineRule="auto"/>
        <w:tabs>
          <w:tab w:leader="none" w:pos="5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Effective October 1, 2010, we no longer own any interest in BMS. Effective with the second quarter of 2008, we have carried our investment in BHI at zero and have not recognized any income or losses.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92" w:name="page93"/>
    <w:bookmarkEnd w:id="92"/>
    <w:p>
      <w:pPr>
        <w:ind w:left="680"/>
        <w:spacing w:after="0"/>
        <w:rPr>
          <w:sz w:val="20"/>
          <w:szCs w:val="20"/>
          <w:color w:val="auto"/>
        </w:rPr>
      </w:pPr>
      <w:r>
        <w:rPr>
          <w:rFonts w:ascii="Arial" w:cs="Arial" w:eastAsia="Arial" w:hAnsi="Arial"/>
          <w:sz w:val="18"/>
          <w:szCs w:val="18"/>
          <w:color w:val="auto"/>
        </w:rPr>
        <w:t>Summarized combined financial information of our unconsolidated entities at and for the years ended December 31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Operations</w:t>
            </w:r>
          </w:p>
        </w:tc>
        <w:tc>
          <w:tcPr>
            <w:tcW w:w="5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tcBorders>
              <w:right w:val="single" w:sz="8" w:color="EAF9E8"/>
            </w:tcBorders>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Revenues, net, and investment income, net</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7,287</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(9,641)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66,715</w:t>
            </w: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Gains (losses) on investments and derivatives, net</w:t>
            </w:r>
          </w:p>
        </w:tc>
        <w:tc>
          <w:tcPr>
            <w:tcW w:w="28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(4,470)</w:t>
            </w:r>
          </w:p>
        </w:tc>
        <w:tc>
          <w:tcPr>
            <w:tcW w:w="3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2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(10,611)</w:t>
            </w:r>
          </w:p>
        </w:tc>
        <w:tc>
          <w:tcPr>
            <w:tcW w:w="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(45,357)</w:t>
            </w: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2,817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(42,206)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(70,998)</w:t>
            </w: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Financial Condition</w:t>
            </w:r>
          </w:p>
        </w:tc>
        <w:tc>
          <w:tcPr>
            <w:tcW w:w="280" w:type="dxa"/>
            <w:vAlign w:val="bottom"/>
            <w:shd w:val="clear" w:color="auto" w:fill="EAF9E8"/>
          </w:tcPr>
          <w:p>
            <w:pPr>
              <w:spacing w:after="0"/>
              <w:rPr>
                <w:sz w:val="18"/>
                <w:szCs w:val="18"/>
                <w:color w:val="auto"/>
              </w:rPr>
            </w:pPr>
          </w:p>
        </w:tc>
        <w:tc>
          <w:tcPr>
            <w:tcW w:w="1000" w:type="dxa"/>
            <w:vAlign w:val="bottom"/>
            <w:tcBorders>
              <w:right w:val="single" w:sz="8" w:color="EAF9E8"/>
            </w:tcBorders>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532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49,354</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1,001,751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1,131,819</w:t>
            </w:r>
          </w:p>
        </w:tc>
      </w:tr>
      <w:tr>
        <w:trPr>
          <w:trHeight w:val="216"/>
        </w:trPr>
        <w:tc>
          <w:tcPr>
            <w:tcW w:w="20" w:type="dxa"/>
            <w:vAlign w:val="bottom"/>
          </w:tcPr>
          <w:p>
            <w:pPr>
              <w:spacing w:after="0"/>
              <w:rPr>
                <w:sz w:val="18"/>
                <w:szCs w:val="18"/>
                <w:color w:val="auto"/>
              </w:rPr>
            </w:pPr>
          </w:p>
        </w:tc>
        <w:tc>
          <w:tcPr>
            <w:tcW w:w="130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9"/>
              </w:rPr>
              <w:t>Total liabilities</w:t>
            </w:r>
          </w:p>
        </w:tc>
        <w:tc>
          <w:tcPr>
            <w:tcW w:w="5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1,245</w:t>
            </w:r>
          </w:p>
        </w:tc>
        <w:tc>
          <w:tcPr>
            <w:tcW w:w="3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20" w:type="dxa"/>
            <w:vAlign w:val="bottom"/>
            <w:gridSpan w:val="3"/>
            <w:shd w:val="clear" w:color="auto" w:fill="EAF9E8"/>
          </w:tcPr>
          <w:p>
            <w:pPr>
              <w:jc w:val="right"/>
              <w:ind w:right="140"/>
              <w:spacing w:after="0"/>
              <w:rPr>
                <w:sz w:val="20"/>
                <w:szCs w:val="20"/>
                <w:color w:val="auto"/>
              </w:rPr>
            </w:pPr>
            <w:r>
              <w:rPr>
                <w:rFonts w:ascii="Arial" w:cs="Arial" w:eastAsia="Arial" w:hAnsi="Arial"/>
                <w:sz w:val="18"/>
                <w:szCs w:val="18"/>
                <w:color w:val="auto"/>
              </w:rPr>
              <w:t>987,784</w:t>
            </w:r>
          </w:p>
        </w:tc>
        <w:tc>
          <w:tcPr>
            <w:tcW w:w="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1,048,279</w:t>
            </w:r>
          </w:p>
        </w:tc>
      </w:tr>
      <w:tr>
        <w:trPr>
          <w:trHeight w:val="230"/>
        </w:trPr>
        <w:tc>
          <w:tcPr>
            <w:tcW w:w="20" w:type="dxa"/>
            <w:vAlign w:val="bottom"/>
          </w:tcPr>
          <w:p>
            <w:pPr>
              <w:spacing w:after="0"/>
              <w:rPr>
                <w:sz w:val="20"/>
                <w:szCs w:val="20"/>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Total equity</w:t>
            </w:r>
          </w:p>
        </w:tc>
        <w:tc>
          <w:tcPr>
            <w:tcW w:w="5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48,109</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13,967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83,540</w:t>
            </w:r>
          </w:p>
        </w:tc>
      </w:tr>
      <w:tr>
        <w:trPr>
          <w:trHeight w:val="418"/>
        </w:trPr>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NOTE 13</w:t>
            </w:r>
          </w:p>
        </w:tc>
        <w:tc>
          <w:tcPr>
            <w:tcW w:w="5320" w:type="dxa"/>
            <w:vAlign w:val="bottom"/>
          </w:tcPr>
          <w:p>
            <w:pPr>
              <w:ind w:left="6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6620" w:type="dxa"/>
            <w:vAlign w:val="bottom"/>
            <w:gridSpan w:val="2"/>
          </w:tcPr>
          <w:p>
            <w:pPr>
              <w:ind w:left="660"/>
              <w:spacing w:after="0"/>
              <w:rPr>
                <w:sz w:val="20"/>
                <w:szCs w:val="20"/>
                <w:color w:val="auto"/>
              </w:rPr>
            </w:pPr>
            <w:r>
              <w:rPr>
                <w:rFonts w:ascii="Arial" w:cs="Arial" w:eastAsia="Arial" w:hAnsi="Arial"/>
                <w:sz w:val="18"/>
                <w:szCs w:val="18"/>
                <w:color w:val="auto"/>
              </w:rPr>
              <w:t>Other assets consisted of the following at December 31:</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w w:val="92"/>
              </w:rPr>
              <w:t>December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4"/>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Debt service accounts (1)</w:t>
            </w:r>
          </w:p>
        </w:tc>
        <w:tc>
          <w:tcPr>
            <w:tcW w:w="28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86,234</w:t>
            </w:r>
          </w:p>
        </w:tc>
        <w:tc>
          <w:tcPr>
            <w:tcW w:w="140" w:type="dxa"/>
            <w:vAlign w:val="bottom"/>
            <w:shd w:val="clear" w:color="auto" w:fill="EAF9E8"/>
          </w:tcPr>
          <w:p>
            <w:pPr>
              <w:spacing w:after="0"/>
              <w:rPr>
                <w:sz w:val="18"/>
                <w:szCs w:val="18"/>
                <w:color w:val="auto"/>
              </w:rPr>
            </w:pPr>
          </w:p>
        </w:tc>
        <w:tc>
          <w:tcPr>
            <w:tcW w:w="2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50,221</w:t>
            </w: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Interest earning collateral deposits (2)</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25,738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8,671</w:t>
            </w: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Prepaid lender fees and debt issuance costs, net (3)</w:t>
            </w:r>
          </w:p>
        </w:tc>
        <w:tc>
          <w:tcPr>
            <w:tcW w:w="280" w:type="dxa"/>
            <w:vAlign w:val="bottom"/>
            <w:shd w:val="clear" w:color="auto" w:fill="EAF9E8"/>
          </w:tcPr>
          <w:p>
            <w:pPr>
              <w:spacing w:after="0"/>
              <w:rPr>
                <w:sz w:val="18"/>
                <w:szCs w:val="18"/>
                <w:color w:val="auto"/>
              </w:rPr>
            </w:pPr>
          </w:p>
        </w:tc>
        <w:tc>
          <w:tcPr>
            <w:tcW w:w="1000" w:type="dxa"/>
            <w:vAlign w:val="bottom"/>
            <w:tcBorders>
              <w:right w:val="single" w:sz="8" w:color="EAF9E8"/>
            </w:tcBorders>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22,467</w:t>
            </w: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8,223</w:t>
            </w: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Term note (4)</w:t>
            </w:r>
          </w:p>
        </w:tc>
        <w:tc>
          <w:tcPr>
            <w:tcW w:w="5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5,600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7,000</w:t>
            </w:r>
          </w:p>
        </w:tc>
      </w:tr>
      <w:tr>
        <w:trPr>
          <w:trHeight w:val="216"/>
        </w:trPr>
        <w:tc>
          <w:tcPr>
            <w:tcW w:w="20" w:type="dxa"/>
            <w:vAlign w:val="bottom"/>
          </w:tcPr>
          <w:p>
            <w:pPr>
              <w:spacing w:after="0"/>
              <w:rPr>
                <w:sz w:val="18"/>
                <w:szCs w:val="18"/>
                <w:color w:val="auto"/>
              </w:rPr>
            </w:pPr>
          </w:p>
        </w:tc>
        <w:tc>
          <w:tcPr>
            <w:tcW w:w="1300" w:type="dxa"/>
            <w:vAlign w:val="bottom"/>
            <w:shd w:val="clear" w:color="auto" w:fill="EAF9E8"/>
          </w:tcPr>
          <w:p>
            <w:pPr>
              <w:spacing w:after="0"/>
              <w:rPr>
                <w:sz w:val="20"/>
                <w:szCs w:val="20"/>
                <w:color w:val="auto"/>
              </w:rPr>
            </w:pPr>
            <w:r>
              <w:rPr>
                <w:rFonts w:ascii="Arial" w:cs="Arial" w:eastAsia="Arial" w:hAnsi="Arial"/>
                <w:sz w:val="18"/>
                <w:szCs w:val="18"/>
                <w:color w:val="auto"/>
              </w:rPr>
              <w:t>Real estate, net</w:t>
            </w:r>
          </w:p>
        </w:tc>
        <w:tc>
          <w:tcPr>
            <w:tcW w:w="53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tcBorders>
              <w:right w:val="single" w:sz="8" w:color="EAF9E8"/>
            </w:tcBorders>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4,682</w:t>
            </w: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8,133</w:t>
            </w:r>
          </w:p>
        </w:tc>
      </w:tr>
      <w:tr>
        <w:trPr>
          <w:trHeight w:val="223"/>
        </w:trPr>
        <w:tc>
          <w:tcPr>
            <w:tcW w:w="20" w:type="dxa"/>
            <w:vAlign w:val="bottom"/>
          </w:tcPr>
          <w:p>
            <w:pPr>
              <w:spacing w:after="0"/>
              <w:rPr>
                <w:sz w:val="19"/>
                <w:szCs w:val="19"/>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Other</w:t>
            </w:r>
          </w:p>
        </w:tc>
        <w:tc>
          <w:tcPr>
            <w:tcW w:w="5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7,388</w:t>
            </w:r>
          </w:p>
        </w:tc>
        <w:tc>
          <w:tcPr>
            <w:tcW w:w="1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1300" w:type="dxa"/>
            <w:vAlign w:val="bottom"/>
            <w:shd w:val="clear" w:color="auto" w:fill="EAF9E8"/>
          </w:tcPr>
          <w:p>
            <w:pPr>
              <w:spacing w:after="0"/>
              <w:rPr>
                <w:sz w:val="20"/>
                <w:szCs w:val="20"/>
                <w:color w:val="auto"/>
              </w:rPr>
            </w:pPr>
          </w:p>
        </w:tc>
        <w:tc>
          <w:tcPr>
            <w:tcW w:w="532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11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20"/>
                <w:szCs w:val="20"/>
                <w:color w:val="auto"/>
              </w:rPr>
            </w:pPr>
          </w:p>
        </w:tc>
        <w:tc>
          <w:tcPr>
            <w:tcW w:w="260" w:type="dxa"/>
            <w:vAlign w:val="bottom"/>
            <w:shd w:val="clear" w:color="auto" w:fill="EAF9E8"/>
          </w:tcPr>
          <w:p>
            <w:pPr>
              <w:spacing w:after="0"/>
              <w:rPr>
                <w:sz w:val="20"/>
                <w:szCs w:val="20"/>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158,282</w:t>
            </w:r>
          </w:p>
        </w:tc>
        <w:tc>
          <w:tcPr>
            <w:tcW w:w="140" w:type="dxa"/>
            <w:vAlign w:val="bottom"/>
            <w:shd w:val="clear" w:color="auto" w:fill="EAF9E8"/>
          </w:tcPr>
          <w:p>
            <w:pPr>
              <w:spacing w:after="0"/>
              <w:rPr>
                <w:sz w:val="20"/>
                <w:szCs w:val="20"/>
                <w:color w:val="auto"/>
              </w:rPr>
            </w:pPr>
          </w:p>
        </w:tc>
        <w:tc>
          <w:tcPr>
            <w:tcW w:w="2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89,636</w:t>
            </w:r>
          </w:p>
        </w:tc>
      </w:tr>
      <w:tr>
        <w:trPr>
          <w:trHeight w:val="20"/>
        </w:trPr>
        <w:tc>
          <w:tcPr>
            <w:tcW w:w="20" w:type="dxa"/>
            <w:vAlign w:val="bottom"/>
          </w:tcPr>
          <w:p>
            <w:pPr>
              <w:spacing w:after="0" w:line="20" w:lineRule="exact"/>
              <w:rPr>
                <w:sz w:val="1"/>
                <w:szCs w:val="1"/>
                <w:color w:val="auto"/>
              </w:rPr>
            </w:pPr>
          </w:p>
        </w:tc>
        <w:tc>
          <w:tcPr>
            <w:tcW w:w="1300" w:type="dxa"/>
            <w:vAlign w:val="bottom"/>
            <w:tcBorders>
              <w:top w:val="single" w:sz="8" w:color="EAF9E8"/>
            </w:tcBorders>
            <w:shd w:val="clear" w:color="auto" w:fill="EAF9E8"/>
          </w:tcPr>
          <w:p>
            <w:pPr>
              <w:spacing w:after="0" w:line="20" w:lineRule="exact"/>
              <w:rPr>
                <w:sz w:val="1"/>
                <w:szCs w:val="1"/>
                <w:color w:val="auto"/>
              </w:rPr>
            </w:pPr>
          </w:p>
        </w:tc>
        <w:tc>
          <w:tcPr>
            <w:tcW w:w="532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EAF9E8"/>
            </w:tcBorders>
            <w:shd w:val="clear" w:color="auto" w:fill="EAF9E8"/>
          </w:tcPr>
          <w:p>
            <w:pPr>
              <w:spacing w:after="0" w:line="20" w:lineRule="exact"/>
              <w:rPr>
                <w:sz w:val="1"/>
                <w:szCs w:val="1"/>
                <w:color w:val="auto"/>
              </w:rPr>
            </w:pPr>
          </w:p>
        </w:tc>
        <w:tc>
          <w:tcPr>
            <w:tcW w:w="1000" w:type="dxa"/>
            <w:vAlign w:val="bottom"/>
            <w:tcBorders>
              <w:top w:val="single" w:sz="8" w:color="EAF9E8"/>
              <w:right w:val="single" w:sz="8" w:color="auto"/>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02" w:lineRule="exact"/>
        <w:rPr>
          <w:sz w:val="20"/>
          <w:szCs w:val="20"/>
          <w:color w:val="auto"/>
        </w:rPr>
      </w:pPr>
    </w:p>
    <w:p>
      <w:pPr>
        <w:ind w:left="580" w:right="160" w:hanging="572"/>
        <w:spacing w:after="0" w:line="279" w:lineRule="auto"/>
        <w:tabs>
          <w:tab w:leader="none" w:pos="5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Under our four advance funding facilities, we are contractually required to remit collections on pledged advances to the trustee within two days of receipt. The collected funds are not applied to reduce the related match funded debt until the payment dates specified in the indenture. The balance also includes amounts that have been set aside from the proceeds of our four match funded advance facilities to provide for possible shortfalls in the funds available to pay certain expenses and interest. These funds are held in interest earning accounts.</w:t>
      </w:r>
    </w:p>
    <w:p>
      <w:pPr>
        <w:spacing w:after="0" w:line="171" w:lineRule="exact"/>
        <w:rPr>
          <w:rFonts w:ascii="Arial" w:cs="Arial" w:eastAsia="Arial" w:hAnsi="Arial"/>
          <w:sz w:val="17"/>
          <w:szCs w:val="17"/>
          <w:color w:val="auto"/>
        </w:rPr>
      </w:pPr>
    </w:p>
    <w:p>
      <w:pPr>
        <w:ind w:left="580" w:hanging="572"/>
        <w:spacing w:after="0"/>
        <w:tabs>
          <w:tab w:leader="none" w:pos="5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balance at December 31, 2010 includes $18,684 of cash collateral held by the counterparties to certain of our interest rate swap agreements.</w:t>
      </w:r>
    </w:p>
    <w:p>
      <w:pPr>
        <w:spacing w:after="0" w:line="248" w:lineRule="exact"/>
        <w:rPr>
          <w:rFonts w:ascii="Arial" w:cs="Arial" w:eastAsia="Arial" w:hAnsi="Arial"/>
          <w:sz w:val="16"/>
          <w:szCs w:val="16"/>
          <w:color w:val="auto"/>
        </w:rPr>
      </w:pPr>
    </w:p>
    <w:p>
      <w:pPr>
        <w:ind w:left="580" w:right="160" w:hanging="572"/>
        <w:spacing w:after="0" w:line="342" w:lineRule="auto"/>
        <w:tabs>
          <w:tab w:leader="none" w:pos="5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Costs at December 31, 2010 relate to match funded liabilities and other secured borrowings of the Servicing segment, including the $350,000 senior secured term loan facility. We amortize these costs to the earlier of the scheduled amortization date or the contractual maturity date of the debt.</w:t>
      </w:r>
    </w:p>
    <w:p>
      <w:pPr>
        <w:spacing w:after="0" w:line="123" w:lineRule="exact"/>
        <w:rPr>
          <w:rFonts w:ascii="Arial" w:cs="Arial" w:eastAsia="Arial" w:hAnsi="Arial"/>
          <w:sz w:val="16"/>
          <w:szCs w:val="16"/>
          <w:color w:val="auto"/>
        </w:rPr>
      </w:pPr>
    </w:p>
    <w:p>
      <w:pPr>
        <w:ind w:left="580" w:right="140" w:hanging="572"/>
        <w:spacing w:after="0" w:line="276" w:lineRule="auto"/>
        <w:tabs>
          <w:tab w:leader="none" w:pos="5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 March 2009, we issued a $7,000 note receivable, maturing on April 1, 2014, in connection with advances funded by the Ocwen Servicer Advance Funding, LLC (OSAF) term note pledged as collateral, as described in Note 16. We receive 1-Month LIBOR plus 300 basis points (bps) under the terms of this note receivable. Under the terms of the note, repayments of $1,400 per year are required beginning April 1, 2010. We received the first payment of $1,400 on the due date of April 1, 2010. We are obligated to pay 1-Month LIBOR plus 350 bps under the terms of a five-year note payable to the same counterparty. We do not have a contractual right to offset these payments.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3" w:name="page94"/>
    <w:bookmarkEnd w:id="93"/>
    <w:p>
      <w:pPr>
        <w:spacing w:after="0"/>
        <w:tabs>
          <w:tab w:leader="none" w:pos="136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8"/>
          <w:szCs w:val="18"/>
          <w:b w:val="1"/>
          <w:bCs w:val="1"/>
          <w:color w:val="auto"/>
        </w:rPr>
        <w:t>MATCH FUNDED LIABILITIES</w:t>
      </w:r>
    </w:p>
    <w:p>
      <w:pPr>
        <w:spacing w:after="0" w:line="229" w:lineRule="exact"/>
        <w:rPr>
          <w:sz w:val="20"/>
          <w:szCs w:val="20"/>
          <w:color w:val="auto"/>
        </w:rPr>
      </w:pPr>
    </w:p>
    <w:p>
      <w:pPr>
        <w:ind w:right="200" w:firstLine="666"/>
        <w:spacing w:after="0" w:line="277" w:lineRule="auto"/>
        <w:rPr>
          <w:sz w:val="20"/>
          <w:szCs w:val="20"/>
          <w:color w:val="auto"/>
        </w:rPr>
      </w:pPr>
      <w:r>
        <w:rPr>
          <w:rFonts w:ascii="Arial" w:cs="Arial" w:eastAsia="Arial" w:hAnsi="Arial"/>
          <w:sz w:val="18"/>
          <w:szCs w:val="18"/>
          <w:color w:val="auto"/>
        </w:rPr>
        <w:t>Match funded liabilities, as more fully described in Note 1—Principles of Consolidation – Match Funded Advances on Loans Serviced for Others, are comprised of the following at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Unused</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62"/>
              <w:spacing w:after="0"/>
              <w:rPr>
                <w:sz w:val="20"/>
                <w:szCs w:val="20"/>
                <w:color w:val="auto"/>
              </w:rPr>
            </w:pPr>
            <w:r>
              <w:rPr>
                <w:rFonts w:ascii="Arial" w:cs="Arial" w:eastAsia="Arial" w:hAnsi="Arial"/>
                <w:sz w:val="14"/>
                <w:szCs w:val="14"/>
                <w:b w:val="1"/>
                <w:bCs w:val="1"/>
                <w:color w:val="auto"/>
              </w:rPr>
              <w:t>Balance Outstanding</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20" w:type="dxa"/>
            <w:vAlign w:val="bottom"/>
            <w:vMerge w:val="restart"/>
          </w:tcPr>
          <w:p>
            <w:pPr>
              <w:jc w:val="right"/>
              <w:ind w:right="748"/>
              <w:spacing w:after="0"/>
              <w:rPr>
                <w:sz w:val="20"/>
                <w:szCs w:val="20"/>
                <w:color w:val="auto"/>
              </w:rPr>
            </w:pPr>
            <w:r>
              <w:rPr>
                <w:rFonts w:ascii="Arial" w:cs="Arial" w:eastAsia="Arial" w:hAnsi="Arial"/>
                <w:sz w:val="14"/>
                <w:szCs w:val="14"/>
                <w:b w:val="1"/>
                <w:bCs w:val="1"/>
                <w:color w:val="auto"/>
              </w:rPr>
              <w:t>Borrowing Type</w:t>
            </w:r>
          </w:p>
        </w:tc>
        <w:tc>
          <w:tcPr>
            <w:tcW w:w="240" w:type="dxa"/>
            <w:vAlign w:val="bottom"/>
          </w:tcPr>
          <w:p>
            <w:pPr>
              <w:spacing w:after="0"/>
              <w:rPr>
                <w:sz w:val="10"/>
                <w:szCs w:val="10"/>
                <w:color w:val="auto"/>
              </w:rPr>
            </w:pPr>
          </w:p>
        </w:tc>
        <w:tc>
          <w:tcPr>
            <w:tcW w:w="12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Interest Rate</w:t>
            </w:r>
          </w:p>
        </w:tc>
        <w:tc>
          <w:tcPr>
            <w:tcW w:w="240" w:type="dxa"/>
            <w:vAlign w:val="bottom"/>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 (1)</w:t>
            </w:r>
          </w:p>
        </w:tc>
        <w:tc>
          <w:tcPr>
            <w:tcW w:w="220" w:type="dxa"/>
            <w:vAlign w:val="bottom"/>
          </w:tcPr>
          <w:p>
            <w:pPr>
              <w:spacing w:after="0"/>
              <w:rPr>
                <w:sz w:val="10"/>
                <w:szCs w:val="10"/>
                <w:color w:val="auto"/>
              </w:rPr>
            </w:pPr>
          </w:p>
        </w:tc>
        <w:tc>
          <w:tcPr>
            <w:tcW w:w="126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5"/>
              </w:rPr>
              <w:t>Amortization Date</w:t>
            </w:r>
          </w:p>
        </w:tc>
        <w:tc>
          <w:tcPr>
            <w:tcW w:w="240" w:type="dxa"/>
            <w:vAlign w:val="bottom"/>
          </w:tcPr>
          <w:p>
            <w:pPr>
              <w:spacing w:after="0"/>
              <w:rPr>
                <w:sz w:val="10"/>
                <w:szCs w:val="10"/>
                <w:color w:val="auto"/>
              </w:rPr>
            </w:pPr>
          </w:p>
        </w:tc>
        <w:tc>
          <w:tcPr>
            <w:tcW w:w="136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Borrowing Capacity</w:t>
            </w:r>
          </w:p>
        </w:tc>
        <w:tc>
          <w:tcPr>
            <w:tcW w:w="100" w:type="dxa"/>
            <w:vAlign w:val="bottom"/>
          </w:tcPr>
          <w:p>
            <w:pPr>
              <w:spacing w:after="0"/>
              <w:rPr>
                <w:sz w:val="10"/>
                <w:szCs w:val="10"/>
                <w:color w:val="auto"/>
              </w:rPr>
            </w:pPr>
          </w:p>
        </w:tc>
        <w:tc>
          <w:tcPr>
            <w:tcW w:w="148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3"/>
              </w:rPr>
              <w:t>December 31, 2010</w:t>
            </w:r>
          </w:p>
        </w:tc>
        <w:tc>
          <w:tcPr>
            <w:tcW w:w="13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3"/>
              </w:rPr>
              <w:t>December 31, 2009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48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w w:val="93"/>
              </w:rPr>
              <w:t>(1)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468"/>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tcBorders>
              <w:top w:val="single" w:sz="8" w:color="auto"/>
            </w:tcBorders>
            <w:shd w:val="clear" w:color="auto" w:fill="EAF9E8"/>
          </w:tcPr>
          <w:p>
            <w:pPr>
              <w:spacing w:after="0" w:line="130" w:lineRule="exact"/>
              <w:rPr>
                <w:sz w:val="20"/>
                <w:szCs w:val="20"/>
                <w:color w:val="auto"/>
              </w:rPr>
            </w:pPr>
            <w:r>
              <w:rPr>
                <w:rFonts w:ascii="Arial" w:cs="Arial" w:eastAsia="Arial" w:hAnsi="Arial"/>
                <w:sz w:val="14"/>
                <w:szCs w:val="14"/>
                <w:color w:val="auto"/>
              </w:rPr>
              <w:t>Advance Receivable Backed Note Series</w:t>
            </w:r>
          </w:p>
        </w:tc>
        <w:tc>
          <w:tcPr>
            <w:tcW w:w="240" w:type="dxa"/>
            <w:vAlign w:val="bottom"/>
            <w:shd w:val="clear" w:color="auto" w:fill="EAF9E8"/>
          </w:tcPr>
          <w:p>
            <w:pPr>
              <w:spacing w:after="0"/>
              <w:rPr>
                <w:sz w:val="11"/>
                <w:szCs w:val="11"/>
                <w:color w:val="auto"/>
              </w:rPr>
            </w:pPr>
          </w:p>
        </w:tc>
        <w:tc>
          <w:tcPr>
            <w:tcW w:w="1240" w:type="dxa"/>
            <w:vAlign w:val="bottom"/>
            <w:tcBorders>
              <w:top w:val="single" w:sz="8" w:color="auto"/>
            </w:tcBorders>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104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260" w:type="dxa"/>
            <w:vAlign w:val="bottom"/>
            <w:tcBorders>
              <w:top w:val="single" w:sz="8" w:color="auto"/>
            </w:tcBorders>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220" w:type="dxa"/>
            <w:vAlign w:val="bottom"/>
            <w:tcBorders>
              <w:top w:val="single" w:sz="8" w:color="auto"/>
            </w:tcBorders>
            <w:shd w:val="clear" w:color="auto" w:fill="EAF9E8"/>
          </w:tcPr>
          <w:p>
            <w:pPr>
              <w:spacing w:after="0"/>
              <w:rPr>
                <w:sz w:val="11"/>
                <w:szCs w:val="11"/>
                <w:color w:val="auto"/>
              </w:rPr>
            </w:pPr>
          </w:p>
        </w:tc>
        <w:tc>
          <w:tcPr>
            <w:tcW w:w="1020" w:type="dxa"/>
            <w:vAlign w:val="bottom"/>
            <w:tcBorders>
              <w:top w:val="single" w:sz="8" w:color="auto"/>
            </w:tcBorders>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380" w:type="dxa"/>
            <w:vAlign w:val="bottom"/>
            <w:tcBorders>
              <w:top w:val="single" w:sz="8" w:color="auto"/>
            </w:tcBorders>
            <w:shd w:val="clear" w:color="auto" w:fill="EAF9E8"/>
          </w:tcPr>
          <w:p>
            <w:pPr>
              <w:spacing w:after="0"/>
              <w:rPr>
                <w:sz w:val="11"/>
                <w:szCs w:val="11"/>
                <w:color w:val="auto"/>
              </w:rPr>
            </w:pPr>
          </w:p>
        </w:tc>
        <w:tc>
          <w:tcPr>
            <w:tcW w:w="860" w:type="dxa"/>
            <w:vAlign w:val="bottom"/>
            <w:tcBorders>
              <w:top w:val="single" w:sz="8" w:color="auto"/>
            </w:tcBorders>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640" w:type="dxa"/>
            <w:vAlign w:val="bottom"/>
            <w:tcBorders>
              <w:top w:val="single" w:sz="8" w:color="auto"/>
            </w:tcBorders>
            <w:shd w:val="clear" w:color="auto" w:fill="EAF9E8"/>
          </w:tcPr>
          <w:p>
            <w:pPr>
              <w:spacing w:after="0"/>
              <w:rPr>
                <w:sz w:val="11"/>
                <w:szCs w:val="11"/>
                <w:color w:val="auto"/>
              </w:rPr>
            </w:pPr>
          </w:p>
        </w:tc>
        <w:tc>
          <w:tcPr>
            <w:tcW w:w="600" w:type="dxa"/>
            <w:vAlign w:val="bottom"/>
            <w:tcBorders>
              <w:top w:val="single" w:sz="8" w:color="auto"/>
            </w:tcBorders>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shd w:val="clear" w:color="auto" w:fill="EAF9E8"/>
          </w:tcPr>
          <w:p>
            <w:pPr>
              <w:jc w:val="right"/>
              <w:ind w:right="1788"/>
              <w:spacing w:after="0"/>
              <w:rPr>
                <w:sz w:val="20"/>
                <w:szCs w:val="20"/>
                <w:color w:val="auto"/>
              </w:rPr>
            </w:pPr>
            <w:r>
              <w:rPr>
                <w:rFonts w:ascii="Arial" w:cs="Arial" w:eastAsia="Arial" w:hAnsi="Arial"/>
                <w:sz w:val="14"/>
                <w:szCs w:val="14"/>
                <w:color w:val="auto"/>
              </w:rPr>
              <w:t>2009-3 (3)</w:t>
            </w:r>
          </w:p>
        </w:tc>
        <w:tc>
          <w:tcPr>
            <w:tcW w:w="1480" w:type="dxa"/>
            <w:vAlign w:val="bottom"/>
            <w:gridSpan w:val="2"/>
            <w:shd w:val="clear" w:color="auto" w:fill="EAF9E8"/>
          </w:tcPr>
          <w:p>
            <w:pPr>
              <w:ind w:left="240"/>
              <w:spacing w:after="0"/>
              <w:rPr>
                <w:sz w:val="20"/>
                <w:szCs w:val="20"/>
                <w:color w:val="auto"/>
              </w:rPr>
            </w:pPr>
            <w:r>
              <w:rPr>
                <w:rFonts w:ascii="Arial" w:cs="Arial" w:eastAsia="Arial" w:hAnsi="Arial"/>
                <w:sz w:val="14"/>
                <w:szCs w:val="14"/>
                <w:color w:val="auto"/>
              </w:rPr>
              <w:t>4.14%</w:t>
            </w:r>
          </w:p>
        </w:tc>
        <w:tc>
          <w:tcPr>
            <w:tcW w:w="240" w:type="dxa"/>
            <w:vAlign w:val="bottom"/>
            <w:shd w:val="clear" w:color="auto" w:fill="EAF9E8"/>
          </w:tcPr>
          <w:p>
            <w:pPr>
              <w:spacing w:after="0"/>
              <w:rPr>
                <w:sz w:val="14"/>
                <w:szCs w:val="14"/>
                <w:color w:val="auto"/>
              </w:rPr>
            </w:pPr>
          </w:p>
        </w:tc>
        <w:tc>
          <w:tcPr>
            <w:tcW w:w="104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1"/>
              </w:rPr>
              <w:t>Jul. 2023</w:t>
            </w:r>
          </w:p>
        </w:tc>
        <w:tc>
          <w:tcPr>
            <w:tcW w:w="220" w:type="dxa"/>
            <w:vAlign w:val="bottom"/>
            <w:shd w:val="clear" w:color="auto" w:fill="EAF9E8"/>
          </w:tcPr>
          <w:p>
            <w:pPr>
              <w:spacing w:after="0"/>
              <w:rPr>
                <w:sz w:val="14"/>
                <w:szCs w:val="14"/>
                <w:color w:val="auto"/>
              </w:rPr>
            </w:pPr>
          </w:p>
        </w:tc>
        <w:tc>
          <w:tcPr>
            <w:tcW w:w="126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1"/>
              </w:rPr>
              <w:t>Jul. 2012</w:t>
            </w:r>
          </w:p>
        </w:tc>
        <w:tc>
          <w:tcPr>
            <w:tcW w:w="460" w:type="dxa"/>
            <w:vAlign w:val="bottom"/>
            <w:gridSpan w:val="2"/>
            <w:shd w:val="clear" w:color="auto" w:fill="EAF9E8"/>
          </w:tcPr>
          <w:p>
            <w:pPr>
              <w:ind w:left="24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EAF9E8"/>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210,000</w:t>
            </w:r>
          </w:p>
        </w:tc>
        <w:tc>
          <w:tcPr>
            <w:tcW w:w="640" w:type="dxa"/>
            <w:vAlign w:val="bottom"/>
            <w:shd w:val="clear" w:color="auto" w:fill="EAF9E8"/>
          </w:tcPr>
          <w:p>
            <w:pPr>
              <w:jc w:val="right"/>
              <w:ind w:right="522"/>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210,000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tcPr>
          <w:p>
            <w:pPr>
              <w:spacing w:after="0" w:line="130" w:lineRule="exact"/>
              <w:rPr>
                <w:sz w:val="20"/>
                <w:szCs w:val="20"/>
                <w:color w:val="auto"/>
              </w:rPr>
            </w:pPr>
            <w:r>
              <w:rPr>
                <w:rFonts w:ascii="Arial" w:cs="Arial" w:eastAsia="Arial" w:hAnsi="Arial"/>
                <w:sz w:val="14"/>
                <w:szCs w:val="14"/>
                <w:color w:val="auto"/>
              </w:rPr>
              <w:t>Variable Funding Note Series 2009-2 (4)</w:t>
            </w:r>
          </w:p>
        </w:tc>
        <w:tc>
          <w:tcPr>
            <w:tcW w:w="240" w:type="dxa"/>
            <w:vAlign w:val="bottom"/>
          </w:tcPr>
          <w:p>
            <w:pPr>
              <w:spacing w:after="0"/>
              <w:rPr>
                <w:sz w:val="11"/>
                <w:szCs w:val="11"/>
                <w:color w:val="auto"/>
              </w:rPr>
            </w:pPr>
          </w:p>
        </w:tc>
        <w:tc>
          <w:tcPr>
            <w:tcW w:w="1240" w:type="dxa"/>
            <w:vAlign w:val="bottom"/>
          </w:tcPr>
          <w:p>
            <w:pPr>
              <w:spacing w:after="0" w:line="130" w:lineRule="exact"/>
              <w:rPr>
                <w:sz w:val="20"/>
                <w:szCs w:val="20"/>
                <w:color w:val="auto"/>
              </w:rPr>
            </w:pPr>
            <w:r>
              <w:rPr>
                <w:rFonts w:ascii="Arial" w:cs="Arial" w:eastAsia="Arial" w:hAnsi="Arial"/>
                <w:sz w:val="14"/>
                <w:szCs w:val="14"/>
                <w:color w:val="auto"/>
              </w:rPr>
              <w:t>1-Month LIBOR +</w:t>
            </w: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350 bps</w:t>
            </w:r>
          </w:p>
        </w:tc>
        <w:tc>
          <w:tcPr>
            <w:tcW w:w="2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Nov. 2023</w:t>
            </w:r>
          </w:p>
        </w:tc>
        <w:tc>
          <w:tcPr>
            <w:tcW w:w="2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3"/>
              </w:rPr>
              <w:t>Nov. 2012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88,000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rPr>
              <w:t>Variable Funding Note Series 2009-1 (5)</w:t>
            </w:r>
          </w:p>
        </w:tc>
        <w:tc>
          <w:tcPr>
            <w:tcW w:w="240" w:type="dxa"/>
            <w:vAlign w:val="bottom"/>
            <w:shd w:val="clear" w:color="auto" w:fill="EAF9E8"/>
          </w:tcPr>
          <w:p>
            <w:pPr>
              <w:spacing w:after="0"/>
              <w:rPr>
                <w:sz w:val="11"/>
                <w:szCs w:val="11"/>
                <w:color w:val="auto"/>
              </w:rPr>
            </w:pPr>
          </w:p>
        </w:tc>
        <w:tc>
          <w:tcPr>
            <w:tcW w:w="124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rPr>
              <w:t>Commercial paper</w:t>
            </w:r>
          </w:p>
        </w:tc>
        <w:tc>
          <w:tcPr>
            <w:tcW w:w="240" w:type="dxa"/>
            <w:vAlign w:val="bottom"/>
            <w:shd w:val="clear" w:color="auto" w:fill="EAF9E8"/>
          </w:tcPr>
          <w:p>
            <w:pPr>
              <w:spacing w:after="0"/>
              <w:rPr>
                <w:sz w:val="11"/>
                <w:szCs w:val="11"/>
                <w:color w:val="auto"/>
              </w:rPr>
            </w:pPr>
          </w:p>
        </w:tc>
        <w:tc>
          <w:tcPr>
            <w:tcW w:w="104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26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380" w:type="dxa"/>
            <w:vAlign w:val="bottom"/>
            <w:shd w:val="clear" w:color="auto" w:fill="EAF9E8"/>
          </w:tcPr>
          <w:p>
            <w:pPr>
              <w:spacing w:after="0"/>
              <w:rPr>
                <w:sz w:val="11"/>
                <w:szCs w:val="11"/>
                <w:color w:val="auto"/>
              </w:rPr>
            </w:pPr>
          </w:p>
        </w:tc>
        <w:tc>
          <w:tcPr>
            <w:tcW w:w="86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640" w:type="dxa"/>
            <w:vAlign w:val="bottom"/>
            <w:shd w:val="clear" w:color="auto" w:fill="EAF9E8"/>
          </w:tcPr>
          <w:p>
            <w:pPr>
              <w:spacing w:after="0"/>
              <w:rPr>
                <w:sz w:val="11"/>
                <w:szCs w:val="11"/>
                <w:color w:val="auto"/>
              </w:rPr>
            </w:pPr>
          </w:p>
        </w:tc>
        <w:tc>
          <w:tcPr>
            <w:tcW w:w="6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shd w:val="clear" w:color="auto" w:fill="EAF9E8"/>
          </w:tcPr>
          <w:p>
            <w:pPr>
              <w:spacing w:after="0"/>
              <w:rPr>
                <w:sz w:val="14"/>
                <w:szCs w:val="14"/>
                <w:color w:val="auto"/>
              </w:rPr>
            </w:pPr>
          </w:p>
        </w:tc>
        <w:tc>
          <w:tcPr>
            <w:tcW w:w="240" w:type="dxa"/>
            <w:vAlign w:val="bottom"/>
            <w:shd w:val="clear" w:color="auto" w:fill="EAF9E8"/>
          </w:tcPr>
          <w:p>
            <w:pPr>
              <w:spacing w:after="0"/>
              <w:rPr>
                <w:sz w:val="14"/>
                <w:szCs w:val="14"/>
                <w:color w:val="auto"/>
              </w:rPr>
            </w:pPr>
          </w:p>
        </w:tc>
        <w:tc>
          <w:tcPr>
            <w:tcW w:w="1240" w:type="dxa"/>
            <w:vAlign w:val="bottom"/>
            <w:shd w:val="clear" w:color="auto" w:fill="EAF9E8"/>
          </w:tcPr>
          <w:p>
            <w:pPr>
              <w:spacing w:after="0"/>
              <w:rPr>
                <w:sz w:val="20"/>
                <w:szCs w:val="20"/>
                <w:color w:val="auto"/>
              </w:rPr>
            </w:pPr>
            <w:r>
              <w:rPr>
                <w:rFonts w:ascii="Arial" w:cs="Arial" w:eastAsia="Arial" w:hAnsi="Arial"/>
                <w:sz w:val="14"/>
                <w:szCs w:val="14"/>
                <w:color w:val="auto"/>
              </w:rPr>
              <w:t>rate + 200 bps</w:t>
            </w:r>
          </w:p>
        </w:tc>
        <w:tc>
          <w:tcPr>
            <w:tcW w:w="240" w:type="dxa"/>
            <w:vAlign w:val="bottom"/>
            <w:shd w:val="clear" w:color="auto" w:fill="EAF9E8"/>
          </w:tcPr>
          <w:p>
            <w:pPr>
              <w:spacing w:after="0"/>
              <w:rPr>
                <w:sz w:val="14"/>
                <w:szCs w:val="14"/>
                <w:color w:val="auto"/>
              </w:rPr>
            </w:pPr>
          </w:p>
        </w:tc>
        <w:tc>
          <w:tcPr>
            <w:tcW w:w="104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1"/>
              </w:rPr>
              <w:t>Feb. 2022</w:t>
            </w:r>
          </w:p>
        </w:tc>
        <w:tc>
          <w:tcPr>
            <w:tcW w:w="220" w:type="dxa"/>
            <w:vAlign w:val="bottom"/>
            <w:shd w:val="clear" w:color="auto" w:fill="EAF9E8"/>
          </w:tcPr>
          <w:p>
            <w:pPr>
              <w:spacing w:after="0"/>
              <w:rPr>
                <w:sz w:val="14"/>
                <w:szCs w:val="14"/>
                <w:color w:val="auto"/>
              </w:rPr>
            </w:pPr>
          </w:p>
        </w:tc>
        <w:tc>
          <w:tcPr>
            <w:tcW w:w="126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1"/>
              </w:rPr>
              <w:t>Feb. 2011</w:t>
            </w:r>
          </w:p>
        </w:tc>
        <w:tc>
          <w:tcPr>
            <w:tcW w:w="24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11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298,905</w:t>
            </w:r>
          </w:p>
        </w:tc>
        <w:tc>
          <w:tcPr>
            <w:tcW w:w="100" w:type="dxa"/>
            <w:vAlign w:val="bottom"/>
            <w:shd w:val="clear" w:color="auto" w:fill="EAF9E8"/>
          </w:tcPr>
          <w:p>
            <w:pPr>
              <w:spacing w:after="0"/>
              <w:rPr>
                <w:sz w:val="14"/>
                <w:szCs w:val="14"/>
                <w:color w:val="auto"/>
              </w:rPr>
            </w:pPr>
          </w:p>
        </w:tc>
        <w:tc>
          <w:tcPr>
            <w:tcW w:w="380" w:type="dxa"/>
            <w:vAlign w:val="bottom"/>
            <w:shd w:val="clear" w:color="auto" w:fill="EAF9E8"/>
          </w:tcPr>
          <w:p>
            <w:pPr>
              <w:spacing w:after="0"/>
              <w:rPr>
                <w:sz w:val="14"/>
                <w:szCs w:val="14"/>
                <w:color w:val="auto"/>
              </w:rPr>
            </w:pPr>
          </w:p>
        </w:tc>
        <w:tc>
          <w:tcPr>
            <w:tcW w:w="1100" w:type="dxa"/>
            <w:vAlign w:val="bottom"/>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1,095</w:t>
            </w:r>
          </w:p>
        </w:tc>
        <w:tc>
          <w:tcPr>
            <w:tcW w:w="640" w:type="dxa"/>
            <w:vAlign w:val="bottom"/>
            <w:shd w:val="clear" w:color="auto" w:fill="EAF9E8"/>
          </w:tcPr>
          <w:p>
            <w:pPr>
              <w:spacing w:after="0"/>
              <w:rPr>
                <w:sz w:val="14"/>
                <w:szCs w:val="14"/>
                <w:color w:val="auto"/>
              </w:rPr>
            </w:pPr>
          </w:p>
        </w:tc>
        <w:tc>
          <w:tcPr>
            <w:tcW w:w="72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tcPr>
          <w:p>
            <w:pPr>
              <w:spacing w:after="0" w:line="130" w:lineRule="exact"/>
              <w:rPr>
                <w:sz w:val="20"/>
                <w:szCs w:val="20"/>
                <w:color w:val="auto"/>
              </w:rPr>
            </w:pPr>
            <w:r>
              <w:rPr>
                <w:rFonts w:ascii="Arial" w:cs="Arial" w:eastAsia="Arial" w:hAnsi="Arial"/>
                <w:sz w:val="14"/>
                <w:szCs w:val="14"/>
                <w:color w:val="auto"/>
              </w:rPr>
              <w:t>Advance Receivable Backed Note Series</w:t>
            </w: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40" w:type="dxa"/>
            <w:vAlign w:val="bottom"/>
            <w:gridSpan w:val="2"/>
          </w:tcPr>
          <w:p>
            <w:pPr>
              <w:jc w:val="right"/>
              <w:ind w:right="1788"/>
              <w:spacing w:after="0"/>
              <w:rPr>
                <w:sz w:val="20"/>
                <w:szCs w:val="20"/>
                <w:color w:val="auto"/>
              </w:rPr>
            </w:pPr>
            <w:r>
              <w:rPr>
                <w:rFonts w:ascii="Arial" w:cs="Arial" w:eastAsia="Arial" w:hAnsi="Arial"/>
                <w:sz w:val="14"/>
                <w:szCs w:val="14"/>
                <w:color w:val="auto"/>
              </w:rPr>
              <w:t>2010-1 (3)</w:t>
            </w:r>
          </w:p>
        </w:tc>
        <w:tc>
          <w:tcPr>
            <w:tcW w:w="1480" w:type="dxa"/>
            <w:vAlign w:val="bottom"/>
            <w:gridSpan w:val="2"/>
          </w:tcPr>
          <w:p>
            <w:pPr>
              <w:ind w:left="240"/>
              <w:spacing w:after="0"/>
              <w:rPr>
                <w:sz w:val="20"/>
                <w:szCs w:val="20"/>
                <w:color w:val="auto"/>
              </w:rPr>
            </w:pPr>
            <w:r>
              <w:rPr>
                <w:rFonts w:ascii="Arial" w:cs="Arial" w:eastAsia="Arial" w:hAnsi="Arial"/>
                <w:sz w:val="14"/>
                <w:szCs w:val="14"/>
                <w:color w:val="auto"/>
              </w:rPr>
              <w:t>3.59%</w:t>
            </w:r>
          </w:p>
        </w:tc>
        <w:tc>
          <w:tcPr>
            <w:tcW w:w="2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Sep. 2023</w:t>
            </w:r>
          </w:p>
        </w:tc>
        <w:tc>
          <w:tcPr>
            <w:tcW w:w="2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1"/>
              </w:rPr>
              <w:t>Feb. 2011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200,000</w:t>
            </w:r>
          </w:p>
        </w:tc>
        <w:tc>
          <w:tcPr>
            <w:tcW w:w="64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rPr>
              <w:t>Class A-1 Term Note (6)</w:t>
            </w:r>
          </w:p>
        </w:tc>
        <w:tc>
          <w:tcPr>
            <w:tcW w:w="240" w:type="dxa"/>
            <w:vAlign w:val="bottom"/>
            <w:shd w:val="clear" w:color="auto" w:fill="EAF9E8"/>
          </w:tcPr>
          <w:p>
            <w:pPr>
              <w:spacing w:after="0"/>
              <w:rPr>
                <w:sz w:val="11"/>
                <w:szCs w:val="11"/>
                <w:color w:val="auto"/>
              </w:rPr>
            </w:pPr>
          </w:p>
        </w:tc>
        <w:tc>
          <w:tcPr>
            <w:tcW w:w="124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rPr>
              <w:t>Commercial paper</w:t>
            </w:r>
          </w:p>
        </w:tc>
        <w:tc>
          <w:tcPr>
            <w:tcW w:w="240" w:type="dxa"/>
            <w:vAlign w:val="bottom"/>
            <w:shd w:val="clear" w:color="auto" w:fill="EAF9E8"/>
          </w:tcPr>
          <w:p>
            <w:pPr>
              <w:spacing w:after="0"/>
              <w:rPr>
                <w:sz w:val="11"/>
                <w:szCs w:val="11"/>
                <w:color w:val="auto"/>
              </w:rPr>
            </w:pPr>
          </w:p>
        </w:tc>
        <w:tc>
          <w:tcPr>
            <w:tcW w:w="104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26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380" w:type="dxa"/>
            <w:vAlign w:val="bottom"/>
            <w:shd w:val="clear" w:color="auto" w:fill="EAF9E8"/>
          </w:tcPr>
          <w:p>
            <w:pPr>
              <w:spacing w:after="0"/>
              <w:rPr>
                <w:sz w:val="11"/>
                <w:szCs w:val="11"/>
                <w:color w:val="auto"/>
              </w:rPr>
            </w:pPr>
          </w:p>
        </w:tc>
        <w:tc>
          <w:tcPr>
            <w:tcW w:w="86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640" w:type="dxa"/>
            <w:vAlign w:val="bottom"/>
            <w:shd w:val="clear" w:color="auto" w:fill="EAF9E8"/>
          </w:tcPr>
          <w:p>
            <w:pPr>
              <w:spacing w:after="0"/>
              <w:rPr>
                <w:sz w:val="11"/>
                <w:szCs w:val="11"/>
                <w:color w:val="auto"/>
              </w:rPr>
            </w:pPr>
          </w:p>
        </w:tc>
        <w:tc>
          <w:tcPr>
            <w:tcW w:w="6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shd w:val="clear" w:color="auto" w:fill="EAF9E8"/>
          </w:tcPr>
          <w:p>
            <w:pPr>
              <w:spacing w:after="0"/>
              <w:rPr>
                <w:sz w:val="14"/>
                <w:szCs w:val="14"/>
                <w:color w:val="auto"/>
              </w:rPr>
            </w:pPr>
          </w:p>
        </w:tc>
        <w:tc>
          <w:tcPr>
            <w:tcW w:w="240" w:type="dxa"/>
            <w:vAlign w:val="bottom"/>
            <w:shd w:val="clear" w:color="auto" w:fill="EAF9E8"/>
          </w:tcPr>
          <w:p>
            <w:pPr>
              <w:spacing w:after="0"/>
              <w:rPr>
                <w:sz w:val="14"/>
                <w:szCs w:val="14"/>
                <w:color w:val="auto"/>
              </w:rPr>
            </w:pPr>
          </w:p>
        </w:tc>
        <w:tc>
          <w:tcPr>
            <w:tcW w:w="1240" w:type="dxa"/>
            <w:vAlign w:val="bottom"/>
            <w:shd w:val="clear" w:color="auto" w:fill="EAF9E8"/>
          </w:tcPr>
          <w:p>
            <w:pPr>
              <w:spacing w:after="0"/>
              <w:rPr>
                <w:sz w:val="20"/>
                <w:szCs w:val="20"/>
                <w:color w:val="auto"/>
              </w:rPr>
            </w:pPr>
            <w:r>
              <w:rPr>
                <w:rFonts w:ascii="Arial" w:cs="Arial" w:eastAsia="Arial" w:hAnsi="Arial"/>
                <w:sz w:val="14"/>
                <w:szCs w:val="14"/>
                <w:color w:val="auto"/>
              </w:rPr>
              <w:t>rate + 350 bps</w:t>
            </w:r>
          </w:p>
        </w:tc>
        <w:tc>
          <w:tcPr>
            <w:tcW w:w="240" w:type="dxa"/>
            <w:vAlign w:val="bottom"/>
            <w:shd w:val="clear" w:color="auto" w:fill="EAF9E8"/>
          </w:tcPr>
          <w:p>
            <w:pPr>
              <w:spacing w:after="0"/>
              <w:rPr>
                <w:sz w:val="14"/>
                <w:szCs w:val="14"/>
                <w:color w:val="auto"/>
              </w:rPr>
            </w:pPr>
          </w:p>
        </w:tc>
        <w:tc>
          <w:tcPr>
            <w:tcW w:w="104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3"/>
              </w:rPr>
              <w:t>Aug. 2043</w:t>
            </w:r>
          </w:p>
        </w:tc>
        <w:tc>
          <w:tcPr>
            <w:tcW w:w="220" w:type="dxa"/>
            <w:vAlign w:val="bottom"/>
            <w:shd w:val="clear" w:color="auto" w:fill="EAF9E8"/>
          </w:tcPr>
          <w:p>
            <w:pPr>
              <w:spacing w:after="0"/>
              <w:rPr>
                <w:sz w:val="14"/>
                <w:szCs w:val="14"/>
                <w:color w:val="auto"/>
              </w:rPr>
            </w:pPr>
          </w:p>
        </w:tc>
        <w:tc>
          <w:tcPr>
            <w:tcW w:w="126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3"/>
              </w:rPr>
              <w:t>Aug. 2013</w:t>
            </w:r>
          </w:p>
        </w:tc>
        <w:tc>
          <w:tcPr>
            <w:tcW w:w="24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11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4"/>
                <w:szCs w:val="14"/>
                <w:color w:val="auto"/>
              </w:rPr>
            </w:pPr>
          </w:p>
        </w:tc>
        <w:tc>
          <w:tcPr>
            <w:tcW w:w="380" w:type="dxa"/>
            <w:vAlign w:val="bottom"/>
            <w:shd w:val="clear" w:color="auto" w:fill="EAF9E8"/>
          </w:tcPr>
          <w:p>
            <w:pPr>
              <w:spacing w:after="0"/>
              <w:rPr>
                <w:sz w:val="14"/>
                <w:szCs w:val="14"/>
                <w:color w:val="auto"/>
              </w:rPr>
            </w:pPr>
          </w:p>
        </w:tc>
        <w:tc>
          <w:tcPr>
            <w:tcW w:w="1100" w:type="dxa"/>
            <w:vAlign w:val="bottom"/>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721,000</w:t>
            </w:r>
          </w:p>
        </w:tc>
        <w:tc>
          <w:tcPr>
            <w:tcW w:w="640" w:type="dxa"/>
            <w:vAlign w:val="bottom"/>
            <w:shd w:val="clear" w:color="auto" w:fill="EAF9E8"/>
          </w:tcPr>
          <w:p>
            <w:pPr>
              <w:spacing w:after="0"/>
              <w:rPr>
                <w:sz w:val="14"/>
                <w:szCs w:val="14"/>
                <w:color w:val="auto"/>
              </w:rPr>
            </w:pPr>
          </w:p>
        </w:tc>
        <w:tc>
          <w:tcPr>
            <w:tcW w:w="72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tcPr>
          <w:p>
            <w:pPr>
              <w:spacing w:after="0" w:line="130" w:lineRule="exact"/>
              <w:rPr>
                <w:sz w:val="20"/>
                <w:szCs w:val="20"/>
                <w:color w:val="auto"/>
              </w:rPr>
            </w:pPr>
            <w:r>
              <w:rPr>
                <w:rFonts w:ascii="Arial" w:cs="Arial" w:eastAsia="Arial" w:hAnsi="Arial"/>
                <w:sz w:val="14"/>
                <w:szCs w:val="14"/>
                <w:color w:val="auto"/>
              </w:rPr>
              <w:t>Class A-2 Variable Funding Note (6)</w:t>
            </w:r>
          </w:p>
        </w:tc>
        <w:tc>
          <w:tcPr>
            <w:tcW w:w="240" w:type="dxa"/>
            <w:vAlign w:val="bottom"/>
          </w:tcPr>
          <w:p>
            <w:pPr>
              <w:spacing w:after="0"/>
              <w:rPr>
                <w:sz w:val="11"/>
                <w:szCs w:val="11"/>
                <w:color w:val="auto"/>
              </w:rPr>
            </w:pPr>
          </w:p>
        </w:tc>
        <w:tc>
          <w:tcPr>
            <w:tcW w:w="1240" w:type="dxa"/>
            <w:vAlign w:val="bottom"/>
          </w:tcPr>
          <w:p>
            <w:pPr>
              <w:spacing w:after="0" w:line="130" w:lineRule="exact"/>
              <w:rPr>
                <w:sz w:val="20"/>
                <w:szCs w:val="20"/>
                <w:color w:val="auto"/>
              </w:rPr>
            </w:pPr>
            <w:r>
              <w:rPr>
                <w:rFonts w:ascii="Arial" w:cs="Arial" w:eastAsia="Arial" w:hAnsi="Arial"/>
                <w:sz w:val="14"/>
                <w:szCs w:val="14"/>
                <w:color w:val="auto"/>
              </w:rPr>
              <w:t>Commercial paper</w:t>
            </w: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rate + 350 bps</w:t>
            </w:r>
          </w:p>
        </w:tc>
        <w:tc>
          <w:tcPr>
            <w:tcW w:w="2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Aug. 2043</w:t>
            </w:r>
          </w:p>
        </w:tc>
        <w:tc>
          <w:tcPr>
            <w:tcW w:w="2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3"/>
              </w:rPr>
              <w:t>Aug. 2013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200,000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rPr>
              <w:t>Class B Term Note (6)</w:t>
            </w:r>
          </w:p>
        </w:tc>
        <w:tc>
          <w:tcPr>
            <w:tcW w:w="240" w:type="dxa"/>
            <w:vAlign w:val="bottom"/>
            <w:shd w:val="clear" w:color="auto" w:fill="EAF9E8"/>
          </w:tcPr>
          <w:p>
            <w:pPr>
              <w:spacing w:after="0"/>
              <w:rPr>
                <w:sz w:val="11"/>
                <w:szCs w:val="11"/>
                <w:color w:val="auto"/>
              </w:rPr>
            </w:pPr>
          </w:p>
        </w:tc>
        <w:tc>
          <w:tcPr>
            <w:tcW w:w="124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rPr>
              <w:t>Commercial paper</w:t>
            </w:r>
          </w:p>
        </w:tc>
        <w:tc>
          <w:tcPr>
            <w:tcW w:w="240" w:type="dxa"/>
            <w:vAlign w:val="bottom"/>
            <w:shd w:val="clear" w:color="auto" w:fill="EAF9E8"/>
          </w:tcPr>
          <w:p>
            <w:pPr>
              <w:spacing w:after="0"/>
              <w:rPr>
                <w:sz w:val="11"/>
                <w:szCs w:val="11"/>
                <w:color w:val="auto"/>
              </w:rPr>
            </w:pPr>
          </w:p>
        </w:tc>
        <w:tc>
          <w:tcPr>
            <w:tcW w:w="104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26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380" w:type="dxa"/>
            <w:vAlign w:val="bottom"/>
            <w:shd w:val="clear" w:color="auto" w:fill="EAF9E8"/>
          </w:tcPr>
          <w:p>
            <w:pPr>
              <w:spacing w:after="0"/>
              <w:rPr>
                <w:sz w:val="11"/>
                <w:szCs w:val="11"/>
                <w:color w:val="auto"/>
              </w:rPr>
            </w:pPr>
          </w:p>
        </w:tc>
        <w:tc>
          <w:tcPr>
            <w:tcW w:w="86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640" w:type="dxa"/>
            <w:vAlign w:val="bottom"/>
            <w:shd w:val="clear" w:color="auto" w:fill="EAF9E8"/>
          </w:tcPr>
          <w:p>
            <w:pPr>
              <w:spacing w:after="0"/>
              <w:rPr>
                <w:sz w:val="11"/>
                <w:szCs w:val="11"/>
                <w:color w:val="auto"/>
              </w:rPr>
            </w:pPr>
          </w:p>
        </w:tc>
        <w:tc>
          <w:tcPr>
            <w:tcW w:w="6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shd w:val="clear" w:color="auto" w:fill="EAF9E8"/>
          </w:tcPr>
          <w:p>
            <w:pPr>
              <w:spacing w:after="0"/>
              <w:rPr>
                <w:sz w:val="14"/>
                <w:szCs w:val="14"/>
                <w:color w:val="auto"/>
              </w:rPr>
            </w:pPr>
          </w:p>
        </w:tc>
        <w:tc>
          <w:tcPr>
            <w:tcW w:w="240" w:type="dxa"/>
            <w:vAlign w:val="bottom"/>
            <w:shd w:val="clear" w:color="auto" w:fill="EAF9E8"/>
          </w:tcPr>
          <w:p>
            <w:pPr>
              <w:spacing w:after="0"/>
              <w:rPr>
                <w:sz w:val="14"/>
                <w:szCs w:val="14"/>
                <w:color w:val="auto"/>
              </w:rPr>
            </w:pPr>
          </w:p>
        </w:tc>
        <w:tc>
          <w:tcPr>
            <w:tcW w:w="1240" w:type="dxa"/>
            <w:vAlign w:val="bottom"/>
            <w:shd w:val="clear" w:color="auto" w:fill="EAF9E8"/>
          </w:tcPr>
          <w:p>
            <w:pPr>
              <w:spacing w:after="0"/>
              <w:rPr>
                <w:sz w:val="20"/>
                <w:szCs w:val="20"/>
                <w:color w:val="auto"/>
              </w:rPr>
            </w:pPr>
            <w:r>
              <w:rPr>
                <w:rFonts w:ascii="Arial" w:cs="Arial" w:eastAsia="Arial" w:hAnsi="Arial"/>
                <w:sz w:val="14"/>
                <w:szCs w:val="14"/>
                <w:color w:val="auto"/>
              </w:rPr>
              <w:t>rate + 525 bps</w:t>
            </w:r>
          </w:p>
        </w:tc>
        <w:tc>
          <w:tcPr>
            <w:tcW w:w="240" w:type="dxa"/>
            <w:vAlign w:val="bottom"/>
            <w:shd w:val="clear" w:color="auto" w:fill="EAF9E8"/>
          </w:tcPr>
          <w:p>
            <w:pPr>
              <w:spacing w:after="0"/>
              <w:rPr>
                <w:sz w:val="14"/>
                <w:szCs w:val="14"/>
                <w:color w:val="auto"/>
              </w:rPr>
            </w:pPr>
          </w:p>
        </w:tc>
        <w:tc>
          <w:tcPr>
            <w:tcW w:w="104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3"/>
              </w:rPr>
              <w:t>Aug. 2043</w:t>
            </w:r>
          </w:p>
        </w:tc>
        <w:tc>
          <w:tcPr>
            <w:tcW w:w="220" w:type="dxa"/>
            <w:vAlign w:val="bottom"/>
            <w:shd w:val="clear" w:color="auto" w:fill="EAF9E8"/>
          </w:tcPr>
          <w:p>
            <w:pPr>
              <w:spacing w:after="0"/>
              <w:rPr>
                <w:sz w:val="14"/>
                <w:szCs w:val="14"/>
                <w:color w:val="auto"/>
              </w:rPr>
            </w:pPr>
          </w:p>
        </w:tc>
        <w:tc>
          <w:tcPr>
            <w:tcW w:w="126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3"/>
              </w:rPr>
              <w:t>Aug. 2013</w:t>
            </w:r>
          </w:p>
        </w:tc>
        <w:tc>
          <w:tcPr>
            <w:tcW w:w="24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11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4"/>
                <w:szCs w:val="14"/>
                <w:color w:val="auto"/>
              </w:rPr>
            </w:pPr>
          </w:p>
        </w:tc>
        <w:tc>
          <w:tcPr>
            <w:tcW w:w="380" w:type="dxa"/>
            <w:vAlign w:val="bottom"/>
            <w:shd w:val="clear" w:color="auto" w:fill="EAF9E8"/>
          </w:tcPr>
          <w:p>
            <w:pPr>
              <w:spacing w:after="0"/>
              <w:rPr>
                <w:sz w:val="14"/>
                <w:szCs w:val="14"/>
                <w:color w:val="auto"/>
              </w:rPr>
            </w:pPr>
          </w:p>
        </w:tc>
        <w:tc>
          <w:tcPr>
            <w:tcW w:w="1100" w:type="dxa"/>
            <w:vAlign w:val="bottom"/>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33,500</w:t>
            </w:r>
          </w:p>
        </w:tc>
        <w:tc>
          <w:tcPr>
            <w:tcW w:w="640" w:type="dxa"/>
            <w:vAlign w:val="bottom"/>
            <w:shd w:val="clear" w:color="auto" w:fill="EAF9E8"/>
          </w:tcPr>
          <w:p>
            <w:pPr>
              <w:spacing w:after="0"/>
              <w:rPr>
                <w:sz w:val="14"/>
                <w:szCs w:val="14"/>
                <w:color w:val="auto"/>
              </w:rPr>
            </w:pPr>
          </w:p>
        </w:tc>
        <w:tc>
          <w:tcPr>
            <w:tcW w:w="72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tcPr>
          <w:p>
            <w:pPr>
              <w:spacing w:after="0" w:line="130" w:lineRule="exact"/>
              <w:rPr>
                <w:sz w:val="20"/>
                <w:szCs w:val="20"/>
                <w:color w:val="auto"/>
              </w:rPr>
            </w:pPr>
            <w:r>
              <w:rPr>
                <w:rFonts w:ascii="Arial" w:cs="Arial" w:eastAsia="Arial" w:hAnsi="Arial"/>
                <w:sz w:val="14"/>
                <w:szCs w:val="14"/>
                <w:color w:val="auto"/>
              </w:rPr>
              <w:t>Class C Term Note (6)</w:t>
            </w:r>
          </w:p>
        </w:tc>
        <w:tc>
          <w:tcPr>
            <w:tcW w:w="240" w:type="dxa"/>
            <w:vAlign w:val="bottom"/>
          </w:tcPr>
          <w:p>
            <w:pPr>
              <w:spacing w:after="0"/>
              <w:rPr>
                <w:sz w:val="11"/>
                <w:szCs w:val="11"/>
                <w:color w:val="auto"/>
              </w:rPr>
            </w:pPr>
          </w:p>
        </w:tc>
        <w:tc>
          <w:tcPr>
            <w:tcW w:w="1240" w:type="dxa"/>
            <w:vAlign w:val="bottom"/>
          </w:tcPr>
          <w:p>
            <w:pPr>
              <w:spacing w:after="0" w:line="130" w:lineRule="exact"/>
              <w:rPr>
                <w:sz w:val="20"/>
                <w:szCs w:val="20"/>
                <w:color w:val="auto"/>
              </w:rPr>
            </w:pPr>
            <w:r>
              <w:rPr>
                <w:rFonts w:ascii="Arial" w:cs="Arial" w:eastAsia="Arial" w:hAnsi="Arial"/>
                <w:sz w:val="14"/>
                <w:szCs w:val="14"/>
                <w:color w:val="auto"/>
              </w:rPr>
              <w:t>Commercial paper</w:t>
            </w: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rate + 625 bps</w:t>
            </w:r>
          </w:p>
        </w:tc>
        <w:tc>
          <w:tcPr>
            <w:tcW w:w="2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Aug. 2043</w:t>
            </w:r>
          </w:p>
        </w:tc>
        <w:tc>
          <w:tcPr>
            <w:tcW w:w="2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3"/>
              </w:rPr>
              <w:t>Aug. 2013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31,900</w:t>
            </w:r>
          </w:p>
        </w:tc>
        <w:tc>
          <w:tcPr>
            <w:tcW w:w="64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rPr>
              <w:t>Class D Term Note (6)</w:t>
            </w:r>
          </w:p>
        </w:tc>
        <w:tc>
          <w:tcPr>
            <w:tcW w:w="240" w:type="dxa"/>
            <w:vAlign w:val="bottom"/>
            <w:shd w:val="clear" w:color="auto" w:fill="EAF9E8"/>
          </w:tcPr>
          <w:p>
            <w:pPr>
              <w:spacing w:after="0"/>
              <w:rPr>
                <w:sz w:val="11"/>
                <w:szCs w:val="11"/>
                <w:color w:val="auto"/>
              </w:rPr>
            </w:pPr>
          </w:p>
        </w:tc>
        <w:tc>
          <w:tcPr>
            <w:tcW w:w="124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rPr>
              <w:t>1-Month LIBOR +</w:t>
            </w:r>
          </w:p>
        </w:tc>
        <w:tc>
          <w:tcPr>
            <w:tcW w:w="240" w:type="dxa"/>
            <w:vAlign w:val="bottom"/>
            <w:shd w:val="clear" w:color="auto" w:fill="EAF9E8"/>
          </w:tcPr>
          <w:p>
            <w:pPr>
              <w:spacing w:after="0"/>
              <w:rPr>
                <w:sz w:val="11"/>
                <w:szCs w:val="11"/>
                <w:color w:val="auto"/>
              </w:rPr>
            </w:pPr>
          </w:p>
        </w:tc>
        <w:tc>
          <w:tcPr>
            <w:tcW w:w="104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26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380" w:type="dxa"/>
            <w:vAlign w:val="bottom"/>
            <w:shd w:val="clear" w:color="auto" w:fill="EAF9E8"/>
          </w:tcPr>
          <w:p>
            <w:pPr>
              <w:spacing w:after="0"/>
              <w:rPr>
                <w:sz w:val="11"/>
                <w:szCs w:val="11"/>
                <w:color w:val="auto"/>
              </w:rPr>
            </w:pPr>
          </w:p>
        </w:tc>
        <w:tc>
          <w:tcPr>
            <w:tcW w:w="86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640" w:type="dxa"/>
            <w:vAlign w:val="bottom"/>
            <w:shd w:val="clear" w:color="auto" w:fill="EAF9E8"/>
          </w:tcPr>
          <w:p>
            <w:pPr>
              <w:spacing w:after="0"/>
              <w:rPr>
                <w:sz w:val="11"/>
                <w:szCs w:val="11"/>
                <w:color w:val="auto"/>
              </w:rPr>
            </w:pPr>
          </w:p>
        </w:tc>
        <w:tc>
          <w:tcPr>
            <w:tcW w:w="6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shd w:val="clear" w:color="auto" w:fill="EAF9E8"/>
          </w:tcPr>
          <w:p>
            <w:pPr>
              <w:spacing w:after="0"/>
              <w:rPr>
                <w:sz w:val="14"/>
                <w:szCs w:val="14"/>
                <w:color w:val="auto"/>
              </w:rPr>
            </w:pPr>
          </w:p>
        </w:tc>
        <w:tc>
          <w:tcPr>
            <w:tcW w:w="240" w:type="dxa"/>
            <w:vAlign w:val="bottom"/>
            <w:shd w:val="clear" w:color="auto" w:fill="EAF9E8"/>
          </w:tcPr>
          <w:p>
            <w:pPr>
              <w:spacing w:after="0"/>
              <w:rPr>
                <w:sz w:val="14"/>
                <w:szCs w:val="14"/>
                <w:color w:val="auto"/>
              </w:rPr>
            </w:pPr>
          </w:p>
        </w:tc>
        <w:tc>
          <w:tcPr>
            <w:tcW w:w="1240" w:type="dxa"/>
            <w:vAlign w:val="bottom"/>
            <w:shd w:val="clear" w:color="auto" w:fill="EAF9E8"/>
          </w:tcPr>
          <w:p>
            <w:pPr>
              <w:spacing w:after="0"/>
              <w:rPr>
                <w:sz w:val="20"/>
                <w:szCs w:val="20"/>
                <w:color w:val="auto"/>
              </w:rPr>
            </w:pPr>
            <w:r>
              <w:rPr>
                <w:rFonts w:ascii="Arial" w:cs="Arial" w:eastAsia="Arial" w:hAnsi="Arial"/>
                <w:sz w:val="14"/>
                <w:szCs w:val="14"/>
                <w:color w:val="auto"/>
              </w:rPr>
              <w:t>750 bps</w:t>
            </w:r>
          </w:p>
        </w:tc>
        <w:tc>
          <w:tcPr>
            <w:tcW w:w="240" w:type="dxa"/>
            <w:vAlign w:val="bottom"/>
            <w:shd w:val="clear" w:color="auto" w:fill="EAF9E8"/>
          </w:tcPr>
          <w:p>
            <w:pPr>
              <w:spacing w:after="0"/>
              <w:rPr>
                <w:sz w:val="14"/>
                <w:szCs w:val="14"/>
                <w:color w:val="auto"/>
              </w:rPr>
            </w:pPr>
          </w:p>
        </w:tc>
        <w:tc>
          <w:tcPr>
            <w:tcW w:w="104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3"/>
              </w:rPr>
              <w:t>Aug. 2043</w:t>
            </w:r>
          </w:p>
        </w:tc>
        <w:tc>
          <w:tcPr>
            <w:tcW w:w="220" w:type="dxa"/>
            <w:vAlign w:val="bottom"/>
            <w:shd w:val="clear" w:color="auto" w:fill="EAF9E8"/>
          </w:tcPr>
          <w:p>
            <w:pPr>
              <w:spacing w:after="0"/>
              <w:rPr>
                <w:sz w:val="14"/>
                <w:szCs w:val="14"/>
                <w:color w:val="auto"/>
              </w:rPr>
            </w:pPr>
          </w:p>
        </w:tc>
        <w:tc>
          <w:tcPr>
            <w:tcW w:w="126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3"/>
              </w:rPr>
              <w:t>Aug. 2013</w:t>
            </w:r>
          </w:p>
        </w:tc>
        <w:tc>
          <w:tcPr>
            <w:tcW w:w="24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11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4"/>
                <w:szCs w:val="14"/>
                <w:color w:val="auto"/>
              </w:rPr>
            </w:pPr>
          </w:p>
        </w:tc>
        <w:tc>
          <w:tcPr>
            <w:tcW w:w="380" w:type="dxa"/>
            <w:vAlign w:val="bottom"/>
            <w:shd w:val="clear" w:color="auto" w:fill="EAF9E8"/>
          </w:tcPr>
          <w:p>
            <w:pPr>
              <w:spacing w:after="0"/>
              <w:rPr>
                <w:sz w:val="14"/>
                <w:szCs w:val="14"/>
                <w:color w:val="auto"/>
              </w:rPr>
            </w:pPr>
          </w:p>
        </w:tc>
        <w:tc>
          <w:tcPr>
            <w:tcW w:w="1100" w:type="dxa"/>
            <w:vAlign w:val="bottom"/>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24,600</w:t>
            </w:r>
          </w:p>
        </w:tc>
        <w:tc>
          <w:tcPr>
            <w:tcW w:w="640" w:type="dxa"/>
            <w:vAlign w:val="bottom"/>
            <w:shd w:val="clear" w:color="auto" w:fill="EAF9E8"/>
          </w:tcPr>
          <w:p>
            <w:pPr>
              <w:spacing w:after="0"/>
              <w:rPr>
                <w:sz w:val="14"/>
                <w:szCs w:val="14"/>
                <w:color w:val="auto"/>
              </w:rPr>
            </w:pPr>
          </w:p>
        </w:tc>
        <w:tc>
          <w:tcPr>
            <w:tcW w:w="72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tcPr>
          <w:p>
            <w:pPr>
              <w:spacing w:after="0" w:line="130" w:lineRule="exact"/>
              <w:rPr>
                <w:sz w:val="20"/>
                <w:szCs w:val="20"/>
                <w:color w:val="auto"/>
              </w:rPr>
            </w:pPr>
            <w:r>
              <w:rPr>
                <w:rFonts w:ascii="Arial" w:cs="Arial" w:eastAsia="Arial" w:hAnsi="Arial"/>
                <w:sz w:val="14"/>
                <w:szCs w:val="14"/>
                <w:color w:val="auto"/>
              </w:rPr>
              <w:t>Variable Funding Note (7)</w:t>
            </w:r>
          </w:p>
        </w:tc>
        <w:tc>
          <w:tcPr>
            <w:tcW w:w="240" w:type="dxa"/>
            <w:vAlign w:val="bottom"/>
          </w:tcPr>
          <w:p>
            <w:pPr>
              <w:spacing w:after="0"/>
              <w:rPr>
                <w:sz w:val="11"/>
                <w:szCs w:val="11"/>
                <w:color w:val="auto"/>
              </w:rPr>
            </w:pPr>
          </w:p>
        </w:tc>
        <w:tc>
          <w:tcPr>
            <w:tcW w:w="1240" w:type="dxa"/>
            <w:vAlign w:val="bottom"/>
          </w:tcPr>
          <w:p>
            <w:pPr>
              <w:spacing w:after="0" w:line="130" w:lineRule="exact"/>
              <w:rPr>
                <w:sz w:val="20"/>
                <w:szCs w:val="20"/>
                <w:color w:val="auto"/>
              </w:rPr>
            </w:pPr>
            <w:r>
              <w:rPr>
                <w:rFonts w:ascii="Arial" w:cs="Arial" w:eastAsia="Arial" w:hAnsi="Arial"/>
                <w:sz w:val="14"/>
                <w:szCs w:val="14"/>
                <w:color w:val="auto"/>
              </w:rPr>
              <w:t>Commercial paper</w:t>
            </w: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rate + 150 bps</w:t>
            </w:r>
          </w:p>
        </w:tc>
        <w:tc>
          <w:tcPr>
            <w:tcW w:w="2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Dec. 2013</w:t>
            </w:r>
          </w:p>
        </w:tc>
        <w:tc>
          <w:tcPr>
            <w:tcW w:w="2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3"/>
              </w:rPr>
              <w:t>Dec. 2010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158,412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rPr>
              <w:t>Advance Receivable Backed Notes</w:t>
            </w:r>
          </w:p>
        </w:tc>
        <w:tc>
          <w:tcPr>
            <w:tcW w:w="240" w:type="dxa"/>
            <w:vAlign w:val="bottom"/>
            <w:shd w:val="clear" w:color="auto" w:fill="EAF9E8"/>
          </w:tcPr>
          <w:p>
            <w:pPr>
              <w:spacing w:after="0"/>
              <w:rPr>
                <w:sz w:val="11"/>
                <w:szCs w:val="11"/>
                <w:color w:val="auto"/>
              </w:rPr>
            </w:pPr>
          </w:p>
        </w:tc>
        <w:tc>
          <w:tcPr>
            <w:tcW w:w="124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rPr>
              <w:t>1-Month LIBOR +</w:t>
            </w:r>
          </w:p>
        </w:tc>
        <w:tc>
          <w:tcPr>
            <w:tcW w:w="240" w:type="dxa"/>
            <w:vAlign w:val="bottom"/>
            <w:shd w:val="clear" w:color="auto" w:fill="EAF9E8"/>
          </w:tcPr>
          <w:p>
            <w:pPr>
              <w:spacing w:after="0"/>
              <w:rPr>
                <w:sz w:val="11"/>
                <w:szCs w:val="11"/>
                <w:color w:val="auto"/>
              </w:rPr>
            </w:pPr>
          </w:p>
        </w:tc>
        <w:tc>
          <w:tcPr>
            <w:tcW w:w="104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26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380" w:type="dxa"/>
            <w:vAlign w:val="bottom"/>
            <w:shd w:val="clear" w:color="auto" w:fill="EAF9E8"/>
          </w:tcPr>
          <w:p>
            <w:pPr>
              <w:spacing w:after="0"/>
              <w:rPr>
                <w:sz w:val="11"/>
                <w:szCs w:val="11"/>
                <w:color w:val="auto"/>
              </w:rPr>
            </w:pPr>
          </w:p>
        </w:tc>
        <w:tc>
          <w:tcPr>
            <w:tcW w:w="86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640" w:type="dxa"/>
            <w:vAlign w:val="bottom"/>
            <w:shd w:val="clear" w:color="auto" w:fill="EAF9E8"/>
          </w:tcPr>
          <w:p>
            <w:pPr>
              <w:spacing w:after="0"/>
              <w:rPr>
                <w:sz w:val="11"/>
                <w:szCs w:val="11"/>
                <w:color w:val="auto"/>
              </w:rPr>
            </w:pPr>
          </w:p>
        </w:tc>
        <w:tc>
          <w:tcPr>
            <w:tcW w:w="6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shd w:val="clear" w:color="auto" w:fill="EAF9E8"/>
          </w:tcPr>
          <w:p>
            <w:pPr>
              <w:spacing w:after="0"/>
              <w:rPr>
                <w:sz w:val="14"/>
                <w:szCs w:val="14"/>
                <w:color w:val="auto"/>
              </w:rPr>
            </w:pPr>
          </w:p>
        </w:tc>
        <w:tc>
          <w:tcPr>
            <w:tcW w:w="240" w:type="dxa"/>
            <w:vAlign w:val="bottom"/>
            <w:shd w:val="clear" w:color="auto" w:fill="EAF9E8"/>
          </w:tcPr>
          <w:p>
            <w:pPr>
              <w:spacing w:after="0"/>
              <w:rPr>
                <w:sz w:val="14"/>
                <w:szCs w:val="14"/>
                <w:color w:val="auto"/>
              </w:rPr>
            </w:pPr>
          </w:p>
        </w:tc>
        <w:tc>
          <w:tcPr>
            <w:tcW w:w="1240" w:type="dxa"/>
            <w:vAlign w:val="bottom"/>
            <w:shd w:val="clear" w:color="auto" w:fill="EAF9E8"/>
          </w:tcPr>
          <w:p>
            <w:pPr>
              <w:spacing w:after="0"/>
              <w:rPr>
                <w:sz w:val="20"/>
                <w:szCs w:val="20"/>
                <w:color w:val="auto"/>
              </w:rPr>
            </w:pPr>
            <w:r>
              <w:rPr>
                <w:rFonts w:ascii="Arial" w:cs="Arial" w:eastAsia="Arial" w:hAnsi="Arial"/>
                <w:sz w:val="14"/>
                <w:szCs w:val="14"/>
                <w:color w:val="auto"/>
              </w:rPr>
              <w:t>400 bps</w:t>
            </w:r>
          </w:p>
        </w:tc>
        <w:tc>
          <w:tcPr>
            <w:tcW w:w="240" w:type="dxa"/>
            <w:vAlign w:val="bottom"/>
            <w:shd w:val="clear" w:color="auto" w:fill="EAF9E8"/>
          </w:tcPr>
          <w:p>
            <w:pPr>
              <w:spacing w:after="0"/>
              <w:rPr>
                <w:sz w:val="14"/>
                <w:szCs w:val="14"/>
                <w:color w:val="auto"/>
              </w:rPr>
            </w:pPr>
          </w:p>
        </w:tc>
        <w:tc>
          <w:tcPr>
            <w:tcW w:w="104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5"/>
              </w:rPr>
              <w:t>Mar. 2020</w:t>
            </w:r>
          </w:p>
        </w:tc>
        <w:tc>
          <w:tcPr>
            <w:tcW w:w="220" w:type="dxa"/>
            <w:vAlign w:val="bottom"/>
            <w:shd w:val="clear" w:color="auto" w:fill="EAF9E8"/>
          </w:tcPr>
          <w:p>
            <w:pPr>
              <w:spacing w:after="0"/>
              <w:rPr>
                <w:sz w:val="14"/>
                <w:szCs w:val="14"/>
                <w:color w:val="auto"/>
              </w:rPr>
            </w:pPr>
          </w:p>
        </w:tc>
        <w:tc>
          <w:tcPr>
            <w:tcW w:w="126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1"/>
              </w:rPr>
              <w:t>Mar. 2011</w:t>
            </w:r>
          </w:p>
        </w:tc>
        <w:tc>
          <w:tcPr>
            <w:tcW w:w="24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11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89,685</w:t>
            </w:r>
          </w:p>
        </w:tc>
        <w:tc>
          <w:tcPr>
            <w:tcW w:w="100" w:type="dxa"/>
            <w:vAlign w:val="bottom"/>
            <w:shd w:val="clear" w:color="auto" w:fill="EAF9E8"/>
          </w:tcPr>
          <w:p>
            <w:pPr>
              <w:spacing w:after="0"/>
              <w:rPr>
                <w:sz w:val="14"/>
                <w:szCs w:val="14"/>
                <w:color w:val="auto"/>
              </w:rPr>
            </w:pPr>
          </w:p>
        </w:tc>
        <w:tc>
          <w:tcPr>
            <w:tcW w:w="380" w:type="dxa"/>
            <w:vAlign w:val="bottom"/>
            <w:shd w:val="clear" w:color="auto" w:fill="EAF9E8"/>
          </w:tcPr>
          <w:p>
            <w:pPr>
              <w:spacing w:after="0"/>
              <w:rPr>
                <w:sz w:val="14"/>
                <w:szCs w:val="14"/>
                <w:color w:val="auto"/>
              </w:rPr>
            </w:pPr>
          </w:p>
        </w:tc>
        <w:tc>
          <w:tcPr>
            <w:tcW w:w="1100" w:type="dxa"/>
            <w:vAlign w:val="bottom"/>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10,315</w:t>
            </w:r>
          </w:p>
        </w:tc>
        <w:tc>
          <w:tcPr>
            <w:tcW w:w="640" w:type="dxa"/>
            <w:vAlign w:val="bottom"/>
            <w:shd w:val="clear" w:color="auto" w:fill="EAF9E8"/>
          </w:tcPr>
          <w:p>
            <w:pPr>
              <w:spacing w:after="0"/>
              <w:rPr>
                <w:sz w:val="14"/>
                <w:szCs w:val="14"/>
                <w:color w:val="auto"/>
              </w:rPr>
            </w:pPr>
          </w:p>
        </w:tc>
        <w:tc>
          <w:tcPr>
            <w:tcW w:w="72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27,421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tcPr>
          <w:p>
            <w:pPr>
              <w:spacing w:after="0" w:line="130" w:lineRule="exact"/>
              <w:rPr>
                <w:sz w:val="20"/>
                <w:szCs w:val="20"/>
                <w:color w:val="auto"/>
              </w:rPr>
            </w:pPr>
            <w:r>
              <w:rPr>
                <w:rFonts w:ascii="Arial" w:cs="Arial" w:eastAsia="Arial" w:hAnsi="Arial"/>
                <w:sz w:val="14"/>
                <w:szCs w:val="14"/>
                <w:color w:val="auto"/>
              </w:rPr>
              <w:t>Advance Receivable Backed Notes (8)</w:t>
            </w:r>
          </w:p>
        </w:tc>
        <w:tc>
          <w:tcPr>
            <w:tcW w:w="240" w:type="dxa"/>
            <w:vAlign w:val="bottom"/>
          </w:tcPr>
          <w:p>
            <w:pPr>
              <w:spacing w:after="0"/>
              <w:rPr>
                <w:sz w:val="11"/>
                <w:szCs w:val="11"/>
                <w:color w:val="auto"/>
              </w:rPr>
            </w:pPr>
          </w:p>
        </w:tc>
        <w:tc>
          <w:tcPr>
            <w:tcW w:w="1240" w:type="dxa"/>
            <w:vAlign w:val="bottom"/>
          </w:tcPr>
          <w:p>
            <w:pPr>
              <w:spacing w:after="0" w:line="130" w:lineRule="exact"/>
              <w:rPr>
                <w:sz w:val="20"/>
                <w:szCs w:val="20"/>
                <w:color w:val="auto"/>
              </w:rPr>
            </w:pPr>
            <w:r>
              <w:rPr>
                <w:rFonts w:ascii="Arial" w:cs="Arial" w:eastAsia="Arial" w:hAnsi="Arial"/>
                <w:sz w:val="14"/>
                <w:szCs w:val="14"/>
                <w:color w:val="auto"/>
              </w:rPr>
              <w:t>1-Month LIBOR +</w:t>
            </w: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200 bps</w:t>
            </w:r>
          </w:p>
        </w:tc>
        <w:tc>
          <w:tcPr>
            <w:tcW w:w="2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7"/>
              </w:rPr>
              <w:t>May 2012</w:t>
            </w:r>
          </w:p>
        </w:tc>
        <w:tc>
          <w:tcPr>
            <w:tcW w:w="2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4"/>
              </w:rPr>
              <w:t>May 2011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249,881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250,119</w:t>
            </w:r>
          </w:p>
        </w:tc>
        <w:tc>
          <w:tcPr>
            <w:tcW w:w="64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69,858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620" w:type="dxa"/>
            <w:vAlign w:val="bottom"/>
            <w:shd w:val="clear" w:color="auto" w:fill="EAF9E8"/>
          </w:tcPr>
          <w:p>
            <w:pPr>
              <w:spacing w:after="0"/>
              <w:rPr>
                <w:sz w:val="16"/>
                <w:szCs w:val="16"/>
                <w:color w:val="auto"/>
              </w:rPr>
            </w:pPr>
          </w:p>
        </w:tc>
        <w:tc>
          <w:tcPr>
            <w:tcW w:w="240" w:type="dxa"/>
            <w:vAlign w:val="bottom"/>
            <w:shd w:val="clear" w:color="auto" w:fill="EAF9E8"/>
          </w:tcPr>
          <w:p>
            <w:pPr>
              <w:spacing w:after="0"/>
              <w:rPr>
                <w:sz w:val="16"/>
                <w:szCs w:val="16"/>
                <w:color w:val="auto"/>
              </w:rPr>
            </w:pPr>
          </w:p>
        </w:tc>
        <w:tc>
          <w:tcPr>
            <w:tcW w:w="1240" w:type="dxa"/>
            <w:vAlign w:val="bottom"/>
            <w:shd w:val="clear" w:color="auto" w:fill="EAF9E8"/>
          </w:tcPr>
          <w:p>
            <w:pPr>
              <w:spacing w:after="0"/>
              <w:rPr>
                <w:sz w:val="16"/>
                <w:szCs w:val="16"/>
                <w:color w:val="auto"/>
              </w:rPr>
            </w:pPr>
          </w:p>
        </w:tc>
        <w:tc>
          <w:tcPr>
            <w:tcW w:w="240" w:type="dxa"/>
            <w:vAlign w:val="bottom"/>
            <w:shd w:val="clear" w:color="auto" w:fill="EAF9E8"/>
          </w:tcPr>
          <w:p>
            <w:pPr>
              <w:spacing w:after="0"/>
              <w:rPr>
                <w:sz w:val="16"/>
                <w:szCs w:val="16"/>
                <w:color w:val="auto"/>
              </w:rPr>
            </w:pPr>
          </w:p>
        </w:tc>
        <w:tc>
          <w:tcPr>
            <w:tcW w:w="1040" w:type="dxa"/>
            <w:vAlign w:val="bottom"/>
            <w:shd w:val="clear" w:color="auto" w:fill="EAF9E8"/>
          </w:tcPr>
          <w:p>
            <w:pPr>
              <w:spacing w:after="0"/>
              <w:rPr>
                <w:sz w:val="16"/>
                <w:szCs w:val="16"/>
                <w:color w:val="auto"/>
              </w:rPr>
            </w:pPr>
          </w:p>
        </w:tc>
        <w:tc>
          <w:tcPr>
            <w:tcW w:w="220" w:type="dxa"/>
            <w:vAlign w:val="bottom"/>
            <w:shd w:val="clear" w:color="auto" w:fill="EAF9E8"/>
          </w:tcPr>
          <w:p>
            <w:pPr>
              <w:spacing w:after="0"/>
              <w:rPr>
                <w:sz w:val="16"/>
                <w:szCs w:val="16"/>
                <w:color w:val="auto"/>
              </w:rPr>
            </w:pPr>
          </w:p>
        </w:tc>
        <w:tc>
          <w:tcPr>
            <w:tcW w:w="1260" w:type="dxa"/>
            <w:vAlign w:val="bottom"/>
            <w:shd w:val="clear" w:color="auto" w:fill="EAF9E8"/>
          </w:tcPr>
          <w:p>
            <w:pPr>
              <w:spacing w:after="0"/>
              <w:rPr>
                <w:sz w:val="16"/>
                <w:szCs w:val="16"/>
                <w:color w:val="auto"/>
              </w:rPr>
            </w:pPr>
          </w:p>
        </w:tc>
        <w:tc>
          <w:tcPr>
            <w:tcW w:w="460" w:type="dxa"/>
            <w:vAlign w:val="bottom"/>
            <w:gridSpan w:val="2"/>
            <w:shd w:val="clear" w:color="auto" w:fill="EAF9E8"/>
          </w:tcPr>
          <w:p>
            <w:pPr>
              <w:ind w:lef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926,471</w:t>
            </w:r>
          </w:p>
        </w:tc>
        <w:tc>
          <w:tcPr>
            <w:tcW w:w="480" w:type="dxa"/>
            <w:vAlign w:val="bottom"/>
            <w:gridSpan w:val="2"/>
            <w:shd w:val="clear" w:color="auto" w:fill="EAF9E8"/>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1,482,529</w:t>
            </w:r>
          </w:p>
        </w:tc>
        <w:tc>
          <w:tcPr>
            <w:tcW w:w="640" w:type="dxa"/>
            <w:vAlign w:val="bottom"/>
            <w:shd w:val="clear" w:color="auto" w:fill="EAF9E8"/>
          </w:tcPr>
          <w:p>
            <w:pPr>
              <w:jc w:val="right"/>
              <w:ind w:right="522"/>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465,691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20" w:type="dxa"/>
            <w:vAlign w:val="bottom"/>
            <w:tcBorders>
              <w:top w:val="single" w:sz="8" w:color="EAF9E8"/>
            </w:tcBorders>
          </w:tcPr>
          <w:p>
            <w:pPr>
              <w:spacing w:after="0"/>
              <w:rPr>
                <w:sz w:val="12"/>
                <w:szCs w:val="12"/>
                <w:color w:val="auto"/>
              </w:rPr>
            </w:pPr>
          </w:p>
        </w:tc>
        <w:tc>
          <w:tcPr>
            <w:tcW w:w="240" w:type="dxa"/>
            <w:vAlign w:val="bottom"/>
            <w:tcBorders>
              <w:top w:val="single" w:sz="8" w:color="EAF9E8"/>
            </w:tcBorders>
          </w:tcPr>
          <w:p>
            <w:pPr>
              <w:spacing w:after="0"/>
              <w:rPr>
                <w:sz w:val="12"/>
                <w:szCs w:val="12"/>
                <w:color w:val="auto"/>
              </w:rPr>
            </w:pPr>
          </w:p>
        </w:tc>
        <w:tc>
          <w:tcPr>
            <w:tcW w:w="1240" w:type="dxa"/>
            <w:vAlign w:val="bottom"/>
            <w:tcBorders>
              <w:top w:val="single" w:sz="8" w:color="EAF9E8"/>
            </w:tcBorders>
          </w:tcPr>
          <w:p>
            <w:pPr>
              <w:spacing w:after="0"/>
              <w:rPr>
                <w:sz w:val="12"/>
                <w:szCs w:val="12"/>
                <w:color w:val="auto"/>
              </w:rPr>
            </w:pPr>
          </w:p>
        </w:tc>
        <w:tc>
          <w:tcPr>
            <w:tcW w:w="240" w:type="dxa"/>
            <w:vAlign w:val="bottom"/>
            <w:tcBorders>
              <w:top w:val="single" w:sz="8" w:color="EAF9E8"/>
            </w:tcBorders>
          </w:tcPr>
          <w:p>
            <w:pPr>
              <w:spacing w:after="0"/>
              <w:rPr>
                <w:sz w:val="12"/>
                <w:szCs w:val="12"/>
                <w:color w:val="auto"/>
              </w:rPr>
            </w:pPr>
          </w:p>
        </w:tc>
        <w:tc>
          <w:tcPr>
            <w:tcW w:w="1040" w:type="dxa"/>
            <w:vAlign w:val="bottom"/>
            <w:tcBorders>
              <w:top w:val="single" w:sz="8" w:color="EAF9E8"/>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1260" w:type="dxa"/>
            <w:vAlign w:val="bottom"/>
            <w:tcBorders>
              <w:top w:val="single" w:sz="8" w:color="EAF9E8"/>
            </w:tcBorders>
          </w:tcPr>
          <w:p>
            <w:pPr>
              <w:spacing w:after="0"/>
              <w:rPr>
                <w:sz w:val="12"/>
                <w:szCs w:val="12"/>
                <w:color w:val="auto"/>
              </w:rPr>
            </w:pPr>
          </w:p>
        </w:tc>
        <w:tc>
          <w:tcPr>
            <w:tcW w:w="240" w:type="dxa"/>
            <w:vAlign w:val="bottom"/>
            <w:tcBorders>
              <w:top w:val="single" w:sz="8" w:color="EAF9E8"/>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EAF9E8"/>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Borders>
              <w:top w:val="single" w:sz="8" w:color="EAF9E8"/>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Borders>
              <w:top w:val="single" w:sz="8" w:color="EAF9E8"/>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Weighted average interest rate</w:t>
            </w:r>
          </w:p>
        </w:tc>
        <w:tc>
          <w:tcPr>
            <w:tcW w:w="240" w:type="dxa"/>
            <w:vAlign w:val="bottom"/>
            <w:shd w:val="clear" w:color="auto" w:fill="EAF9E8"/>
          </w:tcPr>
          <w:p>
            <w:pPr>
              <w:spacing w:after="0"/>
              <w:rPr>
                <w:sz w:val="12"/>
                <w:szCs w:val="12"/>
                <w:color w:val="auto"/>
              </w:rPr>
            </w:pPr>
          </w:p>
        </w:tc>
        <w:tc>
          <w:tcPr>
            <w:tcW w:w="124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04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26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0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11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3.71%</w:t>
            </w:r>
          </w:p>
        </w:tc>
        <w:tc>
          <w:tcPr>
            <w:tcW w:w="640" w:type="dxa"/>
            <w:vAlign w:val="bottom"/>
            <w:shd w:val="clear" w:color="auto" w:fill="EAF9E8"/>
          </w:tcPr>
          <w:p>
            <w:pPr>
              <w:spacing w:after="0"/>
              <w:rPr>
                <w:sz w:val="12"/>
                <w:szCs w:val="12"/>
                <w:color w:val="auto"/>
              </w:rPr>
            </w:pPr>
          </w:p>
        </w:tc>
        <w:tc>
          <w:tcPr>
            <w:tcW w:w="72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right="20" w:hanging="572"/>
        <w:spacing w:after="0" w:line="257" w:lineRule="auto"/>
        <w:tabs>
          <w:tab w:leader="none" w:pos="5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all but two advance facilities, there is a single note outstanding. For each of these facilities, after the amortization date, all collections that represent the repayment of advances pledged to the facility must be applied to reduce the balance of the note outstanding, and any new advances are ineligible to be financed.</w:t>
      </w:r>
    </w:p>
    <w:p>
      <w:pPr>
        <w:spacing w:after="0" w:line="188" w:lineRule="exact"/>
        <w:rPr>
          <w:rFonts w:ascii="Arial" w:cs="Arial" w:eastAsia="Arial" w:hAnsi="Arial"/>
          <w:sz w:val="18"/>
          <w:szCs w:val="18"/>
          <w:color w:val="auto"/>
        </w:rPr>
      </w:pPr>
    </w:p>
    <w:p>
      <w:pPr>
        <w:ind w:left="580" w:right="60" w:hanging="572"/>
        <w:spacing w:after="0" w:line="277" w:lineRule="auto"/>
        <w:tabs>
          <w:tab w:leader="none" w:pos="5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unused borrowing capacity is available to us provided that we have additional eligible collateral to pledge. Collateral may only be pledged to one facility.</w:t>
      </w:r>
    </w:p>
    <w:p>
      <w:pPr>
        <w:spacing w:after="0" w:line="170" w:lineRule="exact"/>
        <w:rPr>
          <w:rFonts w:ascii="Arial" w:cs="Arial" w:eastAsia="Arial" w:hAnsi="Arial"/>
          <w:sz w:val="18"/>
          <w:szCs w:val="18"/>
          <w:color w:val="auto"/>
        </w:rPr>
      </w:pPr>
    </w:p>
    <w:p>
      <w:pPr>
        <w:ind w:left="580" w:right="200" w:hanging="572"/>
        <w:spacing w:after="0" w:line="277" w:lineRule="auto"/>
        <w:tabs>
          <w:tab w:leader="none" w:pos="5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These notes were issued under the Term Asset-Backed Securities Loan Facility (TALF) program administered by the Federal Reserve Bank of New York.</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94" w:name="page95"/>
    <w:bookmarkEnd w:id="94"/>
    <w:p>
      <w:pPr>
        <w:jc w:val="both"/>
        <w:ind w:left="580" w:right="60" w:hanging="572"/>
        <w:spacing w:after="0" w:line="264" w:lineRule="auto"/>
        <w:tabs>
          <w:tab w:leader="none" w:pos="5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Under the terms of the note purchase agreement, the purchaser had no obligation to fund borrowings under this note until January 2010 at which time the maximum funding obligation was $28,000. The maximum funding obligation increased to $88,000 in November 2010 and increases to $100,000 in November 2011.</w:t>
      </w:r>
    </w:p>
    <w:p>
      <w:pPr>
        <w:spacing w:after="0" w:line="181" w:lineRule="exact"/>
        <w:rPr>
          <w:rFonts w:ascii="Arial" w:cs="Arial" w:eastAsia="Arial" w:hAnsi="Arial"/>
          <w:sz w:val="18"/>
          <w:szCs w:val="18"/>
          <w:color w:val="auto"/>
        </w:rPr>
      </w:pPr>
    </w:p>
    <w:p>
      <w:pPr>
        <w:ind w:left="580" w:right="140" w:hanging="572"/>
        <w:spacing w:after="0" w:line="277" w:lineRule="auto"/>
        <w:tabs>
          <w:tab w:leader="none" w:pos="5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interest rate for this note is determined using a commercial paper rate that reflects the borrowing costs of the lender plus a margin of 200 bps. In February 2011, the amortization date was extended to February 2012.</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These notes were issued in connection with the financing of the advances acquired as part of the HomEq Acquisition.</w:t>
      </w:r>
    </w:p>
    <w:p>
      <w:pPr>
        <w:spacing w:after="0" w:line="225" w:lineRule="exact"/>
        <w:rPr>
          <w:rFonts w:ascii="Arial" w:cs="Arial" w:eastAsia="Arial" w:hAnsi="Arial"/>
          <w:sz w:val="18"/>
          <w:szCs w:val="18"/>
          <w:color w:val="auto"/>
        </w:rPr>
      </w:pPr>
    </w:p>
    <w:p>
      <w:pPr>
        <w:jc w:val="both"/>
        <w:ind w:left="580" w:right="180" w:hanging="572"/>
        <w:spacing w:after="0" w:line="264" w:lineRule="auto"/>
        <w:tabs>
          <w:tab w:leader="none" w:pos="5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This facility was terminated on December 9, 2010. The related match funded advances were transferred to another facility. The interest rate for this note was determined using a commercial paper rate that reflected the borrowing costs of the lender plus a margin of 150 bps which approximated 1-Month LIBOR plus 150 bps over time.</w:t>
      </w:r>
    </w:p>
    <w:p>
      <w:pPr>
        <w:spacing w:after="0" w:line="181" w:lineRule="exact"/>
        <w:rPr>
          <w:rFonts w:ascii="Arial" w:cs="Arial" w:eastAsia="Arial" w:hAnsi="Arial"/>
          <w:sz w:val="18"/>
          <w:szCs w:val="18"/>
          <w:color w:val="auto"/>
        </w:rPr>
      </w:pPr>
    </w:p>
    <w:p>
      <w:pPr>
        <w:ind w:left="580" w:right="840" w:hanging="572"/>
        <w:spacing w:after="0" w:line="277" w:lineRule="auto"/>
        <w:tabs>
          <w:tab w:leader="none" w:pos="5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Under the terms of the facility, we pay interest on drawn balances at 1-Month LIBOR plus 200 bps. In addition, we pay, in twelve monthly installments, a facility fee of 1.30% of the maximum borrowing capacity of $500,000.</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8"/>
          <w:szCs w:val="18"/>
          <w:b w:val="1"/>
          <w:bCs w:val="1"/>
          <w:color w:val="auto"/>
        </w:rPr>
        <w:t>SECURED BORROWINGS – OWED TO SECURITIZATION INVESTORS</w:t>
      </w:r>
    </w:p>
    <w:p>
      <w:pPr>
        <w:spacing w:after="0" w:line="229" w:lineRule="exact"/>
        <w:rPr>
          <w:sz w:val="20"/>
          <w:szCs w:val="20"/>
          <w:color w:val="auto"/>
        </w:rPr>
      </w:pPr>
    </w:p>
    <w:p>
      <w:pPr>
        <w:jc w:val="both"/>
        <w:ind w:right="160" w:firstLine="666"/>
        <w:spacing w:after="0" w:line="312" w:lineRule="auto"/>
        <w:rPr>
          <w:sz w:val="20"/>
          <w:szCs w:val="20"/>
          <w:color w:val="auto"/>
        </w:rPr>
      </w:pPr>
      <w:r>
        <w:rPr>
          <w:rFonts w:ascii="Arial" w:cs="Arial" w:eastAsia="Arial" w:hAnsi="Arial"/>
          <w:sz w:val="16"/>
          <w:szCs w:val="16"/>
          <w:color w:val="auto"/>
        </w:rPr>
        <w:t>Secured borrowings – owed to securitization investors of $62,705 at December 31, 2010 consist of certificates that represent beneficial ownership interests in four securitization trusts that we include in our consolidated financial statements under the provisions of ASC 810, Consolidations, as more fully described in Note 1—Securitizations of Residential Mortgage Loans. The holders of these certificates have no recourse against the assets of Ocwen.</w:t>
      </w:r>
    </w:p>
    <w:p>
      <w:pPr>
        <w:spacing w:after="0" w:line="147" w:lineRule="exact"/>
        <w:rPr>
          <w:sz w:val="20"/>
          <w:szCs w:val="20"/>
          <w:color w:val="auto"/>
        </w:rPr>
      </w:pPr>
    </w:p>
    <w:p>
      <w:pPr>
        <w:ind w:right="40" w:firstLine="663"/>
        <w:spacing w:after="0" w:line="286" w:lineRule="auto"/>
        <w:rPr>
          <w:sz w:val="20"/>
          <w:szCs w:val="20"/>
          <w:color w:val="auto"/>
        </w:rPr>
      </w:pPr>
      <w:r>
        <w:rPr>
          <w:rFonts w:ascii="Arial" w:cs="Arial" w:eastAsia="Arial" w:hAnsi="Arial"/>
          <w:sz w:val="17"/>
          <w:szCs w:val="17"/>
          <w:color w:val="auto"/>
        </w:rPr>
        <w:t>The trusts consist principally of mortgage loans that are secured by first and second liens on one- to four-family residential properties. Except for the residuals, the certificates generally pay interest based on 1-Month LIBOR plus a margin of from 8 to 250 basis points. Interest rates on the certificates are generally capped at the weighted average of the net mortgage rates of the mortgage loans in the respective loan pools.</w:t>
      </w:r>
    </w:p>
    <w:p>
      <w:pPr>
        <w:spacing w:after="0" w:line="16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b w:val="1"/>
          <w:bCs w:val="1"/>
          <w:color w:val="auto"/>
        </w:rPr>
        <w:t>LINES OF CREDIT AND OTHER SECURED BORROWINGS</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Secured lines of credit from various unaffiliated financial institutions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Unused</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Balance Outstanding</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1"/>
              </w:rPr>
              <w:t>Borrowing</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2"/>
          </w:tcPr>
          <w:p>
            <w:pPr>
              <w:jc w:val="center"/>
              <w:ind w:right="500"/>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90"/>
              <w:spacing w:after="0" w:line="198" w:lineRule="exact"/>
              <w:rPr>
                <w:sz w:val="20"/>
                <w:szCs w:val="20"/>
                <w:color w:val="auto"/>
              </w:rPr>
            </w:pPr>
            <w:r>
              <w:rPr>
                <w:rFonts w:ascii="Arial" w:cs="Arial" w:eastAsia="Arial" w:hAnsi="Arial"/>
                <w:sz w:val="18"/>
                <w:szCs w:val="18"/>
                <w:b w:val="1"/>
                <w:bCs w:val="1"/>
                <w:color w:val="auto"/>
                <w:w w:val="92"/>
              </w:rPr>
              <w:t>December 31,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20" w:type="dxa"/>
            <w:vAlign w:val="bottom"/>
            <w:gridSpan w:val="2"/>
          </w:tcPr>
          <w:p>
            <w:pPr>
              <w:ind w:left="360"/>
              <w:spacing w:after="0"/>
              <w:rPr>
                <w:sz w:val="20"/>
                <w:szCs w:val="20"/>
                <w:color w:val="auto"/>
              </w:rPr>
            </w:pPr>
            <w:r>
              <w:rPr>
                <w:rFonts w:ascii="Arial" w:cs="Arial" w:eastAsia="Arial" w:hAnsi="Arial"/>
                <w:sz w:val="18"/>
                <w:szCs w:val="18"/>
                <w:b w:val="1"/>
                <w:bCs w:val="1"/>
                <w:color w:val="auto"/>
              </w:rPr>
              <w:t>Borrowings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ind w:left="220"/>
              <w:spacing w:after="0"/>
              <w:rPr>
                <w:sz w:val="20"/>
                <w:szCs w:val="20"/>
                <w:color w:val="auto"/>
              </w:rPr>
            </w:pPr>
            <w:r>
              <w:rPr>
                <w:rFonts w:ascii="Arial" w:cs="Arial" w:eastAsia="Arial" w:hAnsi="Arial"/>
                <w:sz w:val="18"/>
                <w:szCs w:val="18"/>
                <w:b w:val="1"/>
                <w:bCs w:val="1"/>
                <w:color w:val="auto"/>
              </w:rPr>
              <w:t>Collateral</w:t>
            </w:r>
          </w:p>
        </w:tc>
        <w:tc>
          <w:tcPr>
            <w:tcW w:w="2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Interest Rate</w:t>
            </w:r>
          </w:p>
        </w:tc>
        <w:tc>
          <w:tcPr>
            <w:tcW w:w="2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Capacity</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20" w:type="dxa"/>
            <w:vAlign w:val="bottom"/>
            <w:gridSpan w:val="2"/>
            <w:shd w:val="clear" w:color="auto" w:fill="EAF9E8"/>
          </w:tcPr>
          <w:p>
            <w:pPr>
              <w:spacing w:after="0" w:line="176" w:lineRule="exact"/>
              <w:rPr>
                <w:sz w:val="20"/>
                <w:szCs w:val="20"/>
                <w:color w:val="auto"/>
              </w:rPr>
            </w:pPr>
            <w:r>
              <w:rPr>
                <w:rFonts w:ascii="Arial" w:cs="Arial" w:eastAsia="Arial" w:hAnsi="Arial"/>
                <w:sz w:val="18"/>
                <w:szCs w:val="18"/>
                <w:color w:val="auto"/>
              </w:rPr>
              <w:t>Servicing:</w:t>
            </w:r>
          </w:p>
        </w:tc>
        <w:tc>
          <w:tcPr>
            <w:tcW w:w="220" w:type="dxa"/>
            <w:vAlign w:val="bottom"/>
            <w:shd w:val="clear" w:color="auto" w:fill="EAF9E8"/>
          </w:tcPr>
          <w:p>
            <w:pPr>
              <w:spacing w:after="0"/>
              <w:rPr>
                <w:sz w:val="15"/>
                <w:szCs w:val="15"/>
                <w:color w:val="auto"/>
              </w:rPr>
            </w:pPr>
          </w:p>
        </w:tc>
        <w:tc>
          <w:tcPr>
            <w:tcW w:w="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128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1160" w:type="dxa"/>
            <w:vAlign w:val="bottom"/>
            <w:shd w:val="clear" w:color="auto" w:fill="EAF9E8"/>
          </w:tcPr>
          <w:p>
            <w:pPr>
              <w:spacing w:after="0"/>
              <w:rPr>
                <w:sz w:val="15"/>
                <w:szCs w:val="15"/>
                <w:color w:val="auto"/>
              </w:rPr>
            </w:pPr>
          </w:p>
        </w:tc>
        <w:tc>
          <w:tcPr>
            <w:tcW w:w="200" w:type="dxa"/>
            <w:vAlign w:val="bottom"/>
            <w:shd w:val="clear" w:color="auto" w:fill="EAF9E8"/>
          </w:tcPr>
          <w:p>
            <w:pPr>
              <w:spacing w:after="0"/>
              <w:rPr>
                <w:sz w:val="15"/>
                <w:szCs w:val="15"/>
                <w:color w:val="auto"/>
              </w:rPr>
            </w:pPr>
          </w:p>
        </w:tc>
        <w:tc>
          <w:tcPr>
            <w:tcW w:w="200" w:type="dxa"/>
            <w:vAlign w:val="bottom"/>
            <w:shd w:val="clear" w:color="auto" w:fill="EAF9E8"/>
          </w:tcPr>
          <w:p>
            <w:pPr>
              <w:spacing w:after="0"/>
              <w:rPr>
                <w:sz w:val="15"/>
                <w:szCs w:val="15"/>
                <w:color w:val="auto"/>
              </w:rPr>
            </w:pPr>
          </w:p>
        </w:tc>
        <w:tc>
          <w:tcPr>
            <w:tcW w:w="120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1260" w:type="dxa"/>
            <w:vAlign w:val="bottom"/>
            <w:shd w:val="clear" w:color="auto" w:fill="EAF9E8"/>
          </w:tcPr>
          <w:p>
            <w:pPr>
              <w:spacing w:after="0"/>
              <w:rPr>
                <w:sz w:val="15"/>
                <w:szCs w:val="15"/>
                <w:color w:val="auto"/>
              </w:rPr>
            </w:pPr>
          </w:p>
        </w:tc>
        <w:tc>
          <w:tcPr>
            <w:tcW w:w="38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128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0" w:type="dxa"/>
            <w:vAlign w:val="bottom"/>
            <w:tcBorders>
              <w:top w:val="single" w:sz="8" w:color="auto"/>
            </w:tcBorders>
            <w:shd w:val="clear" w:color="auto" w:fill="EAF9E8"/>
          </w:tcPr>
          <w:p>
            <w:pPr>
              <w:spacing w:after="0" w:line="20" w:lineRule="exact"/>
              <w:rPr>
                <w:sz w:val="1"/>
                <w:szCs w:val="1"/>
                <w:color w:val="auto"/>
              </w:rPr>
            </w:pPr>
          </w:p>
        </w:tc>
        <w:tc>
          <w:tcPr>
            <w:tcW w:w="94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130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28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16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20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1260" w:type="dxa"/>
            <w:vAlign w:val="bottom"/>
            <w:tcBorders>
              <w:top w:val="single" w:sz="8" w:color="EAF9E8"/>
            </w:tcBorders>
            <w:shd w:val="clear" w:color="auto" w:fill="EAF9E8"/>
          </w:tcPr>
          <w:p>
            <w:pPr>
              <w:spacing w:after="0" w:line="20" w:lineRule="exact"/>
              <w:rPr>
                <w:sz w:val="1"/>
                <w:szCs w:val="1"/>
                <w:color w:val="auto"/>
              </w:rPr>
            </w:pPr>
          </w:p>
        </w:tc>
        <w:tc>
          <w:tcPr>
            <w:tcW w:w="38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128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62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88"/>
              </w:rPr>
              <w:t>Senior secured term</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line="201" w:lineRule="exact"/>
              <w:rPr>
                <w:sz w:val="20"/>
                <w:szCs w:val="20"/>
                <w:color w:val="auto"/>
              </w:rPr>
            </w:pPr>
            <w:r>
              <w:rPr>
                <w:rFonts w:ascii="Arial" w:cs="Arial" w:eastAsia="Arial" w:hAnsi="Arial"/>
                <w:sz w:val="18"/>
                <w:szCs w:val="18"/>
                <w:color w:val="auto"/>
              </w:rPr>
              <w:t>1-Month LIBOR</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tcPr>
          <w:p>
            <w:pPr>
              <w:ind w:left="480"/>
              <w:spacing w:after="0"/>
              <w:rPr>
                <w:sz w:val="20"/>
                <w:szCs w:val="20"/>
                <w:color w:val="auto"/>
              </w:rPr>
            </w:pPr>
            <w:r>
              <w:rPr>
                <w:rFonts w:ascii="Arial" w:cs="Arial" w:eastAsia="Arial" w:hAnsi="Arial"/>
                <w:sz w:val="18"/>
                <w:szCs w:val="18"/>
                <w:color w:val="auto"/>
              </w:rPr>
              <w:t>loan (1)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w w:val="95"/>
              </w:rPr>
              <w:t>+ 700 bps with a</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LIBOR floor of</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00" w:type="dxa"/>
            <w:vAlign w:val="bottom"/>
            <w:gridSpan w:val="2"/>
          </w:tcPr>
          <w:p>
            <w:pPr>
              <w:ind w:left="220"/>
              <w:spacing w:after="0"/>
              <w:rPr>
                <w:sz w:val="20"/>
                <w:szCs w:val="20"/>
                <w:color w:val="auto"/>
              </w:rPr>
            </w:pPr>
            <w:r>
              <w:rPr>
                <w:rFonts w:ascii="Arial" w:cs="Arial" w:eastAsia="Arial" w:hAnsi="Arial"/>
                <w:sz w:val="18"/>
                <w:szCs w:val="18"/>
                <w:color w:val="auto"/>
              </w:rPr>
              <w:t>2% (1)</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June 2015</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80"/>
              <w:spacing w:after="0"/>
              <w:rPr>
                <w:sz w:val="20"/>
                <w:szCs w:val="20"/>
                <w:color w:val="auto"/>
              </w:rPr>
            </w:pPr>
            <w:r>
              <w:rPr>
                <w:rFonts w:ascii="Arial" w:cs="Arial" w:eastAsia="Arial" w:hAnsi="Arial"/>
                <w:sz w:val="18"/>
                <w:szCs w:val="18"/>
                <w:color w:val="auto"/>
              </w:rPr>
              <w:t>197,500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20" w:type="dxa"/>
            <w:vAlign w:val="bottom"/>
            <w:gridSpan w:val="2"/>
            <w:shd w:val="clear" w:color="auto" w:fill="EAF9E8"/>
          </w:tcPr>
          <w:p>
            <w:pPr>
              <w:ind w:left="160"/>
              <w:spacing w:after="0" w:line="201" w:lineRule="exact"/>
              <w:rPr>
                <w:sz w:val="20"/>
                <w:szCs w:val="20"/>
                <w:color w:val="auto"/>
              </w:rPr>
            </w:pPr>
            <w:r>
              <w:rPr>
                <w:rFonts w:ascii="Arial" w:cs="Arial" w:eastAsia="Arial" w:hAnsi="Arial"/>
                <w:sz w:val="18"/>
                <w:szCs w:val="18"/>
                <w:color w:val="auto"/>
                <w:w w:val="88"/>
              </w:rPr>
              <w:t>Fee reimburse-ment</w:t>
            </w:r>
          </w:p>
        </w:tc>
        <w:tc>
          <w:tcPr>
            <w:tcW w:w="22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3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2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16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28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advance</w:t>
            </w:r>
          </w:p>
        </w:tc>
        <w:tc>
          <w:tcPr>
            <w:tcW w:w="1600" w:type="dxa"/>
            <w:vAlign w:val="bottom"/>
            <w:gridSpan w:val="3"/>
            <w:shd w:val="clear" w:color="auto" w:fill="EAF9E8"/>
          </w:tcPr>
          <w:p>
            <w:pPr>
              <w:ind w:left="220"/>
              <w:spacing w:after="0"/>
              <w:rPr>
                <w:sz w:val="20"/>
                <w:szCs w:val="20"/>
                <w:color w:val="auto"/>
              </w:rPr>
            </w:pPr>
            <w:r>
              <w:rPr>
                <w:rFonts w:ascii="Arial" w:cs="Arial" w:eastAsia="Arial" w:hAnsi="Arial"/>
                <w:sz w:val="18"/>
                <w:szCs w:val="18"/>
                <w:color w:val="auto"/>
              </w:rPr>
              <w:t>Term note (2)</w:t>
            </w:r>
          </w:p>
        </w:tc>
        <w:tc>
          <w:tcPr>
            <w:tcW w:w="220" w:type="dxa"/>
            <w:vAlign w:val="bottom"/>
            <w:shd w:val="clear" w:color="auto" w:fill="EAF9E8"/>
          </w:tcPr>
          <w:p>
            <w:pPr>
              <w:spacing w:after="0"/>
              <w:rPr>
                <w:sz w:val="20"/>
                <w:szCs w:val="20"/>
                <w:color w:val="auto"/>
              </w:rPr>
            </w:pPr>
          </w:p>
        </w:tc>
        <w:tc>
          <w:tcPr>
            <w:tcW w:w="1280" w:type="dxa"/>
            <w:vAlign w:val="bottom"/>
            <w:shd w:val="clear" w:color="auto" w:fill="EAF9E8"/>
          </w:tcPr>
          <w:p>
            <w:pPr>
              <w:spacing w:after="0"/>
              <w:rPr>
                <w:sz w:val="20"/>
                <w:szCs w:val="20"/>
                <w:color w:val="auto"/>
              </w:rPr>
            </w:pPr>
            <w:r>
              <w:rPr>
                <w:rFonts w:ascii="Arial" w:cs="Arial" w:eastAsia="Arial" w:hAnsi="Arial"/>
                <w:sz w:val="18"/>
                <w:szCs w:val="18"/>
                <w:color w:val="auto"/>
              </w:rPr>
              <w:t>Zero coupon</w:t>
            </w:r>
          </w:p>
        </w:tc>
        <w:tc>
          <w:tcPr>
            <w:tcW w:w="220" w:type="dxa"/>
            <w:vAlign w:val="bottom"/>
            <w:shd w:val="clear" w:color="auto" w:fill="EAF9E8"/>
          </w:tcPr>
          <w:p>
            <w:pPr>
              <w:spacing w:after="0"/>
              <w:rPr>
                <w:sz w:val="20"/>
                <w:szCs w:val="20"/>
                <w:color w:val="auto"/>
              </w:rPr>
            </w:pPr>
          </w:p>
        </w:tc>
        <w:tc>
          <w:tcPr>
            <w:tcW w:w="1160" w:type="dxa"/>
            <w:vAlign w:val="bottom"/>
            <w:shd w:val="clear" w:color="auto" w:fill="EAF9E8"/>
          </w:tcPr>
          <w:p>
            <w:pPr>
              <w:spacing w:after="0"/>
              <w:rPr>
                <w:sz w:val="20"/>
                <w:szCs w:val="20"/>
                <w:color w:val="auto"/>
              </w:rPr>
            </w:pPr>
            <w:r>
              <w:rPr>
                <w:rFonts w:ascii="Arial" w:cs="Arial" w:eastAsia="Arial" w:hAnsi="Arial"/>
                <w:sz w:val="18"/>
                <w:szCs w:val="18"/>
                <w:color w:val="auto"/>
              </w:rPr>
              <w:t>March 2014</w:t>
            </w:r>
          </w:p>
        </w:tc>
        <w:tc>
          <w:tcPr>
            <w:tcW w:w="20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360" w:type="dxa"/>
            <w:vAlign w:val="bottom"/>
            <w:gridSpan w:val="2"/>
            <w:shd w:val="clear" w:color="auto" w:fill="EAF9E8"/>
          </w:tcPr>
          <w:p>
            <w:pPr>
              <w:ind w:left="10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6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48,000</w:t>
            </w:r>
          </w:p>
        </w:tc>
        <w:tc>
          <w:tcPr>
            <w:tcW w:w="140" w:type="dxa"/>
            <w:vAlign w:val="bottom"/>
            <w:shd w:val="clear" w:color="auto" w:fill="EAF9E8"/>
          </w:tcPr>
          <w:p>
            <w:pPr>
              <w:spacing w:after="0"/>
              <w:rPr>
                <w:sz w:val="20"/>
                <w:szCs w:val="20"/>
                <w:color w:val="auto"/>
              </w:rPr>
            </w:pPr>
          </w:p>
        </w:tc>
        <w:tc>
          <w:tcPr>
            <w:tcW w:w="14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Term note (3)</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line="201" w:lineRule="exact"/>
              <w:rPr>
                <w:sz w:val="20"/>
                <w:szCs w:val="20"/>
                <w:color w:val="auto"/>
              </w:rPr>
            </w:pPr>
            <w:r>
              <w:rPr>
                <w:rFonts w:ascii="Arial" w:cs="Arial" w:eastAsia="Arial" w:hAnsi="Arial"/>
                <w:sz w:val="18"/>
                <w:szCs w:val="18"/>
                <w:color w:val="auto"/>
              </w:rPr>
              <w:t>1-Month LIBOR</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+ 350 basis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Advances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points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March 2014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ind w:left="10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8"/>
                <w:szCs w:val="18"/>
                <w:color w:val="auto"/>
              </w:rPr>
              <w:t>5,600</w:t>
            </w:r>
          </w:p>
        </w:tc>
        <w:tc>
          <w:tcPr>
            <w:tcW w:w="14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shd w:val="clear" w:color="auto" w:fill="EAF9E8"/>
          </w:tcPr>
          <w:p>
            <w:pPr>
              <w:spacing w:after="0"/>
              <w:rPr>
                <w:sz w:val="19"/>
                <w:szCs w:val="19"/>
                <w:color w:val="auto"/>
              </w:rPr>
            </w:pPr>
          </w:p>
        </w:tc>
        <w:tc>
          <w:tcPr>
            <w:tcW w:w="94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28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200" w:type="dxa"/>
            <w:vAlign w:val="bottom"/>
            <w:shd w:val="clear" w:color="auto" w:fill="EAF9E8"/>
          </w:tcPr>
          <w:p>
            <w:pPr>
              <w:ind w:left="10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6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251,100</w:t>
            </w:r>
          </w:p>
        </w:tc>
        <w:tc>
          <w:tcPr>
            <w:tcW w:w="140" w:type="dxa"/>
            <w:vAlign w:val="bottom"/>
            <w:shd w:val="clear" w:color="auto" w:fill="EAF9E8"/>
          </w:tcPr>
          <w:p>
            <w:pPr>
              <w:spacing w:after="0"/>
              <w:rPr>
                <w:sz w:val="19"/>
                <w:szCs w:val="19"/>
                <w:color w:val="auto"/>
              </w:rPr>
            </w:pPr>
          </w:p>
        </w:tc>
        <w:tc>
          <w:tcPr>
            <w:tcW w:w="14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67,000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20" w:type="dxa"/>
            <w:vAlign w:val="bottom"/>
            <w:tcBorders>
              <w:top w:val="single" w:sz="8" w:color="EAF9E8"/>
            </w:tcBorders>
            <w:gridSpan w:val="5"/>
          </w:tcPr>
          <w:p>
            <w:pPr>
              <w:spacing w:after="0" w:line="176" w:lineRule="exact"/>
              <w:rPr>
                <w:sz w:val="20"/>
                <w:szCs w:val="20"/>
                <w:color w:val="auto"/>
              </w:rPr>
            </w:pPr>
            <w:r>
              <w:rPr>
                <w:rFonts w:ascii="Arial" w:cs="Arial" w:eastAsia="Arial" w:hAnsi="Arial"/>
                <w:sz w:val="18"/>
                <w:szCs w:val="18"/>
                <w:color w:val="auto"/>
              </w:rPr>
              <w:t>Corporate Items and Other</w:t>
            </w:r>
          </w:p>
        </w:tc>
        <w:tc>
          <w:tcPr>
            <w:tcW w:w="220" w:type="dxa"/>
            <w:vAlign w:val="bottom"/>
            <w:tcBorders>
              <w:top w:val="single" w:sz="8" w:color="EAF9E8"/>
            </w:tcBorders>
          </w:tcPr>
          <w:p>
            <w:pPr>
              <w:spacing w:after="0"/>
              <w:rPr>
                <w:sz w:val="15"/>
                <w:szCs w:val="15"/>
                <w:color w:val="auto"/>
              </w:rPr>
            </w:pPr>
          </w:p>
        </w:tc>
        <w:tc>
          <w:tcPr>
            <w:tcW w:w="1280" w:type="dxa"/>
            <w:vAlign w:val="bottom"/>
            <w:tcBorders>
              <w:top w:val="single" w:sz="8" w:color="EAF9E8"/>
            </w:tcBorders>
          </w:tcPr>
          <w:p>
            <w:pPr>
              <w:spacing w:after="0"/>
              <w:rPr>
                <w:sz w:val="15"/>
                <w:szCs w:val="15"/>
                <w:color w:val="auto"/>
              </w:rPr>
            </w:pPr>
          </w:p>
        </w:tc>
        <w:tc>
          <w:tcPr>
            <w:tcW w:w="220" w:type="dxa"/>
            <w:vAlign w:val="bottom"/>
            <w:tcBorders>
              <w:top w:val="single" w:sz="8" w:color="EAF9E8"/>
            </w:tcBorders>
          </w:tcPr>
          <w:p>
            <w:pPr>
              <w:spacing w:after="0"/>
              <w:rPr>
                <w:sz w:val="15"/>
                <w:szCs w:val="15"/>
                <w:color w:val="auto"/>
              </w:rPr>
            </w:pPr>
          </w:p>
        </w:tc>
        <w:tc>
          <w:tcPr>
            <w:tcW w:w="1160" w:type="dxa"/>
            <w:vAlign w:val="bottom"/>
            <w:tcBorders>
              <w:top w:val="single" w:sz="8" w:color="EAF9E8"/>
            </w:tcBorders>
          </w:tcPr>
          <w:p>
            <w:pPr>
              <w:spacing w:after="0"/>
              <w:rPr>
                <w:sz w:val="15"/>
                <w:szCs w:val="15"/>
                <w:color w:val="auto"/>
              </w:rPr>
            </w:pPr>
          </w:p>
        </w:tc>
        <w:tc>
          <w:tcPr>
            <w:tcW w:w="200" w:type="dxa"/>
            <w:vAlign w:val="bottom"/>
            <w:tcBorders>
              <w:top w:val="single" w:sz="8" w:color="EAF9E8"/>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60" w:type="dxa"/>
            <w:vAlign w:val="bottom"/>
            <w:tcBorders>
              <w:top w:val="single" w:sz="8" w:color="EAF9E8"/>
            </w:tcBorders>
          </w:tcPr>
          <w:p>
            <w:pPr>
              <w:spacing w:after="0"/>
              <w:rPr>
                <w:sz w:val="15"/>
                <w:szCs w:val="15"/>
                <w:color w:val="auto"/>
              </w:rPr>
            </w:pPr>
          </w:p>
        </w:tc>
        <w:tc>
          <w:tcPr>
            <w:tcW w:w="160" w:type="dxa"/>
            <w:vAlign w:val="bottom"/>
            <w:tcBorders>
              <w:top w:val="single" w:sz="8" w:color="EAF9E8"/>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380" w:type="dxa"/>
            <w:vAlign w:val="bottom"/>
            <w:tcBorders>
              <w:top w:val="single" w:sz="8" w:color="EAF9E8"/>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80" w:type="dxa"/>
            <w:vAlign w:val="bottom"/>
            <w:tcBorders>
              <w:top w:val="single" w:sz="8" w:color="EAF9E8"/>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620" w:type="dxa"/>
            <w:vAlign w:val="bottom"/>
            <w:gridSpan w:val="2"/>
            <w:shd w:val="clear" w:color="auto" w:fill="EAF9E8"/>
          </w:tcPr>
          <w:p>
            <w:pPr>
              <w:ind w:left="160"/>
              <w:spacing w:after="0" w:line="201" w:lineRule="exact"/>
              <w:rPr>
                <w:sz w:val="20"/>
                <w:szCs w:val="20"/>
                <w:color w:val="auto"/>
              </w:rPr>
            </w:pPr>
            <w:r>
              <w:rPr>
                <w:rFonts w:ascii="Arial" w:cs="Arial" w:eastAsia="Arial" w:hAnsi="Arial"/>
                <w:sz w:val="18"/>
                <w:szCs w:val="18"/>
                <w:color w:val="auto"/>
              </w:rPr>
              <w:t>Securities sold</w:t>
            </w:r>
          </w:p>
        </w:tc>
        <w:tc>
          <w:tcPr>
            <w:tcW w:w="1600" w:type="dxa"/>
            <w:vAlign w:val="bottom"/>
            <w:gridSpan w:val="3"/>
            <w:shd w:val="clear" w:color="auto" w:fill="EAF9E8"/>
          </w:tcPr>
          <w:p>
            <w:pPr>
              <w:ind w:left="220"/>
              <w:spacing w:after="0" w:line="201" w:lineRule="exact"/>
              <w:rPr>
                <w:sz w:val="20"/>
                <w:szCs w:val="20"/>
                <w:color w:val="auto"/>
              </w:rPr>
            </w:pPr>
            <w:r>
              <w:rPr>
                <w:rFonts w:ascii="Arial" w:cs="Arial" w:eastAsia="Arial" w:hAnsi="Arial"/>
                <w:sz w:val="18"/>
                <w:szCs w:val="18"/>
                <w:color w:val="auto"/>
                <w:w w:val="88"/>
              </w:rPr>
              <w:t>Ocwen Real Estate</w:t>
            </w:r>
          </w:p>
        </w:tc>
        <w:tc>
          <w:tcPr>
            <w:tcW w:w="220" w:type="dxa"/>
            <w:vAlign w:val="bottom"/>
            <w:shd w:val="clear" w:color="auto" w:fill="EAF9E8"/>
          </w:tcPr>
          <w:p>
            <w:pPr>
              <w:spacing w:after="0"/>
              <w:rPr>
                <w:sz w:val="17"/>
                <w:szCs w:val="17"/>
                <w:color w:val="auto"/>
              </w:rPr>
            </w:pPr>
          </w:p>
        </w:tc>
        <w:tc>
          <w:tcPr>
            <w:tcW w:w="12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16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28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under an</w:t>
            </w:r>
          </w:p>
        </w:tc>
        <w:tc>
          <w:tcPr>
            <w:tcW w:w="1600" w:type="dxa"/>
            <w:vAlign w:val="bottom"/>
            <w:gridSpan w:val="3"/>
            <w:shd w:val="clear" w:color="auto" w:fill="EAF9E8"/>
          </w:tcPr>
          <w:p>
            <w:pPr>
              <w:ind w:left="220"/>
              <w:spacing w:after="0"/>
              <w:rPr>
                <w:sz w:val="20"/>
                <w:szCs w:val="20"/>
                <w:color w:val="auto"/>
              </w:rPr>
            </w:pPr>
            <w:r>
              <w:rPr>
                <w:rFonts w:ascii="Arial" w:cs="Arial" w:eastAsia="Arial" w:hAnsi="Arial"/>
                <w:sz w:val="18"/>
                <w:szCs w:val="18"/>
                <w:color w:val="auto"/>
                <w:w w:val="99"/>
              </w:rPr>
              <w:t>Asset Liquidating</w:t>
            </w:r>
          </w:p>
        </w:tc>
        <w:tc>
          <w:tcPr>
            <w:tcW w:w="22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agreement to</w:t>
            </w:r>
          </w:p>
        </w:tc>
        <w:tc>
          <w:tcPr>
            <w:tcW w:w="1600" w:type="dxa"/>
            <w:vAlign w:val="bottom"/>
            <w:gridSpan w:val="3"/>
            <w:shd w:val="clear" w:color="auto" w:fill="EAF9E8"/>
          </w:tcPr>
          <w:p>
            <w:pPr>
              <w:ind w:left="220"/>
              <w:spacing w:after="0"/>
              <w:rPr>
                <w:sz w:val="20"/>
                <w:szCs w:val="20"/>
                <w:color w:val="auto"/>
              </w:rPr>
            </w:pPr>
            <w:r>
              <w:rPr>
                <w:rFonts w:ascii="Arial" w:cs="Arial" w:eastAsia="Arial" w:hAnsi="Arial"/>
                <w:sz w:val="18"/>
                <w:szCs w:val="18"/>
                <w:color w:val="auto"/>
              </w:rPr>
              <w:t>Trust 2007-1</w:t>
            </w:r>
          </w:p>
        </w:tc>
        <w:tc>
          <w:tcPr>
            <w:tcW w:w="22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repurchase (4)</w:t>
            </w:r>
          </w:p>
        </w:tc>
        <w:tc>
          <w:tcPr>
            <w:tcW w:w="1600" w:type="dxa"/>
            <w:vAlign w:val="bottom"/>
            <w:gridSpan w:val="3"/>
            <w:shd w:val="clear" w:color="auto" w:fill="EAF9E8"/>
          </w:tcPr>
          <w:p>
            <w:pPr>
              <w:ind w:left="220"/>
              <w:spacing w:after="0"/>
              <w:rPr>
                <w:sz w:val="20"/>
                <w:szCs w:val="20"/>
                <w:color w:val="auto"/>
              </w:rPr>
            </w:pPr>
            <w:r>
              <w:rPr>
                <w:rFonts w:ascii="Arial" w:cs="Arial" w:eastAsia="Arial" w:hAnsi="Arial"/>
                <w:sz w:val="18"/>
                <w:szCs w:val="18"/>
                <w:color w:val="auto"/>
              </w:rPr>
              <w:t>Notes</w:t>
            </w:r>
          </w:p>
        </w:tc>
        <w:tc>
          <w:tcPr>
            <w:tcW w:w="1500" w:type="dxa"/>
            <w:vAlign w:val="bottom"/>
            <w:gridSpan w:val="2"/>
            <w:shd w:val="clear" w:color="auto" w:fill="EAF9E8"/>
          </w:tcPr>
          <w:p>
            <w:pPr>
              <w:jc w:val="right"/>
              <w:ind w:right="450"/>
              <w:spacing w:after="0"/>
              <w:rPr>
                <w:sz w:val="20"/>
                <w:szCs w:val="20"/>
                <w:color w:val="auto"/>
              </w:rPr>
            </w:pPr>
            <w:r>
              <w:rPr>
                <w:rFonts w:ascii="Arial" w:cs="Arial" w:eastAsia="Arial" w:hAnsi="Arial"/>
                <w:sz w:val="18"/>
                <w:szCs w:val="18"/>
                <w:color w:val="auto"/>
              </w:rPr>
              <w:t>(4)</w:t>
            </w:r>
          </w:p>
        </w:tc>
        <w:tc>
          <w:tcPr>
            <w:tcW w:w="1380" w:type="dxa"/>
            <w:vAlign w:val="bottom"/>
            <w:gridSpan w:val="2"/>
            <w:shd w:val="clear" w:color="auto" w:fill="EAF9E8"/>
          </w:tcPr>
          <w:p>
            <w:pPr>
              <w:jc w:val="right"/>
              <w:ind w:right="390"/>
              <w:spacing w:after="0"/>
              <w:rPr>
                <w:sz w:val="20"/>
                <w:szCs w:val="20"/>
                <w:color w:val="auto"/>
              </w:rPr>
            </w:pPr>
            <w:r>
              <w:rPr>
                <w:rFonts w:ascii="Arial" w:cs="Arial" w:eastAsia="Arial" w:hAnsi="Arial"/>
                <w:sz w:val="18"/>
                <w:szCs w:val="18"/>
                <w:color w:val="auto"/>
              </w:rPr>
              <w:t>(4)</w:t>
            </w:r>
          </w:p>
        </w:tc>
        <w:tc>
          <w:tcPr>
            <w:tcW w:w="20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200" w:type="dxa"/>
            <w:vAlign w:val="bottom"/>
            <w:shd w:val="clear" w:color="auto" w:fill="EAF9E8"/>
          </w:tcPr>
          <w:p>
            <w:pPr>
              <w:ind w:left="10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6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7,774</w:t>
            </w:r>
          </w:p>
        </w:tc>
        <w:tc>
          <w:tcPr>
            <w:tcW w:w="140" w:type="dxa"/>
            <w:vAlign w:val="bottom"/>
            <w:shd w:val="clear" w:color="auto" w:fill="EAF9E8"/>
          </w:tcPr>
          <w:p>
            <w:pPr>
              <w:spacing w:after="0"/>
              <w:rPr>
                <w:sz w:val="20"/>
                <w:szCs w:val="20"/>
                <w:color w:val="auto"/>
              </w:rPr>
            </w:pPr>
          </w:p>
        </w:tc>
        <w:tc>
          <w:tcPr>
            <w:tcW w:w="14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shd w:val="clear" w:color="auto" w:fill="EAF9E8"/>
          </w:tcPr>
          <w:p>
            <w:pPr>
              <w:spacing w:after="0"/>
              <w:rPr>
                <w:sz w:val="2"/>
                <w:szCs w:val="2"/>
                <w:color w:val="auto"/>
              </w:rPr>
            </w:pPr>
          </w:p>
        </w:tc>
        <w:tc>
          <w:tcPr>
            <w:tcW w:w="94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80" w:type="dxa"/>
            <w:vAlign w:val="bottom"/>
            <w:shd w:val="clear" w:color="auto" w:fill="EAF9E8"/>
          </w:tcPr>
          <w:p>
            <w:pPr>
              <w:spacing w:after="0"/>
              <w:rPr>
                <w:sz w:val="2"/>
                <w:szCs w:val="2"/>
                <w:color w:val="auto"/>
              </w:rPr>
            </w:pPr>
          </w:p>
        </w:tc>
        <w:tc>
          <w:tcPr>
            <w:tcW w:w="130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28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16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80" w:type="dxa"/>
            <w:vAlign w:val="bottom"/>
            <w:shd w:val="clear" w:color="auto" w:fill="EAF9E8"/>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ind w:left="10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8"/>
                <w:szCs w:val="18"/>
                <w:color w:val="auto"/>
              </w:rPr>
              <w:t>7,774</w:t>
            </w:r>
          </w:p>
        </w:tc>
        <w:tc>
          <w:tcPr>
            <w:tcW w:w="1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6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258,874</w:t>
            </w:r>
          </w:p>
        </w:tc>
        <w:tc>
          <w:tcPr>
            <w:tcW w:w="140" w:type="dxa"/>
            <w:vAlign w:val="bottom"/>
            <w:shd w:val="clear" w:color="auto" w:fill="EAF9E8"/>
          </w:tcPr>
          <w:p>
            <w:pPr>
              <w:spacing w:after="0"/>
              <w:rPr>
                <w:sz w:val="18"/>
                <w:szCs w:val="18"/>
                <w:color w:val="auto"/>
              </w:rPr>
            </w:pPr>
          </w:p>
        </w:tc>
        <w:tc>
          <w:tcPr>
            <w:tcW w:w="14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67,000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Discount (1) (2)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ind w:left="10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(12,801)</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(11,190)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80" w:type="dxa"/>
            <w:vAlign w:val="bottom"/>
            <w:shd w:val="clear" w:color="auto" w:fill="EAF9E8"/>
          </w:tcPr>
          <w:p>
            <w:pPr>
              <w:spacing w:after="0"/>
              <w:rPr>
                <w:sz w:val="22"/>
                <w:szCs w:val="22"/>
                <w:color w:val="auto"/>
              </w:rPr>
            </w:pPr>
          </w:p>
        </w:tc>
        <w:tc>
          <w:tcPr>
            <w:tcW w:w="940" w:type="dxa"/>
            <w:vAlign w:val="bottom"/>
            <w:shd w:val="clear" w:color="auto" w:fill="EAF9E8"/>
          </w:tcPr>
          <w:p>
            <w:pPr>
              <w:spacing w:after="0"/>
              <w:rPr>
                <w:sz w:val="22"/>
                <w:szCs w:val="22"/>
                <w:color w:val="auto"/>
              </w:rPr>
            </w:pPr>
          </w:p>
        </w:tc>
        <w:tc>
          <w:tcPr>
            <w:tcW w:w="220" w:type="dxa"/>
            <w:vAlign w:val="bottom"/>
            <w:shd w:val="clear" w:color="auto" w:fill="EAF9E8"/>
          </w:tcPr>
          <w:p>
            <w:pPr>
              <w:spacing w:after="0"/>
              <w:rPr>
                <w:sz w:val="22"/>
                <w:szCs w:val="22"/>
                <w:color w:val="auto"/>
              </w:rPr>
            </w:pPr>
          </w:p>
        </w:tc>
        <w:tc>
          <w:tcPr>
            <w:tcW w:w="80" w:type="dxa"/>
            <w:vAlign w:val="bottom"/>
            <w:shd w:val="clear" w:color="auto" w:fill="EAF9E8"/>
          </w:tcPr>
          <w:p>
            <w:pPr>
              <w:spacing w:after="0"/>
              <w:rPr>
                <w:sz w:val="22"/>
                <w:szCs w:val="22"/>
                <w:color w:val="auto"/>
              </w:rPr>
            </w:pPr>
          </w:p>
        </w:tc>
        <w:tc>
          <w:tcPr>
            <w:tcW w:w="1300" w:type="dxa"/>
            <w:vAlign w:val="bottom"/>
            <w:shd w:val="clear" w:color="auto" w:fill="EAF9E8"/>
          </w:tcPr>
          <w:p>
            <w:pPr>
              <w:spacing w:after="0"/>
              <w:rPr>
                <w:sz w:val="22"/>
                <w:szCs w:val="22"/>
                <w:color w:val="auto"/>
              </w:rPr>
            </w:pPr>
          </w:p>
        </w:tc>
        <w:tc>
          <w:tcPr>
            <w:tcW w:w="220" w:type="dxa"/>
            <w:vAlign w:val="bottom"/>
            <w:shd w:val="clear" w:color="auto" w:fill="EAF9E8"/>
          </w:tcPr>
          <w:p>
            <w:pPr>
              <w:spacing w:after="0"/>
              <w:rPr>
                <w:sz w:val="22"/>
                <w:szCs w:val="22"/>
                <w:color w:val="auto"/>
              </w:rPr>
            </w:pPr>
          </w:p>
        </w:tc>
        <w:tc>
          <w:tcPr>
            <w:tcW w:w="1280" w:type="dxa"/>
            <w:vAlign w:val="bottom"/>
            <w:shd w:val="clear" w:color="auto" w:fill="EAF9E8"/>
          </w:tcPr>
          <w:p>
            <w:pPr>
              <w:spacing w:after="0"/>
              <w:rPr>
                <w:sz w:val="22"/>
                <w:szCs w:val="22"/>
                <w:color w:val="auto"/>
              </w:rPr>
            </w:pPr>
          </w:p>
        </w:tc>
        <w:tc>
          <w:tcPr>
            <w:tcW w:w="220" w:type="dxa"/>
            <w:vAlign w:val="bottom"/>
            <w:shd w:val="clear" w:color="auto" w:fill="EAF9E8"/>
          </w:tcPr>
          <w:p>
            <w:pPr>
              <w:spacing w:after="0"/>
              <w:rPr>
                <w:sz w:val="22"/>
                <w:szCs w:val="22"/>
                <w:color w:val="auto"/>
              </w:rPr>
            </w:pPr>
          </w:p>
        </w:tc>
        <w:tc>
          <w:tcPr>
            <w:tcW w:w="116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2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EAF9E8"/>
          </w:tcPr>
          <w:p>
            <w:pPr>
              <w:ind w:left="10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246,073</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55,810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 w:type="dxa"/>
            <w:vAlign w:val="bottom"/>
            <w:tcBorders>
              <w:top w:val="single" w:sz="8" w:color="EAF9E8"/>
            </w:tcBorders>
          </w:tcPr>
          <w:p>
            <w:pPr>
              <w:spacing w:after="0"/>
              <w:rPr>
                <w:sz w:val="18"/>
                <w:szCs w:val="18"/>
                <w:color w:val="auto"/>
              </w:rPr>
            </w:pPr>
          </w:p>
        </w:tc>
        <w:tc>
          <w:tcPr>
            <w:tcW w:w="1160" w:type="dxa"/>
            <w:vAlign w:val="bottom"/>
            <w:tcBorders>
              <w:top w:val="single" w:sz="8" w:color="EAF9E8"/>
            </w:tcBorders>
            <w:gridSpan w:val="2"/>
          </w:tcPr>
          <w:p>
            <w:pPr>
              <w:spacing w:after="0"/>
              <w:rPr>
                <w:sz w:val="18"/>
                <w:szCs w:val="18"/>
                <w:color w:val="auto"/>
              </w:rPr>
            </w:pPr>
          </w:p>
        </w:tc>
        <w:tc>
          <w:tcPr>
            <w:tcW w:w="80" w:type="dxa"/>
            <w:vAlign w:val="bottom"/>
            <w:tcBorders>
              <w:top w:val="single" w:sz="8" w:color="EAF9E8"/>
            </w:tcBorders>
          </w:tcPr>
          <w:p>
            <w:pPr>
              <w:spacing w:after="0"/>
              <w:rPr>
                <w:sz w:val="18"/>
                <w:szCs w:val="18"/>
                <w:color w:val="auto"/>
              </w:rPr>
            </w:pPr>
          </w:p>
        </w:tc>
        <w:tc>
          <w:tcPr>
            <w:tcW w:w="130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128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116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EAF9E8"/>
            </w:tcBorders>
          </w:tcPr>
          <w:p>
            <w:pPr>
              <w:spacing w:after="0"/>
              <w:rPr>
                <w:sz w:val="18"/>
                <w:szCs w:val="18"/>
                <w:color w:val="auto"/>
              </w:rPr>
            </w:pPr>
          </w:p>
        </w:tc>
        <w:tc>
          <w:tcPr>
            <w:tcW w:w="160" w:type="dxa"/>
            <w:vAlign w:val="bottom"/>
            <w:tcBorders>
              <w:top w:val="single" w:sz="8" w:color="EAF9E8"/>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80" w:type="dxa"/>
            <w:vAlign w:val="bottom"/>
            <w:tcBorders>
              <w:top w:val="single" w:sz="8" w:color="EAF9E8"/>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5"/>
            <w:shd w:val="clear" w:color="auto" w:fill="EAF9E8"/>
          </w:tcPr>
          <w:p>
            <w:pPr>
              <w:spacing w:after="0"/>
              <w:rPr>
                <w:sz w:val="20"/>
                <w:szCs w:val="20"/>
                <w:color w:val="auto"/>
              </w:rPr>
            </w:pPr>
            <w:r>
              <w:rPr>
                <w:rFonts w:ascii="Arial" w:cs="Arial" w:eastAsia="Arial" w:hAnsi="Arial"/>
                <w:sz w:val="18"/>
                <w:szCs w:val="18"/>
                <w:color w:val="auto"/>
              </w:rPr>
              <w:t>Weighted average interest rate</w:t>
            </w:r>
          </w:p>
        </w:tc>
        <w:tc>
          <w:tcPr>
            <w:tcW w:w="22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6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8.90%</w:t>
            </w:r>
          </w:p>
        </w:tc>
        <w:tc>
          <w:tcPr>
            <w:tcW w:w="140" w:type="dxa"/>
            <w:vAlign w:val="bottom"/>
            <w:shd w:val="clear" w:color="auto" w:fill="EAF9E8"/>
          </w:tcPr>
          <w:p>
            <w:pPr>
              <w:spacing w:after="0"/>
              <w:rPr>
                <w:sz w:val="18"/>
                <w:szCs w:val="18"/>
                <w:color w:val="auto"/>
              </w:rPr>
            </w:pPr>
          </w:p>
        </w:tc>
        <w:tc>
          <w:tcPr>
            <w:tcW w:w="14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line="288" w:lineRule="auto"/>
        <w:tabs>
          <w:tab w:leader="none" w:pos="5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On July 29, 2010, we entered into a senior secured term loan facility agreement and borrowed $350,000 that was used to fund a portion of the HomEq Acquisition as well as for general corporate purposes. The loan was issued with an original issue discount of $7,000 that we are amortizing over the life of the loans. Borrowings bear interest, at the election of Ocwen, at a rate per annum equal to either (a) the greatest of (i) the prime rate of Barclays Bank PLC in effect on such day, (ii) the federal funds effective rate in effect on such day plus 0.50% and (iii) the one-month Eurodollar rate (1-Month LIBOR), in each case plus the applicable margin of 6.00% and a floor of 3.00% or (b) 1-Month LIBOR, plus the applicable margin of 7.00% with a 1-Month LIBOR floor of 2.00%. We are required to repay the principal amount in consecutive quarterly installments of $8,750 commencing September 30, 2010, with the balance becoming due on July 29, 2015. Payments in excess of the mandatory quarterly installments also serve to reduce borrowing capacity under this facility, so that capacity always equals the amount outstanding. We have pledged otherwise unencumbered cash, MSRs, advances, receivables, premises and equipment and other assets, excluding interest earning collateral and debt service accounts, as collateral for this loan. On January 8, 2011, we prepaid $67,500 and on February 9, 2011 we prepaid an additional $95,000 reducing the balance to $35,000.</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491" w:gutter="0" w:footer="0" w:header="0"/>
        </w:sectPr>
      </w:pPr>
    </w:p>
    <w:bookmarkStart w:id="95" w:name="page96"/>
    <w:bookmarkEnd w:id="95"/>
    <w:p>
      <w:pPr>
        <w:ind w:left="580" w:right="20" w:hanging="572"/>
        <w:spacing w:after="0" w:line="273" w:lineRule="auto"/>
        <w:tabs>
          <w:tab w:leader="none" w:pos="5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We have pledged our interest in a $60,000 term note issued by OSAF on March 31, 2009 as collateral for this advance. In turn, we have pledged advances on loans serviced for others as collateral for the OSAF note, similar to match funded advances and liabilities. The fee reimbursement advance is payable annually in five installments of $12,000. The advance does not carry a stated rate of interest. However, we are compensating the lender for the advance of funds by forgoing the receipt of fees due from the lender over the five-year term of the advance. Accordingly, we recorded the advance as a zero-coupon bond issued at an initial implied discount of $14,627. We used an implicit market rate of 10.1% to compute the discount that we are amortizing to interest expense over the five-year term of the advance.</w:t>
      </w:r>
    </w:p>
    <w:p>
      <w:pPr>
        <w:spacing w:after="0" w:line="178" w:lineRule="exact"/>
        <w:rPr>
          <w:rFonts w:ascii="Arial" w:cs="Arial" w:eastAsia="Arial" w:hAnsi="Arial"/>
          <w:sz w:val="17"/>
          <w:szCs w:val="17"/>
          <w:color w:val="auto"/>
        </w:rPr>
      </w:pPr>
    </w:p>
    <w:p>
      <w:pPr>
        <w:ind w:left="580" w:right="180" w:hanging="572"/>
        <w:spacing w:after="0" w:line="308" w:lineRule="auto"/>
        <w:tabs>
          <w:tab w:leader="none" w:pos="5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This note was issued by OSAF and is secured by advances on loans serviced for others, similar to match funded advances and liabilities. The lender has pledged its interest in this note to us as collateral against the $5,600 term note receivable. See Note 13 additional information.</w:t>
      </w:r>
    </w:p>
    <w:p>
      <w:pPr>
        <w:spacing w:after="0" w:line="146" w:lineRule="exact"/>
        <w:rPr>
          <w:rFonts w:ascii="Arial" w:cs="Arial" w:eastAsia="Arial" w:hAnsi="Arial"/>
          <w:sz w:val="17"/>
          <w:szCs w:val="17"/>
          <w:color w:val="auto"/>
        </w:rPr>
      </w:pPr>
    </w:p>
    <w:p>
      <w:pPr>
        <w:ind w:left="580" w:right="20" w:hanging="572"/>
        <w:spacing w:after="0" w:line="302" w:lineRule="auto"/>
        <w:tabs>
          <w:tab w:leader="none" w:pos="5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 August 2010, we obtained financing under a repurchase agreement for the Class A-2 and A-3 notes issued by Ocwen Real Estate Asset Liquidating Trust 2007-1 with a face value of $33,605. This agreement has no stated credit limit and lending is determined for each transaction based on the acceptability of the securities presented as collateral. Borrowings mature and are renewed monthly. The borrowings on the Class A-2 notes bear interest at 1-Month LIBOR + 200 basis points and borrowings on the Class A-3 notes bear interest at 1-Month LIBOR + 300 basis points.</w:t>
      </w:r>
    </w:p>
    <w:p>
      <w:pPr>
        <w:spacing w:after="0" w:line="15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INVESTMENT LINE</w:t>
      </w:r>
    </w:p>
    <w:p>
      <w:pPr>
        <w:spacing w:after="0" w:line="229" w:lineRule="exact"/>
        <w:rPr>
          <w:sz w:val="20"/>
          <w:szCs w:val="20"/>
          <w:color w:val="auto"/>
        </w:rPr>
      </w:pPr>
    </w:p>
    <w:p>
      <w:pPr>
        <w:ind w:right="40" w:firstLine="663"/>
        <w:spacing w:after="0" w:line="264" w:lineRule="auto"/>
        <w:rPr>
          <w:sz w:val="20"/>
          <w:szCs w:val="20"/>
          <w:color w:val="auto"/>
        </w:rPr>
      </w:pPr>
      <w:r>
        <w:rPr>
          <w:rFonts w:ascii="Arial" w:cs="Arial" w:eastAsia="Arial" w:hAnsi="Arial"/>
          <w:sz w:val="18"/>
          <w:szCs w:val="18"/>
          <w:color w:val="auto"/>
        </w:rPr>
        <w:t>The investment line term note was secured by our investment in auction rate securities. We used proceeds from the sale of auction rate securities and the settlement of a litigation action related to auction rate securities to repay the remaining outstanding balance of the investment line during the first quarter of 2010.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NOTE 18</w:t>
            </w:r>
          </w:p>
        </w:tc>
        <w:tc>
          <w:tcPr>
            <w:tcW w:w="5720" w:type="dxa"/>
            <w:vAlign w:val="bottom"/>
          </w:tcPr>
          <w:p>
            <w:pPr>
              <w:ind w:left="320"/>
              <w:spacing w:after="0"/>
              <w:rPr>
                <w:sz w:val="20"/>
                <w:szCs w:val="20"/>
                <w:color w:val="auto"/>
              </w:rPr>
            </w:pPr>
            <w:r>
              <w:rPr>
                <w:rFonts w:ascii="Arial" w:cs="Arial" w:eastAsia="Arial" w:hAnsi="Arial"/>
                <w:sz w:val="18"/>
                <w:szCs w:val="18"/>
                <w:b w:val="1"/>
                <w:bCs w:val="1"/>
                <w:color w:val="auto"/>
              </w:rPr>
              <w:t>DEBT SECURITIES</w:t>
            </w:r>
          </w:p>
        </w:tc>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6760" w:type="dxa"/>
            <w:vAlign w:val="bottom"/>
            <w:gridSpan w:val="2"/>
          </w:tcPr>
          <w:p>
            <w:pPr>
              <w:ind w:left="660"/>
              <w:spacing w:after="0"/>
              <w:rPr>
                <w:sz w:val="20"/>
                <w:szCs w:val="20"/>
                <w:color w:val="auto"/>
              </w:rPr>
            </w:pPr>
            <w:r>
              <w:rPr>
                <w:rFonts w:ascii="Arial" w:cs="Arial" w:eastAsia="Arial" w:hAnsi="Arial"/>
                <w:sz w:val="18"/>
                <w:szCs w:val="18"/>
                <w:color w:val="auto"/>
              </w:rPr>
              <w:t>Our debt securities consisted of the following at December 31:</w:t>
            </w: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3.25% Convertible Notes due August 1, 2024</w:t>
            </w:r>
          </w:p>
        </w:tc>
        <w:tc>
          <w:tcPr>
            <w:tcW w:w="18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56,435</w:t>
            </w:r>
          </w:p>
        </w:tc>
        <w:tc>
          <w:tcPr>
            <w:tcW w:w="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56,435</w:t>
            </w: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10.875% Capital Trust Securities due August 1, 2027</w:t>
            </w: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26,119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39,129</w:t>
            </w: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040" w:type="dxa"/>
            <w:vAlign w:val="bottom"/>
            <w:shd w:val="clear" w:color="auto" w:fill="EAF9E8"/>
          </w:tcPr>
          <w:p>
            <w:pPr>
              <w:spacing w:after="0"/>
              <w:rPr>
                <w:sz w:val="20"/>
                <w:szCs w:val="20"/>
                <w:color w:val="auto"/>
              </w:rPr>
            </w:pPr>
          </w:p>
        </w:tc>
        <w:tc>
          <w:tcPr>
            <w:tcW w:w="5720" w:type="dxa"/>
            <w:vAlign w:val="bottom"/>
            <w:shd w:val="clear" w:color="auto" w:fill="EAF9E8"/>
          </w:tcPr>
          <w:p>
            <w:pPr>
              <w:spacing w:after="0"/>
              <w:rPr>
                <w:sz w:val="20"/>
                <w:szCs w:val="20"/>
                <w:color w:val="auto"/>
              </w:rPr>
            </w:pPr>
          </w:p>
        </w:tc>
        <w:tc>
          <w:tcPr>
            <w:tcW w:w="18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82,554</w:t>
            </w:r>
          </w:p>
        </w:tc>
        <w:tc>
          <w:tcPr>
            <w:tcW w:w="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95,564</w:t>
            </w: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EAF9E8"/>
            </w:tcBorders>
            <w:shd w:val="clear" w:color="auto" w:fill="EAF9E8"/>
          </w:tcPr>
          <w:p>
            <w:pPr>
              <w:spacing w:after="0" w:line="20" w:lineRule="exact"/>
              <w:rPr>
                <w:sz w:val="1"/>
                <w:szCs w:val="1"/>
                <w:color w:val="auto"/>
              </w:rPr>
            </w:pPr>
          </w:p>
        </w:tc>
        <w:tc>
          <w:tcPr>
            <w:tcW w:w="5720" w:type="dxa"/>
            <w:vAlign w:val="bottom"/>
            <w:tcBorders>
              <w:top w:val="single" w:sz="8" w:color="EAF9E8"/>
            </w:tcBorders>
            <w:shd w:val="clear" w:color="auto" w:fill="EAF9E8"/>
          </w:tcPr>
          <w:p>
            <w:pPr>
              <w:spacing w:after="0" w:line="20" w:lineRule="exact"/>
              <w:rPr>
                <w:sz w:val="1"/>
                <w:szCs w:val="1"/>
                <w:color w:val="auto"/>
              </w:rPr>
            </w:pPr>
          </w:p>
        </w:tc>
        <w:tc>
          <w:tcPr>
            <w:tcW w:w="158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02" w:lineRule="exact"/>
        <w:rPr>
          <w:sz w:val="20"/>
          <w:szCs w:val="20"/>
          <w:color w:val="auto"/>
        </w:rPr>
      </w:pPr>
    </w:p>
    <w:p>
      <w:pPr>
        <w:ind w:right="240" w:firstLine="666"/>
        <w:spacing w:after="0" w:line="312" w:lineRule="auto"/>
        <w:rPr>
          <w:sz w:val="20"/>
          <w:szCs w:val="20"/>
          <w:color w:val="auto"/>
        </w:rPr>
      </w:pPr>
      <w:r>
        <w:rPr>
          <w:rFonts w:ascii="Arial" w:cs="Arial" w:eastAsia="Arial" w:hAnsi="Arial"/>
          <w:sz w:val="16"/>
          <w:szCs w:val="16"/>
          <w:i w:val="1"/>
          <w:iCs w:val="1"/>
          <w:color w:val="auto"/>
        </w:rPr>
        <w:t xml:space="preserve">Convertible Notes. </w:t>
      </w:r>
      <w:r>
        <w:rPr>
          <w:rFonts w:ascii="Arial" w:cs="Arial" w:eastAsia="Arial" w:hAnsi="Arial"/>
          <w:sz w:val="16"/>
          <w:szCs w:val="16"/>
          <w:color w:val="auto"/>
        </w:rPr>
        <w:t>In July 2004, OCN issued $175,000 aggregate principal amount of 3.25% Convertible Notes due 2024. The Convertible Notes</w:t>
      </w:r>
      <w:r>
        <w:rPr>
          <w:rFonts w:ascii="Arial" w:cs="Arial" w:eastAsia="Arial" w:hAnsi="Arial"/>
          <w:sz w:val="16"/>
          <w:szCs w:val="16"/>
          <w:i w:val="1"/>
          <w:iCs w:val="1"/>
          <w:color w:val="auto"/>
        </w:rPr>
        <w:t xml:space="preserve"> </w:t>
      </w:r>
      <w:r>
        <w:rPr>
          <w:rFonts w:ascii="Arial" w:cs="Arial" w:eastAsia="Arial" w:hAnsi="Arial"/>
          <w:sz w:val="16"/>
          <w:szCs w:val="16"/>
          <w:color w:val="auto"/>
        </w:rPr>
        <w:t>are senior general unsecured obligations not guaranteed by any of our subsidiaries and bear interest at the rate of 3.25% per year. We amortized the debt discount over the period from the date of issuance to August 1, 2009, the first date at which holders could require us to repurchase their notes.</w:t>
      </w:r>
    </w:p>
    <w:p>
      <w:pPr>
        <w:spacing w:after="0" w:line="147" w:lineRule="exact"/>
        <w:rPr>
          <w:sz w:val="20"/>
          <w:szCs w:val="20"/>
          <w:color w:val="auto"/>
        </w:rPr>
      </w:pPr>
    </w:p>
    <w:p>
      <w:pPr>
        <w:jc w:val="both"/>
        <w:ind w:right="300" w:firstLine="666"/>
        <w:spacing w:after="0" w:line="264" w:lineRule="auto"/>
        <w:rPr>
          <w:sz w:val="20"/>
          <w:szCs w:val="20"/>
          <w:color w:val="auto"/>
        </w:rPr>
      </w:pPr>
      <w:r>
        <w:rPr>
          <w:rFonts w:ascii="Arial" w:cs="Arial" w:eastAsia="Arial" w:hAnsi="Arial"/>
          <w:sz w:val="18"/>
          <w:szCs w:val="18"/>
          <w:color w:val="auto"/>
        </w:rPr>
        <w:t>Interest expense on the Convertible Notes for the years ended December 31, 2009 and 2008 includes amortization of debt discount of $1,735 and $3,886, respectively. We recognized interest on the debt at an effective annual rate of 8.25% from the date of issuance to August 1, 2009. Since August 1, 2009, the effective interest rate on the debt is the coupon rate of 3.25%.</w:t>
      </w:r>
    </w:p>
    <w:p>
      <w:pPr>
        <w:spacing w:after="0" w:line="181" w:lineRule="exact"/>
        <w:rPr>
          <w:sz w:val="20"/>
          <w:szCs w:val="20"/>
          <w:color w:val="auto"/>
        </w:rPr>
      </w:pPr>
    </w:p>
    <w:p>
      <w:pPr>
        <w:ind w:right="180" w:firstLine="666"/>
        <w:spacing w:after="0" w:line="254" w:lineRule="auto"/>
        <w:rPr>
          <w:sz w:val="20"/>
          <w:szCs w:val="20"/>
          <w:color w:val="auto"/>
        </w:rPr>
      </w:pPr>
      <w:r>
        <w:rPr>
          <w:rFonts w:ascii="Arial" w:cs="Arial" w:eastAsia="Arial" w:hAnsi="Arial"/>
          <w:sz w:val="18"/>
          <w:szCs w:val="18"/>
          <w:color w:val="auto"/>
        </w:rPr>
        <w:t>Holders may convert all or a portion of their notes into shares of our common stock under the following circumstances: (1) at any time during any calendar quarter (and only during such calendar quarter) commencing after December 31, 2004, if the closing sale price of our common stock for at least 20 consecutive trading days in a period of 30 consecutive trading days ending on the last trading day of the preceding calendar quarter is greater than 125% of the conversion price per share of common stock on such last day; (2) subject to certain exceptions, during the five business day period after any five-consecutive-trading-day period in which the trading price per $1,000 (actual dollars) principal amount of the notes for each day of the five-consecutive-trading- day period was less than 98% of the product of the closing sale price of our common stock and the number of shares issuable upon conversion of $1,000 (actual dollars) principal amount of the notes; (3) if the notes have been called for redemption; or (4) upon the occurrence of specified corporate transactions.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6" w:name="page97"/>
    <w:bookmarkEnd w:id="96"/>
    <w:p>
      <w:pPr>
        <w:ind w:right="20" w:firstLine="663"/>
        <w:spacing w:after="0" w:line="259" w:lineRule="auto"/>
        <w:rPr>
          <w:sz w:val="20"/>
          <w:szCs w:val="20"/>
          <w:color w:val="auto"/>
        </w:rPr>
      </w:pPr>
      <w:r>
        <w:rPr>
          <w:rFonts w:ascii="Arial" w:cs="Arial" w:eastAsia="Arial" w:hAnsi="Arial"/>
          <w:sz w:val="18"/>
          <w:szCs w:val="18"/>
          <w:color w:val="auto"/>
        </w:rPr>
        <w:t>The conversion rate is 82.1693 shares of our common stock per $1,000 (actual dollars) principal amount of the notes, subject to adjustment. Events that may cause the conversion rate to be adjusted primarily relate to cash dividends or other distributions to holders of our common stock. Upon conversion, we may, at our option, choose to deliver, in lieu of our common stock, cash or a combination of cash and common stock. At December 31, 2010 and 2009, the if-converted value of the Convertible Notes was $44,239 and $44,378, respectively.</w:t>
      </w:r>
    </w:p>
    <w:p>
      <w:pPr>
        <w:spacing w:after="0" w:line="187" w:lineRule="exact"/>
        <w:rPr>
          <w:sz w:val="20"/>
          <w:szCs w:val="20"/>
          <w:color w:val="auto"/>
        </w:rPr>
      </w:pPr>
    </w:p>
    <w:p>
      <w:pPr>
        <w:ind w:right="20" w:firstLine="666"/>
        <w:spacing w:after="0" w:line="255" w:lineRule="auto"/>
        <w:rPr>
          <w:sz w:val="20"/>
          <w:szCs w:val="20"/>
          <w:color w:val="auto"/>
        </w:rPr>
      </w:pPr>
      <w:r>
        <w:rPr>
          <w:rFonts w:ascii="Arial" w:cs="Arial" w:eastAsia="Arial" w:hAnsi="Arial"/>
          <w:sz w:val="18"/>
          <w:szCs w:val="18"/>
          <w:color w:val="auto"/>
        </w:rPr>
        <w:t>On June 26, 2009, we provided notice to holders of the Convertible Notes of their right to request that we repurchase all or a portion of their notes for cash on August 3, 2009 at a redemption price equal to 100% of the principal amount of the notes to be redeemed plus accrued and unpaid interest, if any. There were no material redemptions on August 3, 2009. Holders that did not choose to exercise their repurchase right on August 3, 2009 will receive the same right to request that we repurchase all or a portion of their notes for cash on August 1, 2014 and August 1, 2019. A similar right is also available to holders of the Convertible Notes in the event of a “fundamental change.” A “fundamental change” is a change of control or a termin ation of trading in our common stock.</w:t>
      </w:r>
    </w:p>
    <w:p>
      <w:pPr>
        <w:spacing w:after="0" w:line="193" w:lineRule="exact"/>
        <w:rPr>
          <w:sz w:val="20"/>
          <w:szCs w:val="20"/>
          <w:color w:val="auto"/>
        </w:rPr>
      </w:pPr>
    </w:p>
    <w:p>
      <w:pPr>
        <w:ind w:right="120" w:firstLine="666"/>
        <w:spacing w:after="0" w:line="277" w:lineRule="auto"/>
        <w:rPr>
          <w:sz w:val="20"/>
          <w:szCs w:val="20"/>
          <w:color w:val="auto"/>
        </w:rPr>
      </w:pPr>
      <w:r>
        <w:rPr>
          <w:rFonts w:ascii="Arial" w:cs="Arial" w:eastAsia="Arial" w:hAnsi="Arial"/>
          <w:sz w:val="18"/>
          <w:szCs w:val="18"/>
          <w:color w:val="auto"/>
        </w:rPr>
        <w:t>Beginning August 1, 2009, we may redeem all or a portion of the notes for cash for a price equal to 100% of the principal amount of the notes to be redeemed plus accrued and unpaid interest, if any.</w:t>
      </w:r>
    </w:p>
    <w:p>
      <w:pPr>
        <w:spacing w:after="0" w:line="170" w:lineRule="exact"/>
        <w:rPr>
          <w:sz w:val="20"/>
          <w:szCs w:val="20"/>
          <w:color w:val="auto"/>
        </w:rPr>
      </w:pPr>
    </w:p>
    <w:p>
      <w:pPr>
        <w:ind w:right="20" w:firstLine="666"/>
        <w:spacing w:after="0" w:line="264" w:lineRule="auto"/>
        <w:rPr>
          <w:sz w:val="20"/>
          <w:szCs w:val="20"/>
          <w:color w:val="auto"/>
        </w:rPr>
      </w:pPr>
      <w:r>
        <w:rPr>
          <w:rFonts w:ascii="Arial" w:cs="Arial" w:eastAsia="Arial" w:hAnsi="Arial"/>
          <w:sz w:val="18"/>
          <w:szCs w:val="18"/>
          <w:color w:val="auto"/>
        </w:rPr>
        <w:t>Each convertible noteholder participated in the distribution of Altisource shares, without converting, receiving Altisource shares equal to the conversion ratio of the convertible notes times the distribution ratio (one (1) Altisource share for three (3) Ocwen shares). Accordingly, upon the separation of Altisource and Ocwen, there was no adjustment to the conversion ratio of the Convertible Notes.</w:t>
      </w:r>
    </w:p>
    <w:p>
      <w:pPr>
        <w:spacing w:after="0" w:line="181" w:lineRule="exact"/>
        <w:rPr>
          <w:sz w:val="20"/>
          <w:szCs w:val="20"/>
          <w:color w:val="auto"/>
        </w:rPr>
      </w:pPr>
    </w:p>
    <w:p>
      <w:pPr>
        <w:ind w:right="140" w:firstLine="666"/>
        <w:spacing w:after="0" w:line="255" w:lineRule="auto"/>
        <w:rPr>
          <w:sz w:val="20"/>
          <w:szCs w:val="20"/>
          <w:color w:val="auto"/>
        </w:rPr>
      </w:pPr>
      <w:r>
        <w:rPr>
          <w:rFonts w:ascii="Arial" w:cs="Arial" w:eastAsia="Arial" w:hAnsi="Arial"/>
          <w:sz w:val="18"/>
          <w:szCs w:val="18"/>
          <w:i w:val="1"/>
          <w:iCs w:val="1"/>
          <w:color w:val="auto"/>
        </w:rPr>
        <w:t xml:space="preserve">Capital Trust Securities. </w:t>
      </w:r>
      <w:r>
        <w:rPr>
          <w:rFonts w:ascii="Arial" w:cs="Arial" w:eastAsia="Arial" w:hAnsi="Arial"/>
          <w:sz w:val="18"/>
          <w:szCs w:val="18"/>
          <w:color w:val="auto"/>
        </w:rPr>
        <w:t>In August 1997, Ocwen Capital Trust (OCT) issued $125,000 of 10.875% Capital Securities (the Capital Trust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OCT invested the proceeds from issuance of the Capital Trust Securities in 10.875% Junior Subordinated Debentures issued by OCN. The Junior Subordinated Debentures, which represent the sole assets of OCT, will mature on August 1, 2027. For financial reporting purposes, we treat OCT as a subsidiary and, accordingly, the accounts of OCT are included in our consolidated financial statements. We consolidate OCT because we own all of the Common Securities that were issued by OCT and have repurchased 79% of the Capital Trust Securities that were originally issued. We eliminate intercompany balances and transactions with OCT, including the balance of Junior Subordinated Debentures outstanding, in our consolidated financial statements.</w:t>
      </w:r>
    </w:p>
    <w:p>
      <w:pPr>
        <w:spacing w:after="0" w:line="189" w:lineRule="exact"/>
        <w:rPr>
          <w:sz w:val="20"/>
          <w:szCs w:val="20"/>
          <w:color w:val="auto"/>
        </w:rPr>
      </w:pPr>
    </w:p>
    <w:p>
      <w:pPr>
        <w:ind w:right="740" w:firstLine="486"/>
        <w:spacing w:after="0" w:line="342" w:lineRule="auto"/>
        <w:rPr>
          <w:sz w:val="20"/>
          <w:szCs w:val="20"/>
          <w:color w:val="auto"/>
        </w:rPr>
      </w:pPr>
      <w:r>
        <w:rPr>
          <w:rFonts w:ascii="Arial" w:cs="Arial" w:eastAsia="Arial" w:hAnsi="Arial"/>
          <w:sz w:val="16"/>
          <w:szCs w:val="16"/>
          <w:color w:val="auto"/>
        </w:rPr>
        <w:t>In January 2010, we repurchased $12,930 of the Capital Securities and recognized a gain of $717 on these repurchases, net of the write-off of unamortized issuance costs. In June 2010, we repurchased an additional $80 of the Capital Securities and recognized a net gain of $6.</w:t>
      </w:r>
    </w:p>
    <w:p>
      <w:pPr>
        <w:spacing w:after="0" w:line="124" w:lineRule="exact"/>
        <w:rPr>
          <w:sz w:val="20"/>
          <w:szCs w:val="20"/>
          <w:color w:val="auto"/>
        </w:rPr>
      </w:pPr>
    </w:p>
    <w:p>
      <w:pPr>
        <w:ind w:firstLine="666"/>
        <w:spacing w:after="0" w:line="255" w:lineRule="auto"/>
        <w:rPr>
          <w:sz w:val="20"/>
          <w:szCs w:val="20"/>
          <w:color w:val="auto"/>
        </w:rPr>
      </w:pPr>
      <w:r>
        <w:rPr>
          <w:rFonts w:ascii="Arial" w:cs="Arial" w:eastAsia="Arial" w:hAnsi="Arial"/>
          <w:sz w:val="18"/>
          <w:szCs w:val="18"/>
          <w:color w:val="auto"/>
        </w:rPr>
        <w:t>Holders of the Capital Trust Securities are entitled to receive cumulative cash distributions accruing from the date of original issuance and payable semiannually in arrears on February 1 and August 1 of each year at an annual rate of 10.875% of the liquidation amount of $1,000 (actual dollars) per Capital Security. OCN guarantees payment of distributions out of moneys held by OCT and payments on liquidation of OCT or the redemption of Capital Trust Securities to the extent OCT has funds available. If OCN does not make principal or interest payments on the Junior Subordinated Debentures, OCT will not have sufficient funds to make distributions on the Capital Trust Securities in which event the guarantee shall not apply to such distributions until OCT has suffi cient funds available. Accumulated distributions payable on the Capital Trust Securities amounted to $1,184 and $1,773 at December 31, 2010 and 2009, respectively, and are included in other liabilities.</w:t>
      </w:r>
    </w:p>
    <w:p>
      <w:pPr>
        <w:spacing w:after="0" w:line="189" w:lineRule="exact"/>
        <w:rPr>
          <w:sz w:val="20"/>
          <w:szCs w:val="20"/>
          <w:color w:val="auto"/>
        </w:rPr>
      </w:pPr>
    </w:p>
    <w:p>
      <w:pPr>
        <w:ind w:right="80" w:firstLine="663"/>
        <w:spacing w:after="0" w:line="289" w:lineRule="auto"/>
        <w:rPr>
          <w:sz w:val="20"/>
          <w:szCs w:val="20"/>
          <w:color w:val="auto"/>
        </w:rPr>
      </w:pPr>
      <w:r>
        <w:rPr>
          <w:rFonts w:ascii="Arial" w:cs="Arial" w:eastAsia="Arial" w:hAnsi="Arial"/>
          <w:sz w:val="16"/>
          <w:szCs w:val="16"/>
          <w:color w:val="auto"/>
        </w:rPr>
        <w:t>We have the right to defer payment of interest on the Junior Subordinated Debentures at any time or from time to time for a period not exceeding 10 consecutive semiannual periods with respect to each deferral period provided that no extension period may extend beyond the stated maturity of the Junior Subordinated Debentures. Upon the termination of any such extension period and the payment of all amounts then due on any interest payment date, we may elect to begin a new extension period. Accordingly, there could be multiple extension periods of varying lengths throughout the term of the Junior Subordinated Debentures. If we defer interest payments on the Junior Subordinated Debentures, distributions on the Capital Trust Securities will also be deferred, and we may not, nor may any of our subsidiaries, (i) declare or pay any dividends or distributions on, or redeem, purchase, acquire, or make a liquidation payment with respect to, their capital stock or (ii) make any payment of principal, interest or premium, if any, on or repay, repurchase or redeem any debt securities that rank pari passu with or junior to the Junior Subordinated Debentures. During an extension period, interest on the Junior Subordinated Debentures will continue to accrue at the rate of 10.875% per annum, compounded semiannually.</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7" w:name="page98"/>
    <w:bookmarkEnd w:id="97"/>
    <w:p>
      <w:pPr>
        <w:ind w:right="140" w:firstLine="663"/>
        <w:spacing w:after="0" w:line="264" w:lineRule="auto"/>
        <w:rPr>
          <w:sz w:val="20"/>
          <w:szCs w:val="20"/>
          <w:color w:val="auto"/>
        </w:rPr>
      </w:pPr>
      <w:r>
        <w:rPr>
          <w:rFonts w:ascii="Arial" w:cs="Arial" w:eastAsia="Arial" w:hAnsi="Arial"/>
          <w:sz w:val="18"/>
          <w:szCs w:val="18"/>
          <w:color w:val="auto"/>
        </w:rPr>
        <w:t>We may redeem the Junior Subordinated Debentures before maturity at our option subject to the receipt of any necessary prior regulatory approval, in whole or in part at the redemption prices (expressed as a percentage of the principal amount) set forth below, plus accrued interest thereon, if redeemed during the twelve-month period beginning on August 1 of the years indicated below:</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620" w:type="dxa"/>
            <w:vAlign w:val="bottom"/>
          </w:tcPr>
          <w:p>
            <w:pPr>
              <w:spacing w:after="0"/>
              <w:rPr>
                <w:sz w:val="20"/>
                <w:szCs w:val="20"/>
                <w:color w:val="auto"/>
              </w:rPr>
            </w:pPr>
          </w:p>
        </w:tc>
        <w:tc>
          <w:tcPr>
            <w:tcW w:w="16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Percentages</w:t>
            </w:r>
          </w:p>
        </w:tc>
      </w:tr>
      <w:tr>
        <w:trPr>
          <w:trHeight w:val="216"/>
        </w:trPr>
        <w:tc>
          <w:tcPr>
            <w:tcW w:w="20" w:type="dxa"/>
            <w:vAlign w:val="bottom"/>
          </w:tcPr>
          <w:p>
            <w:pPr>
              <w:spacing w:after="0"/>
              <w:rPr>
                <w:sz w:val="18"/>
                <w:szCs w:val="18"/>
                <w:color w:val="auto"/>
              </w:rPr>
            </w:pPr>
          </w:p>
        </w:tc>
        <w:tc>
          <w:tcPr>
            <w:tcW w:w="8620" w:type="dxa"/>
            <w:vAlign w:val="bottom"/>
            <w:shd w:val="clear" w:color="auto" w:fill="EAF9E8"/>
          </w:tcPr>
          <w:p>
            <w:pPr>
              <w:spacing w:after="0"/>
              <w:rPr>
                <w:sz w:val="20"/>
                <w:szCs w:val="20"/>
                <w:color w:val="auto"/>
              </w:rPr>
            </w:pPr>
            <w:r>
              <w:rPr>
                <w:rFonts w:ascii="Arial" w:cs="Arial" w:eastAsia="Arial" w:hAnsi="Arial"/>
                <w:sz w:val="18"/>
                <w:szCs w:val="18"/>
                <w:color w:val="auto"/>
              </w:rPr>
              <w:t>2010</w:t>
            </w:r>
          </w:p>
        </w:tc>
        <w:tc>
          <w:tcPr>
            <w:tcW w:w="1640" w:type="dxa"/>
            <w:vAlign w:val="bottom"/>
            <w:shd w:val="clear" w:color="auto" w:fill="EAF9E8"/>
          </w:tcPr>
          <w:p>
            <w:pPr>
              <w:ind w:left="520"/>
              <w:spacing w:after="0"/>
              <w:rPr>
                <w:sz w:val="20"/>
                <w:szCs w:val="20"/>
                <w:color w:val="auto"/>
              </w:rPr>
            </w:pPr>
            <w:r>
              <w:rPr>
                <w:rFonts w:ascii="Arial" w:cs="Arial" w:eastAsia="Arial" w:hAnsi="Arial"/>
                <w:sz w:val="18"/>
                <w:szCs w:val="18"/>
                <w:color w:val="auto"/>
              </w:rPr>
              <w:t>103.806%</w:t>
            </w: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2011</w:t>
            </w:r>
          </w:p>
        </w:tc>
        <w:tc>
          <w:tcPr>
            <w:tcW w:w="1640" w:type="dxa"/>
            <w:vAlign w:val="bottom"/>
          </w:tcPr>
          <w:p>
            <w:pPr>
              <w:ind w:left="520"/>
              <w:spacing w:after="0"/>
              <w:rPr>
                <w:sz w:val="20"/>
                <w:szCs w:val="20"/>
                <w:color w:val="auto"/>
              </w:rPr>
            </w:pPr>
            <w:r>
              <w:rPr>
                <w:rFonts w:ascii="Arial" w:cs="Arial" w:eastAsia="Arial" w:hAnsi="Arial"/>
                <w:sz w:val="18"/>
                <w:szCs w:val="18"/>
                <w:color w:val="auto"/>
              </w:rPr>
              <w:t>103.263</w:t>
            </w:r>
          </w:p>
        </w:tc>
      </w:tr>
      <w:tr>
        <w:trPr>
          <w:trHeight w:val="216"/>
        </w:trPr>
        <w:tc>
          <w:tcPr>
            <w:tcW w:w="20" w:type="dxa"/>
            <w:vAlign w:val="bottom"/>
          </w:tcPr>
          <w:p>
            <w:pPr>
              <w:spacing w:after="0"/>
              <w:rPr>
                <w:sz w:val="18"/>
                <w:szCs w:val="18"/>
                <w:color w:val="auto"/>
              </w:rPr>
            </w:pPr>
          </w:p>
        </w:tc>
        <w:tc>
          <w:tcPr>
            <w:tcW w:w="8620" w:type="dxa"/>
            <w:vAlign w:val="bottom"/>
            <w:shd w:val="clear" w:color="auto" w:fill="EAF9E8"/>
          </w:tcPr>
          <w:p>
            <w:pPr>
              <w:spacing w:after="0"/>
              <w:rPr>
                <w:sz w:val="20"/>
                <w:szCs w:val="20"/>
                <w:color w:val="auto"/>
              </w:rPr>
            </w:pPr>
            <w:r>
              <w:rPr>
                <w:rFonts w:ascii="Arial" w:cs="Arial" w:eastAsia="Arial" w:hAnsi="Arial"/>
                <w:sz w:val="18"/>
                <w:szCs w:val="18"/>
                <w:color w:val="auto"/>
              </w:rPr>
              <w:t>2012</w:t>
            </w:r>
          </w:p>
        </w:tc>
        <w:tc>
          <w:tcPr>
            <w:tcW w:w="1640" w:type="dxa"/>
            <w:vAlign w:val="bottom"/>
            <w:shd w:val="clear" w:color="auto" w:fill="EAF9E8"/>
          </w:tcPr>
          <w:p>
            <w:pPr>
              <w:ind w:left="520"/>
              <w:spacing w:after="0"/>
              <w:rPr>
                <w:sz w:val="20"/>
                <w:szCs w:val="20"/>
                <w:color w:val="auto"/>
              </w:rPr>
            </w:pPr>
            <w:r>
              <w:rPr>
                <w:rFonts w:ascii="Arial" w:cs="Arial" w:eastAsia="Arial" w:hAnsi="Arial"/>
                <w:sz w:val="18"/>
                <w:szCs w:val="18"/>
                <w:color w:val="auto"/>
              </w:rPr>
              <w:t>102.719</w:t>
            </w: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2013</w:t>
            </w:r>
          </w:p>
        </w:tc>
        <w:tc>
          <w:tcPr>
            <w:tcW w:w="1640" w:type="dxa"/>
            <w:vAlign w:val="bottom"/>
          </w:tcPr>
          <w:p>
            <w:pPr>
              <w:ind w:left="520"/>
              <w:spacing w:after="0"/>
              <w:rPr>
                <w:sz w:val="20"/>
                <w:szCs w:val="20"/>
                <w:color w:val="auto"/>
              </w:rPr>
            </w:pPr>
            <w:r>
              <w:rPr>
                <w:rFonts w:ascii="Arial" w:cs="Arial" w:eastAsia="Arial" w:hAnsi="Arial"/>
                <w:sz w:val="18"/>
                <w:szCs w:val="18"/>
                <w:color w:val="auto"/>
              </w:rPr>
              <w:t>102.175</w:t>
            </w:r>
          </w:p>
        </w:tc>
      </w:tr>
      <w:tr>
        <w:trPr>
          <w:trHeight w:val="216"/>
        </w:trPr>
        <w:tc>
          <w:tcPr>
            <w:tcW w:w="20" w:type="dxa"/>
            <w:vAlign w:val="bottom"/>
          </w:tcPr>
          <w:p>
            <w:pPr>
              <w:spacing w:after="0"/>
              <w:rPr>
                <w:sz w:val="18"/>
                <w:szCs w:val="18"/>
                <w:color w:val="auto"/>
              </w:rPr>
            </w:pPr>
          </w:p>
        </w:tc>
        <w:tc>
          <w:tcPr>
            <w:tcW w:w="8620" w:type="dxa"/>
            <w:vAlign w:val="bottom"/>
            <w:shd w:val="clear" w:color="auto" w:fill="EAF9E8"/>
          </w:tcPr>
          <w:p>
            <w:pPr>
              <w:spacing w:after="0"/>
              <w:rPr>
                <w:sz w:val="20"/>
                <w:szCs w:val="20"/>
                <w:color w:val="auto"/>
              </w:rPr>
            </w:pPr>
            <w:r>
              <w:rPr>
                <w:rFonts w:ascii="Arial" w:cs="Arial" w:eastAsia="Arial" w:hAnsi="Arial"/>
                <w:sz w:val="18"/>
                <w:szCs w:val="18"/>
                <w:color w:val="auto"/>
              </w:rPr>
              <w:t>2014</w:t>
            </w:r>
          </w:p>
        </w:tc>
        <w:tc>
          <w:tcPr>
            <w:tcW w:w="1640" w:type="dxa"/>
            <w:vAlign w:val="bottom"/>
            <w:shd w:val="clear" w:color="auto" w:fill="EAF9E8"/>
          </w:tcPr>
          <w:p>
            <w:pPr>
              <w:ind w:left="520"/>
              <w:spacing w:after="0"/>
              <w:rPr>
                <w:sz w:val="20"/>
                <w:szCs w:val="20"/>
                <w:color w:val="auto"/>
              </w:rPr>
            </w:pPr>
            <w:r>
              <w:rPr>
                <w:rFonts w:ascii="Arial" w:cs="Arial" w:eastAsia="Arial" w:hAnsi="Arial"/>
                <w:sz w:val="18"/>
                <w:szCs w:val="18"/>
                <w:color w:val="auto"/>
              </w:rPr>
              <w:t>101.631</w:t>
            </w: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2015</w:t>
            </w:r>
          </w:p>
        </w:tc>
        <w:tc>
          <w:tcPr>
            <w:tcW w:w="1640" w:type="dxa"/>
            <w:vAlign w:val="bottom"/>
          </w:tcPr>
          <w:p>
            <w:pPr>
              <w:ind w:left="520"/>
              <w:spacing w:after="0"/>
              <w:rPr>
                <w:sz w:val="20"/>
                <w:szCs w:val="20"/>
                <w:color w:val="auto"/>
              </w:rPr>
            </w:pPr>
            <w:r>
              <w:rPr>
                <w:rFonts w:ascii="Arial" w:cs="Arial" w:eastAsia="Arial" w:hAnsi="Arial"/>
                <w:sz w:val="18"/>
                <w:szCs w:val="18"/>
                <w:color w:val="auto"/>
              </w:rPr>
              <w:t>101.088</w:t>
            </w:r>
          </w:p>
        </w:tc>
      </w:tr>
      <w:tr>
        <w:trPr>
          <w:trHeight w:val="216"/>
        </w:trPr>
        <w:tc>
          <w:tcPr>
            <w:tcW w:w="20" w:type="dxa"/>
            <w:vAlign w:val="bottom"/>
          </w:tcPr>
          <w:p>
            <w:pPr>
              <w:spacing w:after="0"/>
              <w:rPr>
                <w:sz w:val="18"/>
                <w:szCs w:val="18"/>
                <w:color w:val="auto"/>
              </w:rPr>
            </w:pPr>
          </w:p>
        </w:tc>
        <w:tc>
          <w:tcPr>
            <w:tcW w:w="8620" w:type="dxa"/>
            <w:vAlign w:val="bottom"/>
            <w:shd w:val="clear" w:color="auto" w:fill="EAF9E8"/>
          </w:tcPr>
          <w:p>
            <w:pPr>
              <w:spacing w:after="0"/>
              <w:rPr>
                <w:sz w:val="20"/>
                <w:szCs w:val="20"/>
                <w:color w:val="auto"/>
              </w:rPr>
            </w:pPr>
            <w:r>
              <w:rPr>
                <w:rFonts w:ascii="Arial" w:cs="Arial" w:eastAsia="Arial" w:hAnsi="Arial"/>
                <w:sz w:val="18"/>
                <w:szCs w:val="18"/>
                <w:color w:val="auto"/>
              </w:rPr>
              <w:t>2016</w:t>
            </w:r>
          </w:p>
        </w:tc>
        <w:tc>
          <w:tcPr>
            <w:tcW w:w="1640" w:type="dxa"/>
            <w:vAlign w:val="bottom"/>
            <w:shd w:val="clear" w:color="auto" w:fill="EAF9E8"/>
          </w:tcPr>
          <w:p>
            <w:pPr>
              <w:ind w:left="520"/>
              <w:spacing w:after="0"/>
              <w:rPr>
                <w:sz w:val="20"/>
                <w:szCs w:val="20"/>
                <w:color w:val="auto"/>
              </w:rPr>
            </w:pPr>
            <w:r>
              <w:rPr>
                <w:rFonts w:ascii="Arial" w:cs="Arial" w:eastAsia="Arial" w:hAnsi="Arial"/>
                <w:sz w:val="18"/>
                <w:szCs w:val="18"/>
                <w:color w:val="auto"/>
              </w:rPr>
              <w:t>100.544</w:t>
            </w:r>
          </w:p>
        </w:tc>
      </w:tr>
      <w:tr>
        <w:trPr>
          <w:trHeight w:val="230"/>
        </w:trPr>
        <w:tc>
          <w:tcPr>
            <w:tcW w:w="20" w:type="dxa"/>
            <w:vAlign w:val="bottom"/>
          </w:tcPr>
          <w:p>
            <w:pPr>
              <w:spacing w:after="0"/>
              <w:rPr>
                <w:sz w:val="20"/>
                <w:szCs w:val="20"/>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2017 to maturity</w:t>
            </w:r>
          </w:p>
        </w:tc>
        <w:tc>
          <w:tcPr>
            <w:tcW w:w="1640" w:type="dxa"/>
            <w:vAlign w:val="bottom"/>
          </w:tcPr>
          <w:p>
            <w:pPr>
              <w:ind w:left="520"/>
              <w:spacing w:after="0"/>
              <w:rPr>
                <w:sz w:val="20"/>
                <w:szCs w:val="20"/>
                <w:color w:val="auto"/>
              </w:rPr>
            </w:pPr>
            <w:r>
              <w:rPr>
                <w:rFonts w:ascii="Arial" w:cs="Arial" w:eastAsia="Arial" w:hAnsi="Arial"/>
                <w:sz w:val="18"/>
                <w:szCs w:val="18"/>
                <w:color w:val="auto"/>
              </w:rPr>
              <w:t>100.000</w:t>
            </w:r>
          </w:p>
        </w:tc>
      </w:tr>
    </w:tbl>
    <w:p>
      <w:pPr>
        <w:spacing w:after="0" w:line="187" w:lineRule="exact"/>
        <w:rPr>
          <w:sz w:val="20"/>
          <w:szCs w:val="20"/>
          <w:color w:val="auto"/>
        </w:rPr>
      </w:pPr>
    </w:p>
    <w:p>
      <w:pPr>
        <w:ind w:right="20" w:firstLine="663"/>
        <w:spacing w:after="0" w:line="257" w:lineRule="auto"/>
        <w:rPr>
          <w:sz w:val="20"/>
          <w:szCs w:val="20"/>
          <w:color w:val="auto"/>
        </w:rPr>
      </w:pPr>
      <w:r>
        <w:rPr>
          <w:rFonts w:ascii="Arial" w:cs="Arial" w:eastAsia="Arial" w:hAnsi="Arial"/>
          <w:sz w:val="18"/>
          <w:szCs w:val="18"/>
          <w:color w:val="auto"/>
        </w:rPr>
        <w:t>We may also redeem the Junior Subordinated Debentures at any time upon the occurrence and continuation of a special event (defined as a tax event, regulatory capital event or an investment company event) at 100%. The Capital Trust Securities are subject to mandatory redemption upon repayment of the Junior Subordinated Debentures in an amount equal to the amount of the related Junior Subordinated Debentures maturing or being redeemed and at a redemption price equal to the redemption price of the Junior Subordinated Debentures, plus accumulated and unpaid distributions thereon to the date of redemption.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NOTE 19</w:t>
            </w:r>
          </w:p>
        </w:tc>
        <w:tc>
          <w:tcPr>
            <w:tcW w:w="7060" w:type="dxa"/>
            <w:vAlign w:val="bottom"/>
          </w:tcPr>
          <w:p>
            <w:pPr>
              <w:ind w:left="80"/>
              <w:spacing w:after="0"/>
              <w:rPr>
                <w:sz w:val="20"/>
                <w:szCs w:val="20"/>
                <w:color w:val="auto"/>
              </w:rPr>
            </w:pPr>
            <w:r>
              <w:rPr>
                <w:rFonts w:ascii="Arial" w:cs="Arial" w:eastAsia="Arial" w:hAnsi="Arial"/>
                <w:sz w:val="18"/>
                <w:szCs w:val="18"/>
                <w:b w:val="1"/>
                <w:bCs w:val="1"/>
                <w:color w:val="auto"/>
              </w:rPr>
              <w:t>OTHER LIABILITIES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8340" w:type="dxa"/>
            <w:vAlign w:val="bottom"/>
            <w:gridSpan w:val="2"/>
          </w:tcPr>
          <w:p>
            <w:pPr>
              <w:ind w:left="660"/>
              <w:spacing w:after="0"/>
              <w:rPr>
                <w:sz w:val="20"/>
                <w:szCs w:val="20"/>
                <w:color w:val="auto"/>
              </w:rPr>
            </w:pPr>
            <w:r>
              <w:rPr>
                <w:rFonts w:ascii="Arial" w:cs="Arial" w:eastAsia="Arial" w:hAnsi="Arial"/>
                <w:sz w:val="18"/>
                <w:szCs w:val="18"/>
                <w:color w:val="auto"/>
              </w:rPr>
              <w:t>The following table sets forth the components of other liabilities at December 31:</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Accrued expenses (1)</w:t>
            </w:r>
          </w:p>
        </w:tc>
        <w:tc>
          <w:tcPr>
            <w:tcW w:w="260" w:type="dxa"/>
            <w:vAlign w:val="bottom"/>
            <w:shd w:val="clear" w:color="auto" w:fill="EAF9E8"/>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55,816</w:t>
            </w:r>
          </w:p>
        </w:tc>
        <w:tc>
          <w:tcPr>
            <w:tcW w:w="500" w:type="dxa"/>
            <w:vAlign w:val="bottom"/>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21,381</w:t>
            </w: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Checks held for escheat</w:t>
            </w: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18,087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12,827</w:t>
            </w: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Derivatives, at fair value</w:t>
            </w:r>
          </w:p>
        </w:tc>
        <w:tc>
          <w:tcPr>
            <w:tcW w:w="26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15,670</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w w:val="94"/>
              </w:rPr>
              <w:t>Deferred income</w:t>
            </w:r>
          </w:p>
        </w:tc>
        <w:tc>
          <w:tcPr>
            <w:tcW w:w="7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10,394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13,599</w:t>
            </w: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Accrued interest payable</w:t>
            </w: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4,830</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3,588</w:t>
            </w: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Payable to Altisource (2)</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3,877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10,655</w:t>
            </w: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Servicing liabilities</w:t>
            </w: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3,415</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2,878</w:t>
            </w: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Liability for selected tax items (3)</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15,326</w:t>
            </w:r>
          </w:p>
        </w:tc>
      </w:tr>
      <w:tr>
        <w:trPr>
          <w:trHeight w:val="223"/>
        </w:trPr>
        <w:tc>
          <w:tcPr>
            <w:tcW w:w="20" w:type="dxa"/>
            <w:vAlign w:val="bottom"/>
          </w:tcPr>
          <w:p>
            <w:pPr>
              <w:spacing w:after="0"/>
              <w:rPr>
                <w:sz w:val="19"/>
                <w:szCs w:val="19"/>
                <w:color w:val="auto"/>
              </w:rPr>
            </w:pPr>
          </w:p>
        </w:tc>
        <w:tc>
          <w:tcPr>
            <w:tcW w:w="1280" w:type="dxa"/>
            <w:vAlign w:val="bottom"/>
            <w:shd w:val="clear" w:color="auto" w:fill="EAF9E8"/>
          </w:tcPr>
          <w:p>
            <w:pPr>
              <w:spacing w:after="0"/>
              <w:rPr>
                <w:sz w:val="20"/>
                <w:szCs w:val="20"/>
                <w:color w:val="auto"/>
              </w:rPr>
            </w:pPr>
            <w:r>
              <w:rPr>
                <w:rFonts w:ascii="Arial" w:cs="Arial" w:eastAsia="Arial" w:hAnsi="Arial"/>
                <w:sz w:val="18"/>
                <w:szCs w:val="18"/>
                <w:color w:val="auto"/>
              </w:rPr>
              <w:t>Other (4)</w:t>
            </w:r>
          </w:p>
        </w:tc>
        <w:tc>
          <w:tcPr>
            <w:tcW w:w="706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25,237</w:t>
            </w:r>
          </w:p>
        </w:tc>
        <w:tc>
          <w:tcPr>
            <w:tcW w:w="2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10,528</w:t>
            </w:r>
          </w:p>
        </w:tc>
      </w:tr>
      <w:tr>
        <w:trPr>
          <w:trHeight w:val="216"/>
        </w:trPr>
        <w:tc>
          <w:tcPr>
            <w:tcW w:w="20" w:type="dxa"/>
            <w:vAlign w:val="bottom"/>
          </w:tcPr>
          <w:p>
            <w:pPr>
              <w:spacing w:after="0"/>
              <w:rPr>
                <w:sz w:val="18"/>
                <w:szCs w:val="18"/>
                <w:color w:val="auto"/>
              </w:rPr>
            </w:pPr>
          </w:p>
        </w:tc>
        <w:tc>
          <w:tcPr>
            <w:tcW w:w="1280" w:type="dxa"/>
            <w:vAlign w:val="bottom"/>
            <w:tcBorders>
              <w:top w:val="single" w:sz="8" w:color="EAF9E8"/>
            </w:tcBorders>
          </w:tcPr>
          <w:p>
            <w:pPr>
              <w:spacing w:after="0"/>
              <w:rPr>
                <w:sz w:val="18"/>
                <w:szCs w:val="18"/>
                <w:color w:val="auto"/>
              </w:rPr>
            </w:pPr>
          </w:p>
        </w:tc>
        <w:tc>
          <w:tcPr>
            <w:tcW w:w="7060" w:type="dxa"/>
            <w:vAlign w:val="bottom"/>
            <w:tcBorders>
              <w:top w:val="single" w:sz="8" w:color="EAF9E8"/>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140,239</w:t>
            </w:r>
          </w:p>
        </w:tc>
        <w:tc>
          <w:tcPr>
            <w:tcW w:w="2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90,782</w:t>
            </w:r>
          </w:p>
        </w:tc>
        <w:tc>
          <w:tcPr>
            <w:tcW w:w="100" w:type="dxa"/>
            <w:vAlign w:val="bottom"/>
            <w:tcBorders>
              <w:top w:val="single" w:sz="8" w:color="EAF9E8"/>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right="120" w:hanging="532"/>
        <w:spacing w:after="0" w:line="286" w:lineRule="auto"/>
        <w:tabs>
          <w:tab w:leader="none" w:pos="5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balance at December 31, 2010 includes $24,366 of litigation reserves established primarily in connection with the proposed settlement of one legal proceeding and a jury verdict in another case. See Note 32 for additional information regarding these cases. In addition, as disclosed in Note 11, we established an accrual of $7,794 associated with our early termination of the HomEq office leases.</w:t>
      </w:r>
    </w:p>
    <w:p>
      <w:pPr>
        <w:spacing w:after="0" w:line="165" w:lineRule="exact"/>
        <w:rPr>
          <w:rFonts w:ascii="Arial" w:cs="Arial" w:eastAsia="Arial" w:hAnsi="Arial"/>
          <w:sz w:val="17"/>
          <w:szCs w:val="17"/>
          <w:color w:val="auto"/>
        </w:rPr>
      </w:pPr>
    </w:p>
    <w:p>
      <w:pPr>
        <w:ind w:left="540" w:hanging="532"/>
        <w:spacing w:after="0"/>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See Note 30 for additional information regarding our relationship with Altisource.</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See Note 25 for information on the liability for selected tax items.</w:t>
      </w:r>
    </w:p>
    <w:p>
      <w:pPr>
        <w:spacing w:after="0" w:line="225" w:lineRule="exact"/>
        <w:rPr>
          <w:rFonts w:ascii="Arial" w:cs="Arial" w:eastAsia="Arial" w:hAnsi="Arial"/>
          <w:sz w:val="18"/>
          <w:szCs w:val="18"/>
          <w:color w:val="auto"/>
        </w:rPr>
      </w:pPr>
    </w:p>
    <w:p>
      <w:pPr>
        <w:ind w:left="540" w:right="300" w:hanging="532"/>
        <w:spacing w:after="0" w:line="277"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balance at December 31, 2010 and 2009 includes $14,943 and $3,532, respectively, due to investors in connection with loans we service under subservicing agreements.</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8"/>
          <w:szCs w:val="18"/>
          <w:b w:val="1"/>
          <w:bCs w:val="1"/>
          <w:color w:val="auto"/>
        </w:rPr>
        <w:t>EQUITY</w:t>
      </w:r>
    </w:p>
    <w:p>
      <w:pPr>
        <w:spacing w:after="0" w:line="229" w:lineRule="exact"/>
        <w:rPr>
          <w:sz w:val="20"/>
          <w:szCs w:val="20"/>
          <w:color w:val="auto"/>
        </w:rPr>
      </w:pPr>
    </w:p>
    <w:p>
      <w:pPr>
        <w:ind w:right="180" w:firstLine="666"/>
        <w:spacing w:after="0" w:line="342" w:lineRule="auto"/>
        <w:rPr>
          <w:sz w:val="20"/>
          <w:szCs w:val="20"/>
          <w:color w:val="auto"/>
        </w:rPr>
      </w:pPr>
      <w:r>
        <w:rPr>
          <w:rFonts w:ascii="Arial" w:cs="Arial" w:eastAsia="Arial" w:hAnsi="Arial"/>
          <w:sz w:val="16"/>
          <w:szCs w:val="16"/>
          <w:color w:val="auto"/>
        </w:rPr>
        <w:t>On May 9, 2000, we announced that our Board of Directors authorized the repurchase of up to 6,000,000 of our issued and outstanding shares of common stock. To date, we have repurchased 431,100 shares under this plan (all in 2004). We may still purchase a total of 5,568,900 shares under this plan.</w:t>
      </w:r>
    </w:p>
    <w:p>
      <w:pPr>
        <w:spacing w:after="0" w:line="124" w:lineRule="exact"/>
        <w:rPr>
          <w:sz w:val="20"/>
          <w:szCs w:val="20"/>
          <w:color w:val="auto"/>
        </w:rPr>
      </w:pPr>
    </w:p>
    <w:p>
      <w:pPr>
        <w:ind w:right="120" w:firstLine="666"/>
        <w:spacing w:after="0" w:line="277" w:lineRule="auto"/>
        <w:rPr>
          <w:sz w:val="20"/>
          <w:szCs w:val="20"/>
          <w:color w:val="auto"/>
        </w:rPr>
      </w:pPr>
      <w:r>
        <w:rPr>
          <w:rFonts w:ascii="Arial" w:cs="Arial" w:eastAsia="Arial" w:hAnsi="Arial"/>
          <w:sz w:val="18"/>
          <w:szCs w:val="18"/>
          <w:color w:val="auto"/>
        </w:rPr>
        <w:t>In a private placement transaction that closed on April 3, 2009, OCN sold 5,471,500 shares of its common stock for a price of $11.00 per share. We realized $60,165 in proceeds from this issuance.</w:t>
      </w:r>
    </w:p>
    <w:p>
      <w:pPr>
        <w:spacing w:after="0" w:line="170" w:lineRule="exact"/>
        <w:rPr>
          <w:sz w:val="20"/>
          <w:szCs w:val="20"/>
          <w:color w:val="auto"/>
        </w:rPr>
      </w:pPr>
    </w:p>
    <w:p>
      <w:pPr>
        <w:ind w:right="220" w:firstLine="666"/>
        <w:spacing w:after="0" w:line="264" w:lineRule="auto"/>
        <w:rPr>
          <w:sz w:val="20"/>
          <w:szCs w:val="20"/>
          <w:color w:val="auto"/>
        </w:rPr>
      </w:pPr>
      <w:r>
        <w:rPr>
          <w:rFonts w:ascii="Arial" w:cs="Arial" w:eastAsia="Arial" w:hAnsi="Arial"/>
          <w:sz w:val="18"/>
          <w:szCs w:val="18"/>
          <w:color w:val="auto"/>
        </w:rPr>
        <w:t>On April 3, 2009, OCN repurchased from William C. Erbey, its Chairman of the Board and then Chief Executive Officer, 1,000,000 shares of its common stock at a per-share price of $11.00. We used a portion of the proceeds received from the above-described private placement transaction to acquire the shares from Mr. Erbey.</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8" w:name="page99"/>
    <w:bookmarkEnd w:id="98"/>
    <w:p>
      <w:pPr>
        <w:jc w:val="both"/>
        <w:ind w:right="180" w:firstLine="666"/>
        <w:spacing w:after="0" w:line="286" w:lineRule="auto"/>
        <w:rPr>
          <w:sz w:val="20"/>
          <w:szCs w:val="20"/>
          <w:color w:val="auto"/>
        </w:rPr>
      </w:pPr>
      <w:r>
        <w:rPr>
          <w:rFonts w:ascii="Arial" w:cs="Arial" w:eastAsia="Arial" w:hAnsi="Arial"/>
          <w:sz w:val="17"/>
          <w:szCs w:val="17"/>
          <w:color w:val="auto"/>
        </w:rPr>
        <w:t>On August 18, 2009, OCN completed the public offering of 32,200,000 shares of common stock at a per share price of $9.00, including 4,200,000 shares of common stock purchased by the underwriters pursuant to the full exercise of the over-allotment option granted under the underwriting agreement. We received net proceeds of $274,964 from the offering after deducting underwriting fees and other offering costs.</w:t>
      </w:r>
    </w:p>
    <w:p>
      <w:pPr>
        <w:spacing w:after="0" w:line="16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21</w:t>
      </w:r>
      <w:r>
        <w:rPr>
          <w:sz w:val="20"/>
          <w:szCs w:val="20"/>
          <w:color w:val="auto"/>
        </w:rPr>
        <w:tab/>
      </w: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ind w:right="360" w:firstLine="666"/>
        <w:spacing w:after="0" w:line="286" w:lineRule="auto"/>
        <w:rPr>
          <w:sz w:val="20"/>
          <w:szCs w:val="20"/>
          <w:color w:val="auto"/>
        </w:rPr>
      </w:pPr>
      <w:r>
        <w:rPr>
          <w:rFonts w:ascii="Arial" w:cs="Arial" w:eastAsia="Arial" w:hAnsi="Arial"/>
          <w:sz w:val="17"/>
          <w:szCs w:val="17"/>
          <w:color w:val="auto"/>
        </w:rPr>
        <w:t>Because our current derivative agreements are not exchange-traded, we are exposed to credit loss in the event of nonperformance by the counterparty to the agreements. We control this risk through credit monitoring procedures including financial analysis, dollar limits and other monitoring procedures. The notional amount of our contracts does not represent our exposure to credit loss.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 Management</w:t>
      </w:r>
    </w:p>
    <w:p>
      <w:pPr>
        <w:spacing w:after="0" w:line="229" w:lineRule="exact"/>
        <w:rPr>
          <w:sz w:val="20"/>
          <w:szCs w:val="20"/>
          <w:color w:val="auto"/>
        </w:rPr>
      </w:pPr>
    </w:p>
    <w:p>
      <w:pPr>
        <w:ind w:right="460" w:firstLine="666"/>
        <w:spacing w:after="0" w:line="277" w:lineRule="auto"/>
        <w:rPr>
          <w:sz w:val="20"/>
          <w:szCs w:val="20"/>
          <w:color w:val="auto"/>
        </w:rPr>
      </w:pPr>
      <w:r>
        <w:rPr>
          <w:rFonts w:ascii="Arial" w:cs="Arial" w:eastAsia="Arial" w:hAnsi="Arial"/>
          <w:sz w:val="18"/>
          <w:szCs w:val="18"/>
          <w:color w:val="auto"/>
        </w:rPr>
        <w:t>In 2010, we entered into foreign exchange forward contracts to hedge against the effect of changes in the value of the India Rupee on amounts payable to our subsidiary in India, OFSPL. We did not designate these contracts as hedges.</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Our operations in Uruguay also expose us to foreign currency exchange rate risk, but we consider this risk to be insignificant.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Management</w:t>
      </w:r>
    </w:p>
    <w:p>
      <w:pPr>
        <w:spacing w:after="0" w:line="229" w:lineRule="exact"/>
        <w:rPr>
          <w:sz w:val="20"/>
          <w:szCs w:val="20"/>
          <w:color w:val="auto"/>
        </w:rPr>
      </w:pPr>
    </w:p>
    <w:p>
      <w:pPr>
        <w:ind w:right="340" w:firstLine="666"/>
        <w:spacing w:after="0" w:line="277" w:lineRule="auto"/>
        <w:rPr>
          <w:sz w:val="20"/>
          <w:szCs w:val="20"/>
          <w:color w:val="auto"/>
        </w:rPr>
      </w:pPr>
      <w:r>
        <w:rPr>
          <w:rFonts w:ascii="Arial" w:cs="Arial" w:eastAsia="Arial" w:hAnsi="Arial"/>
          <w:sz w:val="18"/>
          <w:szCs w:val="18"/>
          <w:color w:val="auto"/>
        </w:rPr>
        <w:t>In our Servicing segment, during 2010 we entered into three interest rate swaps and terminated two interest rate caps that we had entered into in 2007 and 2008.</w:t>
      </w:r>
    </w:p>
    <w:p>
      <w:pPr>
        <w:spacing w:after="0" w:line="170" w:lineRule="exact"/>
        <w:rPr>
          <w:sz w:val="20"/>
          <w:szCs w:val="20"/>
          <w:color w:val="auto"/>
        </w:rPr>
      </w:pPr>
    </w:p>
    <w:p>
      <w:pPr>
        <w:ind w:right="120" w:firstLine="666"/>
        <w:spacing w:after="0" w:line="279" w:lineRule="auto"/>
        <w:rPr>
          <w:sz w:val="20"/>
          <w:szCs w:val="20"/>
          <w:color w:val="auto"/>
        </w:rPr>
      </w:pPr>
      <w:r>
        <w:rPr>
          <w:rFonts w:ascii="Arial" w:cs="Arial" w:eastAsia="Arial" w:hAnsi="Arial"/>
          <w:sz w:val="17"/>
          <w:szCs w:val="17"/>
          <w:color w:val="auto"/>
        </w:rPr>
        <w:t>In April 2010, we entered into a $250,000 interest rate swap to hedge against the effects of a change in 1-Month LIBOR on borrowing of $250,000 under a $500,000 advance funding facility that carries a variable interest rate. Under the terms of the swap, we pay a fixed rate of 2.059% and receive a variable rate equal to 1-Month LIBOR. Settlements under the terms of this swap commenced in August 2010. Projected net settlements for the next twelve months total approximately $4,313 of payments to the counterparty. We designated this swap as a cash flow hedge.</w:t>
      </w:r>
    </w:p>
    <w:p>
      <w:pPr>
        <w:spacing w:after="0" w:line="171" w:lineRule="exact"/>
        <w:rPr>
          <w:sz w:val="20"/>
          <w:szCs w:val="20"/>
          <w:color w:val="auto"/>
        </w:rPr>
      </w:pPr>
    </w:p>
    <w:p>
      <w:pPr>
        <w:ind w:firstLine="666"/>
        <w:spacing w:after="0" w:line="276" w:lineRule="auto"/>
        <w:rPr>
          <w:sz w:val="20"/>
          <w:szCs w:val="20"/>
          <w:color w:val="auto"/>
        </w:rPr>
      </w:pPr>
      <w:r>
        <w:rPr>
          <w:rFonts w:ascii="Arial" w:cs="Arial" w:eastAsia="Arial" w:hAnsi="Arial"/>
          <w:sz w:val="17"/>
          <w:szCs w:val="17"/>
          <w:color w:val="auto"/>
        </w:rPr>
        <w:t>In June 2010, we entered into two interest rate swaps with notional amounts totaling $637,200 to hedge against the effect of changes in the interest rate on a $1,011,000 advance funding facility in connection with the HomEq Acquisition. The terms of the facility are the lender’s commercial paper rate plus 3.5 – 7.5%. Under the terms of the two swaps, we pay fixed rates of 1.575% and 1.5275%, respectively, and receive a variable rate equal to 1-Month LIBOR. Settlements under the terms of these swaps commenced in September 2010. Projected net settlements for the next twelve months total approximately $5,904 of payments to the counterparty. We designated these swaps as cash flow hedges.</w:t>
      </w:r>
    </w:p>
    <w:p>
      <w:pPr>
        <w:spacing w:after="0" w:line="173" w:lineRule="exact"/>
        <w:rPr>
          <w:sz w:val="20"/>
          <w:szCs w:val="20"/>
          <w:color w:val="auto"/>
        </w:rPr>
      </w:pPr>
    </w:p>
    <w:p>
      <w:pPr>
        <w:ind w:firstLine="663"/>
        <w:spacing w:after="0" w:line="257" w:lineRule="auto"/>
        <w:rPr>
          <w:sz w:val="20"/>
          <w:szCs w:val="20"/>
          <w:color w:val="auto"/>
        </w:rPr>
      </w:pPr>
      <w:r>
        <w:rPr>
          <w:rFonts w:ascii="Arial" w:cs="Arial" w:eastAsia="Arial" w:hAnsi="Arial"/>
          <w:sz w:val="18"/>
          <w:szCs w:val="18"/>
          <w:color w:val="auto"/>
        </w:rPr>
        <w:t>We entered into two interest rate caps in 2007 and 2008 to hedge our exposure to the effect of rising interest rates on our borrowing under two advance funding facilities. We terminated one facility in December 2010. Borrowing under the second facility had declined to $10,315 at December 31, 2010, and the related cap was scheduled to mature in January 2011. As a result, we terminated both caps in December 2010. We initially designated the 2007 cap as a cash flow hedge but de-designated it as of March 31, 2008 because of ineffectiveness. We did not designate the 2008 cap as a hedge. We did not receive any payments under the terms of either of these caps.</w:t>
      </w:r>
    </w:p>
    <w:p>
      <w:pPr>
        <w:spacing w:after="0" w:line="188" w:lineRule="exact"/>
        <w:rPr>
          <w:sz w:val="20"/>
          <w:szCs w:val="20"/>
          <w:color w:val="auto"/>
        </w:rPr>
      </w:pPr>
    </w:p>
    <w:p>
      <w:pPr>
        <w:ind w:right="60" w:firstLine="666"/>
        <w:spacing w:after="0" w:line="259" w:lineRule="auto"/>
        <w:rPr>
          <w:sz w:val="20"/>
          <w:szCs w:val="20"/>
          <w:color w:val="auto"/>
        </w:rPr>
      </w:pPr>
      <w:r>
        <w:rPr>
          <w:rFonts w:ascii="Arial" w:cs="Arial" w:eastAsia="Arial" w:hAnsi="Arial"/>
          <w:sz w:val="18"/>
          <w:szCs w:val="18"/>
          <w:color w:val="auto"/>
        </w:rPr>
        <w:t>In our Loans and Residuals segment, effective January 1, 2010 we include certain securitization trusts under the provisions of ASC 810, Consolidation, as more fully described in Note 1—Securitizations of Residential Mortgage Loans. As a result, we report in our Loans and Residuals segment the fair value of an interest rate swap that is held by one of the securitization trusts. Under the terms of the swap, the trust pays a fixed rate of 4.935% and receives a variable rate equal to 1-Month LIBOR. This swap is not designated as a hedge.</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99" w:name="page100"/>
    <w:bookmarkEnd w:id="99"/>
    <w:p>
      <w:pPr>
        <w:ind w:left="680"/>
        <w:spacing w:after="0"/>
        <w:rPr>
          <w:sz w:val="20"/>
          <w:szCs w:val="20"/>
          <w:color w:val="auto"/>
        </w:rPr>
      </w:pPr>
      <w:r>
        <w:rPr>
          <w:rFonts w:ascii="Arial" w:cs="Arial" w:eastAsia="Arial" w:hAnsi="Arial"/>
          <w:sz w:val="18"/>
          <w:szCs w:val="18"/>
          <w:color w:val="auto"/>
        </w:rPr>
        <w:t>The following table summarizes the use of derivatives during 2010: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Foreign Exchange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Forwards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2"/>
              </w:rPr>
              <w:t>Interest Rate Caps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Interest Rate Swaps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EAF9E8"/>
          </w:tcPr>
          <w:p>
            <w:pPr>
              <w:spacing w:after="0"/>
              <w:rPr>
                <w:sz w:val="20"/>
                <w:szCs w:val="20"/>
                <w:color w:val="auto"/>
              </w:rPr>
            </w:pPr>
            <w:r>
              <w:rPr>
                <w:rFonts w:ascii="Arial" w:cs="Arial" w:eastAsia="Arial" w:hAnsi="Arial"/>
                <w:sz w:val="18"/>
                <w:szCs w:val="18"/>
                <w:color w:val="auto"/>
              </w:rPr>
              <w:t>Notional balance at December 31, 2009</w:t>
            </w:r>
          </w:p>
        </w:tc>
        <w:tc>
          <w:tcPr>
            <w:tcW w:w="4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358,333</w:t>
            </w:r>
          </w:p>
        </w:tc>
        <w:tc>
          <w:tcPr>
            <w:tcW w:w="3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Opening balance adjustment (1)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Additions</w:t>
            </w:r>
          </w:p>
        </w:tc>
        <w:tc>
          <w:tcPr>
            <w:tcW w:w="2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19,200</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9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887,201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Maturities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(12,800)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(58,113)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Terminations</w:t>
            </w:r>
          </w:p>
        </w:tc>
        <w:tc>
          <w:tcPr>
            <w:tcW w:w="2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9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(258,333)</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shd w:val="clear" w:color="auto" w:fill="EAF9E8"/>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Notional balance at December 31, 2010 (1)</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60"/>
              <w:spacing w:after="0"/>
              <w:rPr>
                <w:sz w:val="20"/>
                <w:szCs w:val="20"/>
                <w:color w:val="auto"/>
              </w:rPr>
            </w:pPr>
            <w:r>
              <w:rPr>
                <w:rFonts w:ascii="Arial" w:cs="Arial" w:eastAsia="Arial" w:hAnsi="Arial"/>
                <w:sz w:val="18"/>
                <w:szCs w:val="18"/>
                <w:color w:val="auto"/>
              </w:rPr>
              <w:t>6,400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846,888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6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7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6"/>
              </w:rPr>
              <w:t>Fair value of derivative assets (liabilities) at December 31(2):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December 31, 2010 (1)</w:t>
            </w:r>
          </w:p>
        </w:tc>
        <w:tc>
          <w:tcPr>
            <w:tcW w:w="4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319</w:t>
            </w:r>
          </w:p>
        </w:tc>
        <w:tc>
          <w:tcPr>
            <w:tcW w:w="3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(15,670)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December 31, 2009 (1)</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240"/>
              <w:spacing w:after="0"/>
              <w:rPr>
                <w:sz w:val="20"/>
                <w:szCs w:val="20"/>
                <w:color w:val="auto"/>
              </w:rPr>
            </w:pPr>
            <w:r>
              <w:rPr>
                <w:rFonts w:ascii="Arial" w:cs="Arial" w:eastAsia="Arial" w:hAnsi="Arial"/>
                <w:sz w:val="18"/>
                <w:szCs w:val="18"/>
                <w:color w:val="auto"/>
              </w:rPr>
              <w:t>781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6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7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60" w:type="dxa"/>
            <w:vAlign w:val="bottom"/>
          </w:tcPr>
          <w:p>
            <w:pPr>
              <w:spacing w:after="0" w:line="201" w:lineRule="exact"/>
              <w:rPr>
                <w:sz w:val="20"/>
                <w:szCs w:val="20"/>
                <w:color w:val="auto"/>
              </w:rPr>
            </w:pPr>
            <w:r>
              <w:rPr>
                <w:rFonts w:ascii="Arial" w:cs="Arial" w:eastAsia="Arial" w:hAnsi="Arial"/>
                <w:sz w:val="18"/>
                <w:szCs w:val="18"/>
                <w:color w:val="auto"/>
              </w:rPr>
              <w:t>Maturity</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2"/>
          </w:tcPr>
          <w:p>
            <w:pPr>
              <w:jc w:val="center"/>
              <w:ind w:right="440"/>
              <w:spacing w:after="0" w:line="201" w:lineRule="exact"/>
              <w:rPr>
                <w:sz w:val="20"/>
                <w:szCs w:val="20"/>
                <w:color w:val="auto"/>
              </w:rPr>
            </w:pPr>
            <w:r>
              <w:rPr>
                <w:rFonts w:ascii="Arial" w:cs="Arial" w:eastAsia="Arial" w:hAnsi="Arial"/>
                <w:sz w:val="18"/>
                <w:szCs w:val="18"/>
                <w:color w:val="auto"/>
                <w:w w:val="96"/>
              </w:rPr>
              <w:t>April 2011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November 2011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to August 2013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right="200" w:hanging="572"/>
        <w:spacing w:after="0" w:line="259" w:lineRule="auto"/>
        <w:tabs>
          <w:tab w:leader="none" w:pos="5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As a result of including four securitization trusts in our consolidated financial statements under the provisions of ASC 810, Consolidations, as more fully described in Note 1—Securitizations of Residential Mortgage Loans, we recognized opening balance adjustments as of January 1, 2010 that included the $(826) fair value of the interest swap held by one of the trusts. This swap, which had a notional amount of $10,100 and a fair value of $(335) at December 31, 2010, was not designated as a hedge.</w:t>
      </w:r>
    </w:p>
    <w:p>
      <w:pPr>
        <w:spacing w:after="0" w:line="186" w:lineRule="exact"/>
        <w:rPr>
          <w:rFonts w:ascii="Arial" w:cs="Arial" w:eastAsia="Arial" w:hAnsi="Arial"/>
          <w:sz w:val="18"/>
          <w:szCs w:val="18"/>
          <w:color w:val="auto"/>
        </w:rPr>
      </w:pPr>
    </w:p>
    <w:p>
      <w:pPr>
        <w:ind w:left="580" w:hanging="572"/>
        <w:spacing w:after="0"/>
        <w:tabs>
          <w:tab w:leader="none" w:pos="5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Derivatives are reported at fair value in Other assets or in Other liabilities.</w:t>
      </w:r>
    </w:p>
    <w:p>
      <w:pPr>
        <w:spacing w:after="0" w:line="225" w:lineRule="exact"/>
        <w:rPr>
          <w:sz w:val="20"/>
          <w:szCs w:val="20"/>
          <w:color w:val="auto"/>
        </w:rPr>
      </w:pPr>
    </w:p>
    <w:p>
      <w:pPr>
        <w:ind w:right="40" w:firstLine="666"/>
        <w:spacing w:after="0" w:line="297" w:lineRule="auto"/>
        <w:rPr>
          <w:sz w:val="20"/>
          <w:szCs w:val="20"/>
          <w:color w:val="auto"/>
        </w:rPr>
      </w:pPr>
      <w:r>
        <w:rPr>
          <w:rFonts w:ascii="Arial" w:cs="Arial" w:eastAsia="Arial" w:hAnsi="Arial"/>
          <w:sz w:val="16"/>
          <w:szCs w:val="16"/>
          <w:color w:val="auto"/>
        </w:rPr>
        <w:t>Net realized and unrealized gains included in Other income (expense), net related to derivative financial instruments that were not designated as hedges were $17, $588 and $2,390 for 2010, 2009 and 2008, respectively. Other income (expense), net in 2010 also includes $150 of unrealized losses arising from ineffectiveness of the interest rate swaps that we designated as cash flow hedges. Other income (expense), net in 2008 also includes a $239 loss related to an interest rate cap that we designated as a cash flow hedge in 2007 and de-designated in 2008. In addition, we recorded losses of $3,149 in 2008 that represented fair value basis adjustments on a $165,000 fixed-rate match funded term note that we had designated as part of a fair value hedging relationship .</w:t>
      </w:r>
    </w:p>
    <w:p>
      <w:pPr>
        <w:spacing w:after="0" w:line="158" w:lineRule="exact"/>
        <w:rPr>
          <w:sz w:val="20"/>
          <w:szCs w:val="20"/>
          <w:color w:val="auto"/>
        </w:rPr>
      </w:pPr>
    </w:p>
    <w:p>
      <w:pPr>
        <w:ind w:right="40" w:firstLine="666"/>
        <w:spacing w:after="0" w:line="272" w:lineRule="auto"/>
        <w:rPr>
          <w:sz w:val="20"/>
          <w:szCs w:val="20"/>
          <w:color w:val="auto"/>
        </w:rPr>
      </w:pPr>
      <w:r>
        <w:rPr>
          <w:rFonts w:ascii="Arial" w:cs="Arial" w:eastAsia="Arial" w:hAnsi="Arial"/>
          <w:sz w:val="17"/>
          <w:szCs w:val="17"/>
          <w:color w:val="auto"/>
        </w:rPr>
        <w:t>Included in Other comprehensive loss during 2010 was $14,435 of deferred unrealized losses, before taxes of $5,196, on the swaps that we designated as cash flow hedges. There were no accumulated gains or losses on cash flow hedges included in Accumulated other comprehensive loss at December 31, 2009. In 2008, we entered into foreign currency futures contracts to hedge our net investment in BOK against adverse changes in the value of the Euro versus the U.S. Dollar. We designated these derivatives as a foreign-currency net investment hedge. Net gains on these foreign currency futures were $740 and $1,038 for 2009 and 2008, respectively. We initially recorded these gains as part of the net change in unrealized foreign currency translation adjustment in Accumulat ed other comprehensive income. In 2009, in connection with the sale of BOK, we closed this hedge and recognized accumulated gains of $298 on the hedge as part of the gain on the sale.</w:t>
      </w:r>
    </w:p>
    <w:p>
      <w:pPr>
        <w:spacing w:after="0" w:line="17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22</w:t>
      </w:r>
      <w:r>
        <w:rPr>
          <w:sz w:val="20"/>
          <w:szCs w:val="20"/>
          <w:color w:val="auto"/>
        </w:rPr>
        <w:tab/>
      </w:r>
      <w:r>
        <w:rPr>
          <w:rFonts w:ascii="Arial" w:cs="Arial" w:eastAsia="Arial" w:hAnsi="Arial"/>
          <w:sz w:val="17"/>
          <w:szCs w:val="17"/>
          <w:b w:val="1"/>
          <w:bCs w:val="1"/>
          <w:color w:val="auto"/>
        </w:rPr>
        <w:t>SERVICING AND SUBSERVICING FEES</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table presents the components of servicing and subservicing fees for the years ended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Loan servicing and subservicing fees</w:t>
            </w:r>
          </w:p>
        </w:tc>
        <w:tc>
          <w:tcPr>
            <w:tcW w:w="280" w:type="dxa"/>
            <w:vAlign w:val="bottom"/>
            <w:shd w:val="clear" w:color="auto" w:fill="EAF9E8"/>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226,284</w:t>
            </w:r>
          </w:p>
        </w:tc>
        <w:tc>
          <w:tcPr>
            <w:tcW w:w="240" w:type="dxa"/>
            <w:vAlign w:val="bottom"/>
            <w:shd w:val="clear" w:color="auto" w:fill="EAF9E8"/>
          </w:tcPr>
          <w:p>
            <w:pPr>
              <w:spacing w:after="0"/>
              <w:rPr>
                <w:sz w:val="18"/>
                <w:szCs w:val="18"/>
                <w:color w:val="auto"/>
              </w:rPr>
            </w:pPr>
          </w:p>
        </w:tc>
        <w:tc>
          <w:tcPr>
            <w:tcW w:w="500" w:type="dxa"/>
            <w:vAlign w:val="bottom"/>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175,691</w:t>
            </w:r>
          </w:p>
        </w:tc>
        <w:tc>
          <w:tcPr>
            <w:tcW w:w="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215,817</w:t>
            </w: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Late charges</w:t>
            </w: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32,760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28,292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45,985</w:t>
            </w: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Home Affordable Modification Program (HAMP) fees</w:t>
            </w:r>
          </w:p>
        </w:tc>
        <w:tc>
          <w:tcPr>
            <w:tcW w:w="28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32,363</w:t>
            </w:r>
          </w:p>
        </w:tc>
        <w:tc>
          <w:tcPr>
            <w:tcW w:w="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5,581</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Loan collection fees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8,958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7,569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11,336</w:t>
            </w: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Custodial accounts (float earnings) (1)</w:t>
            </w: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2,843</w:t>
            </w:r>
          </w:p>
        </w:tc>
        <w:tc>
          <w:tcPr>
            <w:tcW w:w="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4,803</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11,005</w:t>
            </w: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Receivables management and recovery fees (2)</w:t>
            </w: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29,207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56,186</w:t>
            </w: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18,491</w:t>
            </w:r>
          </w:p>
        </w:tc>
        <w:tc>
          <w:tcPr>
            <w:tcW w:w="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13,324</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27,697</w:t>
            </w:r>
          </w:p>
        </w:tc>
      </w:tr>
      <w:tr>
        <w:trPr>
          <w:trHeight w:val="27"/>
        </w:trPr>
        <w:tc>
          <w:tcPr>
            <w:tcW w:w="20" w:type="dxa"/>
            <w:vAlign w:val="bottom"/>
          </w:tcPr>
          <w:p>
            <w:pPr>
              <w:spacing w:after="0"/>
              <w:rPr>
                <w:sz w:val="2"/>
                <w:szCs w:val="2"/>
                <w:color w:val="auto"/>
              </w:rPr>
            </w:pPr>
          </w:p>
        </w:tc>
        <w:tc>
          <w:tcPr>
            <w:tcW w:w="662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321,699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264,467</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368,026</w:t>
            </w:r>
          </w:p>
        </w:tc>
      </w:tr>
      <w:tr>
        <w:trPr>
          <w:trHeight w:val="21"/>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right="420" w:hanging="572"/>
        <w:spacing w:after="0" w:line="277" w:lineRule="auto"/>
        <w:tabs>
          <w:tab w:leader="none" w:pos="5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 2010, 2009 and 2008, float earnings included $901, $4,745 and $10,696, respectively, of interest income from our investment in auction rate securities.</w:t>
      </w:r>
    </w:p>
    <w:p>
      <w:pPr>
        <w:spacing w:after="0" w:line="170" w:lineRule="exact"/>
        <w:rPr>
          <w:rFonts w:ascii="Arial" w:cs="Arial" w:eastAsia="Arial" w:hAnsi="Arial"/>
          <w:sz w:val="18"/>
          <w:szCs w:val="18"/>
          <w:color w:val="auto"/>
        </w:rPr>
      </w:pPr>
    </w:p>
    <w:p>
      <w:pPr>
        <w:ind w:left="580" w:right="400" w:hanging="572"/>
        <w:spacing w:after="0" w:line="277" w:lineRule="auto"/>
        <w:tabs>
          <w:tab w:leader="none" w:pos="5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These fees were earned by the Financial Services segment which we distributed as part of the Separation. See Note 29 for additional information regarding this former business segment.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00" w:name="page101"/>
    <w:bookmarkEnd w:id="100"/>
    <w:p>
      <w:pPr>
        <w:spacing w:after="0"/>
        <w:tabs>
          <w:tab w:leader="none" w:pos="1360" w:val="left"/>
        </w:tabs>
        <w:rPr>
          <w:sz w:val="20"/>
          <w:szCs w:val="20"/>
          <w:color w:val="auto"/>
        </w:rPr>
      </w:pPr>
      <w:r>
        <w:rPr>
          <w:rFonts w:ascii="Arial" w:cs="Arial" w:eastAsia="Arial" w:hAnsi="Arial"/>
          <w:sz w:val="18"/>
          <w:szCs w:val="18"/>
          <w:b w:val="1"/>
          <w:bCs w:val="1"/>
          <w:color w:val="auto"/>
        </w:rPr>
        <w:t>NOTE 23</w:t>
      </w:r>
      <w:r>
        <w:rPr>
          <w:sz w:val="20"/>
          <w:szCs w:val="20"/>
          <w:color w:val="auto"/>
        </w:rPr>
        <w:tab/>
      </w:r>
      <w:r>
        <w:rPr>
          <w:rFonts w:ascii="Arial" w:cs="Arial" w:eastAsia="Arial" w:hAnsi="Arial"/>
          <w:sz w:val="18"/>
          <w:szCs w:val="18"/>
          <w:b w:val="1"/>
          <w:bCs w:val="1"/>
          <w:color w:val="auto"/>
        </w:rPr>
        <w:t>INTEREST INCOME</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following table presents the components of interest income for each category of our interest-earning assets for the years ended December 31: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Interest earning cash and short-term investments</w:t>
            </w:r>
          </w:p>
        </w:tc>
        <w:tc>
          <w:tcPr>
            <w:tcW w:w="280" w:type="dxa"/>
            <w:vAlign w:val="bottom"/>
            <w:shd w:val="clear" w:color="auto" w:fill="EAF9E8"/>
          </w:tcPr>
          <w:p>
            <w:pPr>
              <w:jc w:val="right"/>
              <w:ind w:right="1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1,190</w:t>
            </w:r>
          </w:p>
        </w:tc>
        <w:tc>
          <w:tcPr>
            <w:tcW w:w="5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1,543</w:t>
            </w:r>
          </w:p>
        </w:tc>
        <w:tc>
          <w:tcPr>
            <w:tcW w:w="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2,011</w:t>
            </w: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89"/>
              </w:rPr>
              <w:t>Trading securities:</w:t>
            </w:r>
          </w:p>
        </w:tc>
        <w:tc>
          <w:tcPr>
            <w:tcW w:w="5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Investment grade</w:t>
            </w:r>
          </w:p>
        </w:tc>
        <w:tc>
          <w:tcPr>
            <w:tcW w:w="28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598</w:t>
            </w: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Subordinates and residuals</w:t>
            </w: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4,259</w:t>
            </w: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Loans held for resale</w:t>
            </w:r>
          </w:p>
        </w:tc>
        <w:tc>
          <w:tcPr>
            <w:tcW w:w="28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3,398</w:t>
            </w:r>
          </w:p>
        </w:tc>
        <w:tc>
          <w:tcPr>
            <w:tcW w:w="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4,643</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7,828</w:t>
            </w: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Loans, net - restricted for securitization investors</w:t>
            </w: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6,271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340" w:type="dxa"/>
            <w:vAlign w:val="bottom"/>
            <w:shd w:val="clear" w:color="auto" w:fill="EAF9E8"/>
          </w:tcPr>
          <w:p>
            <w:pPr>
              <w:spacing w:after="0"/>
              <w:rPr>
                <w:sz w:val="20"/>
                <w:szCs w:val="20"/>
                <w:color w:val="auto"/>
              </w:rPr>
            </w:pPr>
          </w:p>
        </w:tc>
        <w:tc>
          <w:tcPr>
            <w:tcW w:w="5280" w:type="dxa"/>
            <w:vAlign w:val="bottom"/>
            <w:shd w:val="clear" w:color="auto" w:fill="EAF9E8"/>
          </w:tcPr>
          <w:p>
            <w:pPr>
              <w:spacing w:after="0"/>
              <w:rPr>
                <w:sz w:val="20"/>
                <w:szCs w:val="20"/>
                <w:color w:val="auto"/>
              </w:rPr>
            </w:pPr>
          </w:p>
        </w:tc>
        <w:tc>
          <w:tcPr>
            <w:tcW w:w="280" w:type="dxa"/>
            <w:vAlign w:val="bottom"/>
            <w:shd w:val="clear" w:color="auto" w:fill="EAF9E8"/>
          </w:tcPr>
          <w:p>
            <w:pPr>
              <w:jc w:val="right"/>
              <w:ind w:right="1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10,859</w:t>
            </w:r>
          </w:p>
        </w:tc>
        <w:tc>
          <w:tcPr>
            <w:tcW w:w="5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8,786</w:t>
            </w:r>
          </w:p>
        </w:tc>
        <w:tc>
          <w:tcPr>
            <w:tcW w:w="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14,696</w:t>
            </w:r>
          </w:p>
        </w:tc>
      </w:tr>
      <w:tr>
        <w:trPr>
          <w:trHeight w:val="20"/>
        </w:trPr>
        <w:tc>
          <w:tcPr>
            <w:tcW w:w="20" w:type="dxa"/>
            <w:vAlign w:val="bottom"/>
          </w:tcPr>
          <w:p>
            <w:pPr>
              <w:spacing w:after="0" w:line="20" w:lineRule="exact"/>
              <w:rPr>
                <w:sz w:val="1"/>
                <w:szCs w:val="1"/>
                <w:color w:val="auto"/>
              </w:rPr>
            </w:pPr>
          </w:p>
        </w:tc>
        <w:tc>
          <w:tcPr>
            <w:tcW w:w="1340" w:type="dxa"/>
            <w:vAlign w:val="bottom"/>
            <w:tcBorders>
              <w:top w:val="single" w:sz="8" w:color="EAF9E8"/>
            </w:tcBorders>
            <w:shd w:val="clear" w:color="auto" w:fill="EAF9E8"/>
          </w:tcPr>
          <w:p>
            <w:pPr>
              <w:spacing w:after="0" w:line="20" w:lineRule="exact"/>
              <w:rPr>
                <w:sz w:val="1"/>
                <w:szCs w:val="1"/>
                <w:color w:val="auto"/>
              </w:rPr>
            </w:pPr>
          </w:p>
        </w:tc>
        <w:tc>
          <w:tcPr>
            <w:tcW w:w="528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r>
        <w:trPr>
          <w:trHeight w:val="426"/>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NOTE 24</w:t>
            </w:r>
          </w:p>
        </w:tc>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INTEREST EXPENSE</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following table presents the components of interest expense for each category of our interest-bearing liabilities for the years ended December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Match funded liabilities</w:t>
            </w:r>
          </w:p>
        </w:tc>
        <w:tc>
          <w:tcPr>
            <w:tcW w:w="280" w:type="dxa"/>
            <w:vAlign w:val="bottom"/>
            <w:shd w:val="clear" w:color="auto" w:fill="EAF9E8"/>
          </w:tcPr>
          <w:p>
            <w:pPr>
              <w:jc w:val="right"/>
              <w:ind w:right="1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61,656</w:t>
            </w:r>
          </w:p>
        </w:tc>
        <w:tc>
          <w:tcPr>
            <w:tcW w:w="5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46,068</w:t>
            </w:r>
          </w:p>
        </w:tc>
        <w:tc>
          <w:tcPr>
            <w:tcW w:w="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57,985</w:t>
            </w: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Secured borrowings – owed to securitization investors</w:t>
            </w: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632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Lines of credit and other secured borrowings</w:t>
            </w:r>
          </w:p>
        </w:tc>
        <w:tc>
          <w:tcPr>
            <w:tcW w:w="28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17,553</w:t>
            </w:r>
          </w:p>
        </w:tc>
        <w:tc>
          <w:tcPr>
            <w:tcW w:w="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4,161</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13,987</w:t>
            </w: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Investment line</w:t>
            </w:r>
          </w:p>
        </w:tc>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376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2,618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1,055</w:t>
            </w:r>
          </w:p>
        </w:tc>
      </w:tr>
      <w:tr>
        <w:trPr>
          <w:trHeight w:val="216"/>
        </w:trPr>
        <w:tc>
          <w:tcPr>
            <w:tcW w:w="20" w:type="dxa"/>
            <w:vAlign w:val="bottom"/>
          </w:tcPr>
          <w:p>
            <w:pPr>
              <w:spacing w:after="0"/>
              <w:rPr>
                <w:sz w:val="18"/>
                <w:szCs w:val="18"/>
                <w:color w:val="auto"/>
              </w:rPr>
            </w:pPr>
          </w:p>
        </w:tc>
        <w:tc>
          <w:tcPr>
            <w:tcW w:w="1240" w:type="dxa"/>
            <w:vAlign w:val="bottom"/>
            <w:shd w:val="clear" w:color="auto" w:fill="EAF9E8"/>
          </w:tcPr>
          <w:p>
            <w:pPr>
              <w:spacing w:after="0"/>
              <w:rPr>
                <w:sz w:val="20"/>
                <w:szCs w:val="20"/>
                <w:color w:val="auto"/>
              </w:rPr>
            </w:pPr>
            <w:r>
              <w:rPr>
                <w:rFonts w:ascii="Arial" w:cs="Arial" w:eastAsia="Arial" w:hAnsi="Arial"/>
                <w:sz w:val="18"/>
                <w:szCs w:val="18"/>
                <w:color w:val="auto"/>
                <w:w w:val="98"/>
              </w:rPr>
              <w:t>Debt securities:</w:t>
            </w:r>
          </w:p>
        </w:tc>
        <w:tc>
          <w:tcPr>
            <w:tcW w:w="53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Convertible Notes</w:t>
            </w: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1,834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3,898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7,238</w:t>
            </w: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Capital Trust Securities</w:t>
            </w:r>
          </w:p>
        </w:tc>
        <w:tc>
          <w:tcPr>
            <w:tcW w:w="28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2,954</w:t>
            </w:r>
          </w:p>
        </w:tc>
        <w:tc>
          <w:tcPr>
            <w:tcW w:w="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5,728</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5,805</w:t>
            </w: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Other</w:t>
            </w:r>
          </w:p>
        </w:tc>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918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481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504</w:t>
            </w: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240" w:type="dxa"/>
            <w:vAlign w:val="bottom"/>
            <w:shd w:val="clear" w:color="auto" w:fill="EAF9E8"/>
          </w:tcPr>
          <w:p>
            <w:pPr>
              <w:spacing w:after="0"/>
              <w:rPr>
                <w:sz w:val="20"/>
                <w:szCs w:val="20"/>
                <w:color w:val="auto"/>
              </w:rPr>
            </w:pPr>
          </w:p>
        </w:tc>
        <w:tc>
          <w:tcPr>
            <w:tcW w:w="5380" w:type="dxa"/>
            <w:vAlign w:val="bottom"/>
            <w:shd w:val="clear" w:color="auto" w:fill="EAF9E8"/>
          </w:tcPr>
          <w:p>
            <w:pPr>
              <w:spacing w:after="0"/>
              <w:rPr>
                <w:sz w:val="20"/>
                <w:szCs w:val="20"/>
                <w:color w:val="auto"/>
              </w:rPr>
            </w:pPr>
          </w:p>
        </w:tc>
        <w:tc>
          <w:tcPr>
            <w:tcW w:w="280" w:type="dxa"/>
            <w:vAlign w:val="bottom"/>
            <w:shd w:val="clear" w:color="auto" w:fill="EAF9E8"/>
          </w:tcPr>
          <w:p>
            <w:pPr>
              <w:jc w:val="right"/>
              <w:ind w:right="1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85,923</w:t>
            </w:r>
          </w:p>
        </w:tc>
        <w:tc>
          <w:tcPr>
            <w:tcW w:w="5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62,954</w:t>
            </w:r>
          </w:p>
        </w:tc>
        <w:tc>
          <w:tcPr>
            <w:tcW w:w="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86,574</w:t>
            </w: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EAF9E8"/>
            </w:tcBorders>
            <w:shd w:val="clear" w:color="auto" w:fill="EAF9E8"/>
          </w:tcPr>
          <w:p>
            <w:pPr>
              <w:spacing w:after="0" w:line="20" w:lineRule="exact"/>
              <w:rPr>
                <w:sz w:val="1"/>
                <w:szCs w:val="1"/>
                <w:color w:val="auto"/>
              </w:rPr>
            </w:pPr>
          </w:p>
        </w:tc>
        <w:tc>
          <w:tcPr>
            <w:tcW w:w="538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r>
        <w:trPr>
          <w:trHeight w:val="426"/>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NOTE 25</w:t>
            </w:r>
          </w:p>
        </w:tc>
        <w:tc>
          <w:tcPr>
            <w:tcW w:w="5380" w:type="dxa"/>
            <w:vAlign w:val="bottom"/>
          </w:tcPr>
          <w:p>
            <w:pPr>
              <w:ind w:left="120"/>
              <w:spacing w:after="0"/>
              <w:rPr>
                <w:sz w:val="20"/>
                <w:szCs w:val="20"/>
                <w:color w:val="auto"/>
              </w:rPr>
            </w:pPr>
            <w:r>
              <w:rPr>
                <w:rFonts w:ascii="Arial" w:cs="Arial" w:eastAsia="Arial" w:hAnsi="Arial"/>
                <w:sz w:val="18"/>
                <w:szCs w:val="18"/>
                <w:b w:val="1"/>
                <w:bCs w:val="1"/>
                <w:color w:val="auto"/>
              </w:rPr>
              <w:t>INCOME TAXES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ind w:right="360" w:firstLine="666"/>
        <w:spacing w:after="0" w:line="277" w:lineRule="auto"/>
        <w:rPr>
          <w:sz w:val="20"/>
          <w:szCs w:val="20"/>
          <w:color w:val="auto"/>
        </w:rPr>
      </w:pPr>
      <w:r>
        <w:rPr>
          <w:rFonts w:ascii="Arial" w:cs="Arial" w:eastAsia="Arial" w:hAnsi="Arial"/>
          <w:sz w:val="18"/>
          <w:szCs w:val="18"/>
          <w:color w:val="auto"/>
        </w:rPr>
        <w:t>For income tax purposes, the domestic and foreign components of income from continuing operations before taxes were as follows for the years ended December 31: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AF9E8"/>
          </w:tcPr>
          <w:p>
            <w:pPr>
              <w:spacing w:after="0"/>
              <w:rPr>
                <w:sz w:val="20"/>
                <w:szCs w:val="20"/>
                <w:color w:val="auto"/>
              </w:rPr>
            </w:pPr>
            <w:r>
              <w:rPr>
                <w:rFonts w:ascii="Arial" w:cs="Arial" w:eastAsia="Arial" w:hAnsi="Arial"/>
                <w:sz w:val="18"/>
                <w:szCs w:val="18"/>
                <w:color w:val="auto"/>
              </w:rPr>
              <w:t>Domestic</w:t>
            </w:r>
          </w:p>
        </w:tc>
        <w:tc>
          <w:tcPr>
            <w:tcW w:w="38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33,394</w:t>
            </w:r>
          </w:p>
        </w:tc>
        <w:tc>
          <w:tcPr>
            <w:tcW w:w="5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89,847</w:t>
            </w:r>
          </w:p>
        </w:tc>
        <w:tc>
          <w:tcPr>
            <w:tcW w:w="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23,649</w:t>
            </w: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Foreign</w:t>
            </w:r>
          </w:p>
        </w:tc>
        <w:tc>
          <w:tcPr>
            <w:tcW w:w="3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5,760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3,414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7,333</w:t>
            </w:r>
          </w:p>
        </w:tc>
      </w:tr>
      <w:tr>
        <w:trPr>
          <w:trHeight w:val="27"/>
        </w:trPr>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3100" w:type="dxa"/>
            <w:vAlign w:val="bottom"/>
            <w:shd w:val="clear" w:color="auto" w:fill="EAF9E8"/>
          </w:tcPr>
          <w:p>
            <w:pPr>
              <w:spacing w:after="0"/>
              <w:rPr>
                <w:sz w:val="22"/>
                <w:szCs w:val="22"/>
                <w:color w:val="auto"/>
              </w:rPr>
            </w:pPr>
          </w:p>
        </w:tc>
        <w:tc>
          <w:tcPr>
            <w:tcW w:w="38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39,154</w:t>
            </w:r>
          </w:p>
        </w:tc>
        <w:tc>
          <w:tcPr>
            <w:tcW w:w="5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93,261</w:t>
            </w:r>
          </w:p>
        </w:tc>
        <w:tc>
          <w:tcPr>
            <w:tcW w:w="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30,982</w:t>
            </w:r>
          </w:p>
        </w:tc>
      </w:tr>
      <w:tr>
        <w:trPr>
          <w:trHeight w:val="574"/>
        </w:trPr>
        <w:tc>
          <w:tcPr>
            <w:tcW w:w="20" w:type="dxa"/>
            <w:vAlign w:val="bottom"/>
          </w:tcPr>
          <w:p>
            <w:pPr>
              <w:spacing w:after="0"/>
              <w:rPr>
                <w:sz w:val="24"/>
                <w:szCs w:val="24"/>
                <w:color w:val="auto"/>
              </w:rPr>
            </w:pPr>
          </w:p>
        </w:tc>
        <w:tc>
          <w:tcPr>
            <w:tcW w:w="3100" w:type="dxa"/>
            <w:vAlign w:val="bottom"/>
            <w:tcBorders>
              <w:top w:val="single" w:sz="8" w:color="EAF9E8"/>
            </w:tcBorders>
          </w:tcPr>
          <w:p>
            <w:pPr>
              <w:spacing w:after="0"/>
              <w:rPr>
                <w:sz w:val="24"/>
                <w:szCs w:val="24"/>
                <w:color w:val="auto"/>
              </w:rPr>
            </w:pPr>
          </w:p>
        </w:tc>
        <w:tc>
          <w:tcPr>
            <w:tcW w:w="3520" w:type="dxa"/>
            <w:vAlign w:val="bottom"/>
            <w:tcBorders>
              <w:top w:val="single" w:sz="8" w:color="EAF9E8"/>
            </w:tcBorders>
          </w:tcPr>
          <w:p>
            <w:pPr>
              <w:ind w:left="2420"/>
              <w:spacing w:after="0"/>
              <w:rPr>
                <w:sz w:val="20"/>
                <w:szCs w:val="20"/>
                <w:color w:val="auto"/>
              </w:rPr>
            </w:pPr>
            <w:r>
              <w:rPr>
                <w:rFonts w:ascii="Arial" w:cs="Arial" w:eastAsia="Arial" w:hAnsi="Arial"/>
                <w:sz w:val="18"/>
                <w:szCs w:val="18"/>
                <w:color w:val="auto"/>
              </w:rPr>
              <w:t>F-41</w:t>
            </w: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Borders>
              <w:top w:val="single" w:sz="8" w:color="EAF9E8"/>
            </w:tcBorders>
          </w:tcPr>
          <w:p>
            <w:pPr>
              <w:spacing w:after="0"/>
              <w:rPr>
                <w:sz w:val="24"/>
                <w:szCs w:val="24"/>
                <w:color w:val="auto"/>
              </w:rPr>
            </w:pPr>
          </w:p>
        </w:tc>
        <w:tc>
          <w:tcPr>
            <w:tcW w:w="240" w:type="dxa"/>
            <w:vAlign w:val="bottom"/>
            <w:tcBorders>
              <w:top w:val="single" w:sz="8" w:color="EAF9E8"/>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EAF9E8"/>
            </w:tcBorders>
          </w:tcPr>
          <w:p>
            <w:pPr>
              <w:spacing w:after="0"/>
              <w:rPr>
                <w:sz w:val="24"/>
                <w:szCs w:val="24"/>
                <w:color w:val="auto"/>
              </w:rPr>
            </w:pPr>
          </w:p>
        </w:tc>
        <w:tc>
          <w:tcPr>
            <w:tcW w:w="220" w:type="dxa"/>
            <w:vAlign w:val="bottom"/>
            <w:tcBorders>
              <w:top w:val="single" w:sz="8" w:color="EAF9E8"/>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EAF9E8"/>
            </w:tcBorders>
          </w:tcPr>
          <w:p>
            <w:pPr>
              <w:spacing w:after="0"/>
              <w:rPr>
                <w:sz w:val="24"/>
                <w:szCs w:val="24"/>
                <w:color w:val="auto"/>
              </w:rPr>
            </w:pPr>
          </w:p>
        </w:tc>
      </w:tr>
      <w:tr>
        <w:trPr>
          <w:trHeight w:val="105"/>
        </w:trPr>
        <w:tc>
          <w:tcPr>
            <w:tcW w:w="20" w:type="dxa"/>
            <w:vAlign w:val="bottom"/>
          </w:tcPr>
          <w:p>
            <w:pPr>
              <w:spacing w:after="0"/>
              <w:rPr>
                <w:sz w:val="9"/>
                <w:szCs w:val="9"/>
                <w:color w:val="auto"/>
              </w:rPr>
            </w:pPr>
          </w:p>
        </w:tc>
        <w:tc>
          <w:tcPr>
            <w:tcW w:w="3100" w:type="dxa"/>
            <w:vAlign w:val="bottom"/>
            <w:tcBorders>
              <w:bottom w:val="single" w:sz="8" w:color="808080"/>
            </w:tcBorders>
          </w:tcPr>
          <w:p>
            <w:pPr>
              <w:spacing w:after="0"/>
              <w:rPr>
                <w:sz w:val="9"/>
                <w:szCs w:val="9"/>
                <w:color w:val="auto"/>
              </w:rPr>
            </w:pPr>
          </w:p>
        </w:tc>
        <w:tc>
          <w:tcPr>
            <w:tcW w:w="35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01" w:name="page102"/>
    <w:bookmarkEnd w:id="101"/>
    <w:p>
      <w:pPr>
        <w:ind w:left="680"/>
        <w:spacing w:after="0"/>
        <w:rPr>
          <w:sz w:val="20"/>
          <w:szCs w:val="20"/>
          <w:color w:val="auto"/>
        </w:rPr>
      </w:pPr>
      <w:r>
        <w:rPr>
          <w:rFonts w:ascii="Arial" w:cs="Arial" w:eastAsia="Arial" w:hAnsi="Arial"/>
          <w:sz w:val="18"/>
          <w:szCs w:val="18"/>
          <w:color w:val="auto"/>
        </w:rPr>
        <w:t>The components of income tax expense (benefit) on continuing operations were as follows for the years ended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Current:</w:t>
            </w: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Federal</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8,836</w:t>
            </w:r>
          </w:p>
        </w:tc>
        <w:tc>
          <w:tcPr>
            <w:tcW w:w="280" w:type="dxa"/>
            <w:vAlign w:val="bottom"/>
          </w:tcPr>
          <w:p>
            <w:pPr>
              <w:spacing w:after="0"/>
              <w:rPr>
                <w:sz w:val="18"/>
                <w:szCs w:val="18"/>
                <w:color w:val="auto"/>
              </w:rPr>
            </w:pP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51,341</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State</w:t>
            </w: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1,049</w:t>
            </w: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Foreign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933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11,918</w:t>
            </w:r>
          </w:p>
        </w:tc>
        <w:tc>
          <w:tcPr>
            <w:tcW w:w="2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52,574</w:t>
            </w:r>
          </w:p>
        </w:tc>
        <w:tc>
          <w:tcPr>
            <w:tcW w:w="18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top w:val="single" w:sz="8" w:color="EAF9E8"/>
            </w:tcBorders>
          </w:tcPr>
          <w:p>
            <w:pPr>
              <w:spacing w:after="0"/>
              <w:rPr>
                <w:sz w:val="20"/>
                <w:szCs w:val="20"/>
                <w:color w:val="auto"/>
              </w:rPr>
            </w:pPr>
            <w:r>
              <w:rPr>
                <w:rFonts w:ascii="Arial" w:cs="Arial" w:eastAsia="Arial" w:hAnsi="Arial"/>
                <w:sz w:val="18"/>
                <w:szCs w:val="18"/>
                <w:color w:val="auto"/>
              </w:rPr>
              <w:t>Deferred:</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Federal</w:t>
            </w: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(6,953)</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40,067</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State</w:t>
            </w: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4,564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Foreign</w:t>
            </w: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725</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(1,095)</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Provision for valuation allowance on deferred tax assets</w:t>
            </w: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(6,373)</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43,536</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5,545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96,110</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12,006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666"/>
        <w:spacing w:after="0" w:line="277" w:lineRule="auto"/>
        <w:rPr>
          <w:sz w:val="20"/>
          <w:szCs w:val="20"/>
          <w:color w:val="auto"/>
        </w:rPr>
      </w:pPr>
      <w:r>
        <w:rPr>
          <w:rFonts w:ascii="Arial" w:cs="Arial" w:eastAsia="Arial" w:hAnsi="Arial"/>
          <w:sz w:val="18"/>
          <w:szCs w:val="18"/>
          <w:color w:val="auto"/>
        </w:rPr>
        <w:t>Income tax expense (benefit) differs from the amounts computed by applying the U.S. Federal corporate income tax rate of 35% as follows for the years ended December 31: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AF9E8"/>
          </w:tcPr>
          <w:p>
            <w:pPr>
              <w:spacing w:after="0"/>
              <w:rPr>
                <w:sz w:val="20"/>
                <w:szCs w:val="20"/>
                <w:color w:val="auto"/>
              </w:rPr>
            </w:pPr>
            <w:r>
              <w:rPr>
                <w:rFonts w:ascii="Arial" w:cs="Arial" w:eastAsia="Arial" w:hAnsi="Arial"/>
                <w:sz w:val="18"/>
                <w:szCs w:val="18"/>
                <w:color w:val="auto"/>
              </w:rPr>
              <w:t>Expected income tax expense (benefit) at statutory rate</w:t>
            </w:r>
          </w:p>
        </w:tc>
        <w:tc>
          <w:tcPr>
            <w:tcW w:w="15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13,704</w:t>
            </w:r>
          </w:p>
        </w:tc>
        <w:tc>
          <w:tcPr>
            <w:tcW w:w="4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32,641</w:t>
            </w:r>
          </w:p>
        </w:tc>
        <w:tc>
          <w:tcPr>
            <w:tcW w:w="4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10,844</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w w:val="92"/>
              </w:rPr>
              <w:t>Differences between expected and actual income tax expense (benefit):</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Indefinite deferral on earnings of non-U.S. affiliates</w:t>
            </w:r>
          </w:p>
        </w:tc>
        <w:tc>
          <w:tcPr>
            <w:tcW w:w="13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(1,006)</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(2,566)</w:t>
            </w: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State tax, after Federal tax benefit</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610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5,274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918</w:t>
            </w:r>
          </w:p>
        </w:tc>
      </w:tr>
      <w:tr>
        <w:trPr>
          <w:trHeight w:val="216"/>
        </w:trPr>
        <w:tc>
          <w:tcPr>
            <w:tcW w:w="20" w:type="dxa"/>
            <w:vAlign w:val="bottom"/>
          </w:tcPr>
          <w:p>
            <w:pPr>
              <w:spacing w:after="0"/>
              <w:rPr>
                <w:sz w:val="18"/>
                <w:szCs w:val="18"/>
                <w:color w:val="auto"/>
              </w:rPr>
            </w:pPr>
          </w:p>
        </w:tc>
        <w:tc>
          <w:tcPr>
            <w:tcW w:w="5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Low-income housing tax credits</w:t>
            </w:r>
          </w:p>
        </w:tc>
        <w:tc>
          <w:tcPr>
            <w:tcW w:w="13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(59)</w:t>
            </w: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Tax effect of Altisource Separation</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749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48,577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Provision for (reversal of) liability for selected tax items</w:t>
            </w:r>
          </w:p>
        </w:tc>
        <w:tc>
          <w:tcPr>
            <w:tcW w:w="13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(9,126)</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11,196</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Provision for valuation allowance on deferred tax assets</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1,393</w:t>
            </w:r>
          </w:p>
        </w:tc>
      </w:tr>
      <w:tr>
        <w:trPr>
          <w:trHeight w:val="216"/>
        </w:trPr>
        <w:tc>
          <w:tcPr>
            <w:tcW w:w="20" w:type="dxa"/>
            <w:vAlign w:val="bottom"/>
          </w:tcPr>
          <w:p>
            <w:pPr>
              <w:spacing w:after="0"/>
              <w:rPr>
                <w:sz w:val="18"/>
                <w:szCs w:val="18"/>
                <w:color w:val="auto"/>
              </w:rPr>
            </w:pPr>
          </w:p>
        </w:tc>
        <w:tc>
          <w:tcPr>
            <w:tcW w:w="5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Permanent differences</w:t>
            </w:r>
          </w:p>
        </w:tc>
        <w:tc>
          <w:tcPr>
            <w:tcW w:w="13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878</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Foreign tax differential</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822</w:t>
            </w:r>
          </w:p>
        </w:tc>
      </w:tr>
      <w:tr>
        <w:trPr>
          <w:trHeight w:val="216"/>
        </w:trPr>
        <w:tc>
          <w:tcPr>
            <w:tcW w:w="20" w:type="dxa"/>
            <w:vAlign w:val="bottom"/>
          </w:tcPr>
          <w:p>
            <w:pPr>
              <w:spacing w:after="0"/>
              <w:rPr>
                <w:sz w:val="18"/>
                <w:szCs w:val="18"/>
                <w:color w:val="auto"/>
              </w:rPr>
            </w:pPr>
          </w:p>
        </w:tc>
        <w:tc>
          <w:tcPr>
            <w:tcW w:w="5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Provision-to-return and other</w:t>
            </w:r>
          </w:p>
        </w:tc>
        <w:tc>
          <w:tcPr>
            <w:tcW w:w="13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(580)</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Stock-based compensation tax expense</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(510)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r>
      <w:tr>
        <w:trPr>
          <w:trHeight w:val="216"/>
        </w:trPr>
        <w:tc>
          <w:tcPr>
            <w:tcW w:w="20" w:type="dxa"/>
            <w:vAlign w:val="bottom"/>
          </w:tcPr>
          <w:p>
            <w:pPr>
              <w:spacing w:after="0"/>
              <w:rPr>
                <w:sz w:val="18"/>
                <w:szCs w:val="18"/>
                <w:color w:val="auto"/>
              </w:rPr>
            </w:pPr>
          </w:p>
        </w:tc>
        <w:tc>
          <w:tcPr>
            <w:tcW w:w="5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w:t>
            </w:r>
          </w:p>
        </w:tc>
        <w:tc>
          <w:tcPr>
            <w:tcW w:w="13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(493)</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219</w:t>
            </w:r>
          </w:p>
        </w:tc>
      </w:tr>
      <w:tr>
        <w:trPr>
          <w:trHeight w:val="27"/>
        </w:trPr>
        <w:tc>
          <w:tcPr>
            <w:tcW w:w="20" w:type="dxa"/>
            <w:vAlign w:val="bottom"/>
          </w:tcPr>
          <w:p>
            <w:pPr>
              <w:spacing w:after="0"/>
              <w:rPr>
                <w:sz w:val="2"/>
                <w:szCs w:val="2"/>
                <w:color w:val="auto"/>
              </w:rPr>
            </w:pPr>
          </w:p>
        </w:tc>
        <w:tc>
          <w:tcPr>
            <w:tcW w:w="5320" w:type="dxa"/>
            <w:vAlign w:val="bottom"/>
            <w:shd w:val="clear" w:color="auto" w:fill="EAF9E8"/>
          </w:tcPr>
          <w:p>
            <w:pPr>
              <w:spacing w:after="0"/>
              <w:rPr>
                <w:sz w:val="2"/>
                <w:szCs w:val="2"/>
                <w:color w:val="auto"/>
              </w:rPr>
            </w:pPr>
          </w:p>
        </w:tc>
        <w:tc>
          <w:tcPr>
            <w:tcW w:w="130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320"/>
              <w:spacing w:after="0"/>
              <w:rPr>
                <w:sz w:val="20"/>
                <w:szCs w:val="20"/>
                <w:color w:val="auto"/>
              </w:rPr>
            </w:pPr>
            <w:r>
              <w:rPr>
                <w:rFonts w:ascii="Arial" w:cs="Arial" w:eastAsia="Arial" w:hAnsi="Arial"/>
                <w:sz w:val="18"/>
                <w:szCs w:val="18"/>
                <w:color w:val="auto"/>
              </w:rPr>
              <w:t>Actual income tax expense</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5,545</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96,110</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12,006</w:t>
            </w:r>
          </w:p>
        </w:tc>
      </w:tr>
      <w:tr>
        <w:trPr>
          <w:trHeight w:val="21"/>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4"/>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580" w:type="dxa"/>
            <w:vAlign w:val="bottom"/>
            <w:gridSpan w:val="2"/>
          </w:tcPr>
          <w:p>
            <w:pPr>
              <w:jc w:val="right"/>
              <w:ind w:right="1040"/>
              <w:spacing w:after="0"/>
              <w:rPr>
                <w:sz w:val="20"/>
                <w:szCs w:val="20"/>
                <w:color w:val="auto"/>
              </w:rPr>
            </w:pPr>
            <w:r>
              <w:rPr>
                <w:rFonts w:ascii="Arial" w:cs="Arial" w:eastAsia="Arial" w:hAnsi="Arial"/>
                <w:sz w:val="18"/>
                <w:szCs w:val="18"/>
                <w:color w:val="auto"/>
              </w:rPr>
              <w:t>F-42</w:t>
            </w: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5"/>
        </w:trPr>
        <w:tc>
          <w:tcPr>
            <w:tcW w:w="20" w:type="dxa"/>
            <w:vAlign w:val="bottom"/>
          </w:tcPr>
          <w:p>
            <w:pPr>
              <w:spacing w:after="0"/>
              <w:rPr>
                <w:sz w:val="9"/>
                <w:szCs w:val="9"/>
                <w:color w:val="auto"/>
              </w:rPr>
            </w:pPr>
          </w:p>
        </w:tc>
        <w:tc>
          <w:tcPr>
            <w:tcW w:w="53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120" w:type="dxa"/>
            <w:vAlign w:val="bottom"/>
          </w:tcPr>
          <w:p>
            <w:pPr>
              <w:ind w:left="660"/>
              <w:spacing w:after="0"/>
              <w:rPr>
                <w:sz w:val="20"/>
                <w:szCs w:val="20"/>
                <w:color w:val="auto"/>
              </w:rPr>
            </w:pPr>
            <w:r>
              <w:rPr>
                <w:rFonts w:ascii="Arial" w:cs="Arial" w:eastAsia="Arial" w:hAnsi="Arial"/>
                <w:sz w:val="18"/>
                <w:szCs w:val="18"/>
                <w:color w:val="auto"/>
              </w:rPr>
              <w:t>Net deferred tax assets were comprised of the following at December 31:</w:t>
            </w: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2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EAF9E8"/>
          </w:tcPr>
          <w:p>
            <w:pPr>
              <w:spacing w:after="0"/>
              <w:rPr>
                <w:sz w:val="20"/>
                <w:szCs w:val="20"/>
                <w:color w:val="auto"/>
              </w:rPr>
            </w:pPr>
            <w:r>
              <w:rPr>
                <w:rFonts w:ascii="Arial" w:cs="Arial" w:eastAsia="Arial" w:hAnsi="Arial"/>
                <w:sz w:val="18"/>
                <w:szCs w:val="18"/>
                <w:color w:val="auto"/>
              </w:rPr>
              <w:t>Deferred tax assets:</w:t>
            </w:r>
          </w:p>
        </w:tc>
        <w:tc>
          <w:tcPr>
            <w:tcW w:w="12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Tax residuals and deferred income on tax residuals</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3,847</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3,415</w:t>
            </w:r>
          </w:p>
        </w:tc>
      </w:tr>
      <w:tr>
        <w:trPr>
          <w:trHeight w:val="216"/>
        </w:trPr>
        <w:tc>
          <w:tcPr>
            <w:tcW w:w="20" w:type="dxa"/>
            <w:vAlign w:val="bottom"/>
          </w:tcPr>
          <w:p>
            <w:pPr>
              <w:spacing w:after="0"/>
              <w:rPr>
                <w:sz w:val="18"/>
                <w:szCs w:val="18"/>
                <w:color w:val="auto"/>
              </w:rPr>
            </w:pPr>
          </w:p>
        </w:tc>
        <w:tc>
          <w:tcPr>
            <w:tcW w:w="7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State taxes</w:t>
            </w:r>
          </w:p>
        </w:tc>
        <w:tc>
          <w:tcPr>
            <w:tcW w:w="12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3,456</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3,311</w:t>
            </w: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Accrued incentive compensation</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2,610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3,739</w:t>
            </w:r>
          </w:p>
        </w:tc>
      </w:tr>
      <w:tr>
        <w:trPr>
          <w:trHeight w:val="216"/>
        </w:trPr>
        <w:tc>
          <w:tcPr>
            <w:tcW w:w="20" w:type="dxa"/>
            <w:vAlign w:val="bottom"/>
          </w:tcPr>
          <w:p>
            <w:pPr>
              <w:spacing w:after="0"/>
              <w:rPr>
                <w:sz w:val="18"/>
                <w:szCs w:val="18"/>
                <w:color w:val="auto"/>
              </w:rPr>
            </w:pPr>
          </w:p>
        </w:tc>
        <w:tc>
          <w:tcPr>
            <w:tcW w:w="7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Accrued other liabilities</w:t>
            </w:r>
          </w:p>
        </w:tc>
        <w:tc>
          <w:tcPr>
            <w:tcW w:w="12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9,901</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Valuation allowance on real estate</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1,258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1,712</w:t>
            </w:r>
          </w:p>
        </w:tc>
      </w:tr>
      <w:tr>
        <w:trPr>
          <w:trHeight w:val="216"/>
        </w:trPr>
        <w:tc>
          <w:tcPr>
            <w:tcW w:w="20" w:type="dxa"/>
            <w:vAlign w:val="bottom"/>
          </w:tcPr>
          <w:p>
            <w:pPr>
              <w:spacing w:after="0"/>
              <w:rPr>
                <w:sz w:val="18"/>
                <w:szCs w:val="18"/>
                <w:color w:val="auto"/>
              </w:rPr>
            </w:pPr>
          </w:p>
        </w:tc>
        <w:tc>
          <w:tcPr>
            <w:tcW w:w="7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Bad debt and allowance for loan losses</w:t>
            </w:r>
          </w:p>
        </w:tc>
        <w:tc>
          <w:tcPr>
            <w:tcW w:w="12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7,716</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7,220</w:t>
            </w: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Mortgage servicing rights amortization</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41,532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50,065</w:t>
            </w:r>
          </w:p>
        </w:tc>
      </w:tr>
      <w:tr>
        <w:trPr>
          <w:trHeight w:val="216"/>
        </w:trPr>
        <w:tc>
          <w:tcPr>
            <w:tcW w:w="20" w:type="dxa"/>
            <w:vAlign w:val="bottom"/>
          </w:tcPr>
          <w:p>
            <w:pPr>
              <w:spacing w:after="0"/>
              <w:rPr>
                <w:sz w:val="18"/>
                <w:szCs w:val="18"/>
                <w:color w:val="auto"/>
              </w:rPr>
            </w:pPr>
          </w:p>
        </w:tc>
        <w:tc>
          <w:tcPr>
            <w:tcW w:w="7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operating loss carryforward</w:t>
            </w:r>
          </w:p>
        </w:tc>
        <w:tc>
          <w:tcPr>
            <w:tcW w:w="12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20,087</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22,098</w:t>
            </w: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Partnership losses</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8,007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10,245</w:t>
            </w:r>
          </w:p>
        </w:tc>
      </w:tr>
      <w:tr>
        <w:trPr>
          <w:trHeight w:val="216"/>
        </w:trPr>
        <w:tc>
          <w:tcPr>
            <w:tcW w:w="20" w:type="dxa"/>
            <w:vAlign w:val="bottom"/>
          </w:tcPr>
          <w:p>
            <w:pPr>
              <w:spacing w:after="0"/>
              <w:rPr>
                <w:sz w:val="18"/>
                <w:szCs w:val="18"/>
                <w:color w:val="auto"/>
              </w:rPr>
            </w:pPr>
          </w:p>
        </w:tc>
        <w:tc>
          <w:tcPr>
            <w:tcW w:w="7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Foreign deferred assets</w:t>
            </w:r>
          </w:p>
        </w:tc>
        <w:tc>
          <w:tcPr>
            <w:tcW w:w="12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2,598</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3,211</w:t>
            </w: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Net unrealized gains and losses on securities</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11,397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16,742</w:t>
            </w:r>
          </w:p>
        </w:tc>
      </w:tr>
      <w:tr>
        <w:trPr>
          <w:trHeight w:val="216"/>
        </w:trPr>
        <w:tc>
          <w:tcPr>
            <w:tcW w:w="20" w:type="dxa"/>
            <w:vAlign w:val="bottom"/>
          </w:tcPr>
          <w:p>
            <w:pPr>
              <w:spacing w:after="0"/>
              <w:rPr>
                <w:sz w:val="18"/>
                <w:szCs w:val="18"/>
                <w:color w:val="auto"/>
              </w:rPr>
            </w:pPr>
          </w:p>
        </w:tc>
        <w:tc>
          <w:tcPr>
            <w:tcW w:w="7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Deferred income of or loss on servicing advance receivables</w:t>
            </w:r>
          </w:p>
        </w:tc>
        <w:tc>
          <w:tcPr>
            <w:tcW w:w="12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2,745</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Interest rate swaps</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5,196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Intangible asset amortization</w:t>
            </w:r>
          </w:p>
        </w:tc>
        <w:tc>
          <w:tcPr>
            <w:tcW w:w="12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2,276</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Capital losses</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8,455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Accrued lease termination costs</w:t>
            </w:r>
          </w:p>
        </w:tc>
        <w:tc>
          <w:tcPr>
            <w:tcW w:w="12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2,728</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2,460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Foreign basis differences</w:t>
            </w:r>
          </w:p>
        </w:tc>
        <w:tc>
          <w:tcPr>
            <w:tcW w:w="12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8,489</w:t>
            </w: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Other</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2,609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2,511</w:t>
            </w:r>
          </w:p>
        </w:tc>
      </w:tr>
      <w:tr>
        <w:trPr>
          <w:trHeight w:val="27"/>
        </w:trPr>
        <w:tc>
          <w:tcPr>
            <w:tcW w:w="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138,878</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132,758</w:t>
            </w: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r>
      <w:tr>
        <w:trPr>
          <w:trHeight w:val="27"/>
        </w:trPr>
        <w:tc>
          <w:tcPr>
            <w:tcW w:w="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1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deferred tax assets</w:t>
            </w:r>
          </w:p>
        </w:tc>
        <w:tc>
          <w:tcPr>
            <w:tcW w:w="14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138,716</w:t>
            </w:r>
          </w:p>
        </w:tc>
        <w:tc>
          <w:tcPr>
            <w:tcW w:w="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132,683</w:t>
            </w:r>
          </w:p>
        </w:tc>
      </w:tr>
      <w:tr>
        <w:trPr>
          <w:trHeight w:val="20"/>
        </w:trPr>
        <w:tc>
          <w:tcPr>
            <w:tcW w:w="20" w:type="dxa"/>
            <w:vAlign w:val="bottom"/>
          </w:tcPr>
          <w:p>
            <w:pPr>
              <w:spacing w:after="0" w:line="20" w:lineRule="exact"/>
              <w:rPr>
                <w:sz w:val="1"/>
                <w:szCs w:val="1"/>
                <w:color w:val="auto"/>
              </w:rPr>
            </w:pPr>
          </w:p>
        </w:tc>
        <w:tc>
          <w:tcPr>
            <w:tcW w:w="7120" w:type="dxa"/>
            <w:vAlign w:val="bottom"/>
            <w:tcBorders>
              <w:top w:val="single" w:sz="8" w:color="EAF9E8"/>
            </w:tcBorders>
            <w:shd w:val="clear" w:color="auto" w:fill="EAF9E8"/>
          </w:tcPr>
          <w:p>
            <w:pPr>
              <w:spacing w:after="0" w:line="20" w:lineRule="exact"/>
              <w:rPr>
                <w:sz w:val="1"/>
                <w:szCs w:val="1"/>
                <w:color w:val="auto"/>
              </w:rPr>
            </w:pPr>
          </w:p>
        </w:tc>
        <w:tc>
          <w:tcPr>
            <w:tcW w:w="122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02" w:lineRule="exact"/>
        <w:rPr>
          <w:sz w:val="20"/>
          <w:szCs w:val="20"/>
          <w:color w:val="auto"/>
        </w:rPr>
      </w:pPr>
    </w:p>
    <w:p>
      <w:pPr>
        <w:jc w:val="both"/>
        <w:ind w:right="160" w:firstLine="663"/>
        <w:spacing w:after="0" w:line="302" w:lineRule="auto"/>
        <w:rPr>
          <w:sz w:val="20"/>
          <w:szCs w:val="20"/>
          <w:color w:val="auto"/>
        </w:rPr>
      </w:pPr>
      <w:r>
        <w:rPr>
          <w:rFonts w:ascii="Arial" w:cs="Arial" w:eastAsia="Arial" w:hAnsi="Arial"/>
          <w:sz w:val="16"/>
          <w:szCs w:val="16"/>
          <w:color w:val="auto"/>
        </w:rPr>
        <w:t>We conduct periodic evaluations of positive and negative evidence to determine whether it is more likely than not that the deferred tax asset can be realized in future periods. Among the factors considered in this evaluation are estimates of future taxable income, future reversals of temporary differences, tax character and the impact of tax planning strategies that may be implemented if warranted. As a result of this evaluation, we concluded that no valuation allowance was necessary at December 31, 2010 and 2009. For 2008, income tax expense includes a $1,393 increase in the valuation allowance.</w:t>
      </w:r>
    </w:p>
    <w:p>
      <w:pPr>
        <w:spacing w:after="0" w:line="154" w:lineRule="exact"/>
        <w:rPr>
          <w:sz w:val="20"/>
          <w:szCs w:val="20"/>
          <w:color w:val="auto"/>
        </w:rPr>
      </w:pPr>
    </w:p>
    <w:p>
      <w:pPr>
        <w:ind w:right="100" w:firstLine="663"/>
        <w:spacing w:after="0" w:line="279" w:lineRule="auto"/>
        <w:rPr>
          <w:sz w:val="20"/>
          <w:szCs w:val="20"/>
          <w:color w:val="auto"/>
        </w:rPr>
      </w:pPr>
      <w:r>
        <w:rPr>
          <w:rFonts w:ascii="Arial" w:cs="Arial" w:eastAsia="Arial" w:hAnsi="Arial"/>
          <w:sz w:val="17"/>
          <w:szCs w:val="17"/>
          <w:color w:val="auto"/>
        </w:rPr>
        <w:t>We recognized total interest and penalties of $182 and $278 in 2010 and 2009, respectively. At December 31, 2010 and 2009, accruals for interest and penalties were $379 and $751, respectively. As of December 31, 2010 and 2009, we had a total liability for selected tax items of approximately $2,913 and $15,326, respectively, all but $2,088 of which if recognized would affect the effective tax rate. The decrease in the balance during 2010 is predominantly related to deductions associated with a servicing advance finance structure and with statute expirations.</w:t>
      </w:r>
    </w:p>
    <w:p>
      <w:pPr>
        <w:spacing w:after="0" w:line="171" w:lineRule="exact"/>
        <w:rPr>
          <w:sz w:val="20"/>
          <w:szCs w:val="20"/>
          <w:color w:val="auto"/>
        </w:rPr>
      </w:pPr>
    </w:p>
    <w:p>
      <w:pPr>
        <w:jc w:val="both"/>
        <w:ind w:right="140" w:firstLine="666"/>
        <w:spacing w:after="0" w:line="264" w:lineRule="auto"/>
        <w:rPr>
          <w:sz w:val="20"/>
          <w:szCs w:val="20"/>
          <w:color w:val="auto"/>
        </w:rPr>
      </w:pPr>
      <w:r>
        <w:rPr>
          <w:rFonts w:ascii="Arial" w:cs="Arial" w:eastAsia="Arial" w:hAnsi="Arial"/>
          <w:sz w:val="18"/>
          <w:szCs w:val="18"/>
          <w:color w:val="auto"/>
        </w:rPr>
        <w:t>Our major jurisdiction tax years that remain subject to examination are our U.S. federal tax return for the years ended December 31, 2007 through the present and our India corporate tax returns for the years ended March 31, 2003 through the present. A reconciliation of the beginning and ending amount of the liability for selected tax items is as follows for the years ended December 31: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spacing w:after="0"/>
              <w:rPr>
                <w:sz w:val="20"/>
                <w:szCs w:val="20"/>
                <w:color w:val="auto"/>
              </w:rPr>
            </w:pPr>
            <w:r>
              <w:rPr>
                <w:rFonts w:ascii="Arial" w:cs="Arial" w:eastAsia="Arial" w:hAnsi="Arial"/>
                <w:sz w:val="18"/>
                <w:szCs w:val="18"/>
                <w:color w:val="auto"/>
              </w:rPr>
              <w:t>Balance at January 1</w:t>
            </w:r>
          </w:p>
        </w:tc>
        <w:tc>
          <w:tcPr>
            <w:tcW w:w="260" w:type="dxa"/>
            <w:vAlign w:val="bottom"/>
            <w:shd w:val="clear" w:color="auto" w:fill="EAF9E8"/>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15,326</w:t>
            </w:r>
          </w:p>
        </w:tc>
        <w:tc>
          <w:tcPr>
            <w:tcW w:w="460" w:type="dxa"/>
            <w:vAlign w:val="bottom"/>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2,042</w:t>
            </w: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Additions based on tax positions related to current year</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11,196</w:t>
            </w:r>
          </w:p>
        </w:tc>
      </w:tr>
      <w:tr>
        <w:trPr>
          <w:trHeight w:val="216"/>
        </w:trPr>
        <w:tc>
          <w:tcPr>
            <w:tcW w:w="20" w:type="dxa"/>
            <w:vAlign w:val="bottom"/>
          </w:tcPr>
          <w:p>
            <w:pPr>
              <w:spacing w:after="0"/>
              <w:rPr>
                <w:sz w:val="18"/>
                <w:szCs w:val="18"/>
                <w:color w:val="auto"/>
              </w:rPr>
            </w:pPr>
          </w:p>
        </w:tc>
        <w:tc>
          <w:tcPr>
            <w:tcW w:w="8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Additions for tax positions of prior years</w:t>
            </w: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2,088</w:t>
            </w: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Reductions for tax positions of prior years</w:t>
            </w:r>
          </w:p>
        </w:tc>
        <w:tc>
          <w:tcPr>
            <w:tcW w:w="2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(8,884)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Lapses in statutes of limitation</w:t>
            </w:r>
          </w:p>
        </w:tc>
        <w:tc>
          <w:tcPr>
            <w:tcW w:w="26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(4,317)</w:t>
            </w:r>
          </w:p>
        </w:tc>
        <w:tc>
          <w:tcPr>
            <w:tcW w:w="18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340" w:type="dxa"/>
            <w:vAlign w:val="bottom"/>
            <w:tcBorders>
              <w:top w:val="single" w:sz="8" w:color="EAF9E8"/>
            </w:tcBorders>
          </w:tcPr>
          <w:p>
            <w:pPr>
              <w:spacing w:after="0"/>
              <w:rPr>
                <w:sz w:val="20"/>
                <w:szCs w:val="20"/>
                <w:color w:val="auto"/>
              </w:rPr>
            </w:pPr>
            <w:r>
              <w:rPr>
                <w:rFonts w:ascii="Arial" w:cs="Arial" w:eastAsia="Arial" w:hAnsi="Arial"/>
                <w:sz w:val="18"/>
                <w:szCs w:val="18"/>
                <w:color w:val="auto"/>
              </w:rPr>
              <w:t>Balance at December 31</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2,913</w:t>
            </w: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15,326</w:t>
            </w:r>
          </w:p>
        </w:tc>
        <w:tc>
          <w:tcPr>
            <w:tcW w:w="100" w:type="dxa"/>
            <w:vAlign w:val="bottom"/>
            <w:tcBorders>
              <w:top w:val="single" w:sz="8" w:color="EAF9E8"/>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56"/>
        <w:spacing w:after="0" w:line="279" w:lineRule="auto"/>
        <w:rPr>
          <w:sz w:val="20"/>
          <w:szCs w:val="20"/>
          <w:color w:val="auto"/>
        </w:rPr>
      </w:pPr>
      <w:r>
        <w:rPr>
          <w:rFonts w:ascii="Arial" w:cs="Arial" w:eastAsia="Arial" w:hAnsi="Arial"/>
          <w:sz w:val="17"/>
          <w:szCs w:val="17"/>
          <w:color w:val="auto"/>
        </w:rPr>
        <w:t>At December 31, 2010, we had net operating loss carryforwards of $20,087 that related to realized built-in losses from the acquisition of Ocwen Asset Investment Corporation. Utilization of these carryforwards is subject to an annual IRC section 382 limitation of $5,700. These carryforwards will expire beginning 2019 through 2024. We no longer have any remaining capital loss carryforwards or any tax credit carryforwards related to our low-income housing tax credits. We have $8,455 of tax-effected capital losses that we intend to carryback to 2007.</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03" w:name="page104"/>
    <w:bookmarkEnd w:id="103"/>
    <w:p>
      <w:pPr>
        <w:spacing w:after="0"/>
        <w:tabs>
          <w:tab w:leader="none" w:pos="1360" w:val="left"/>
        </w:tabs>
        <w:rPr>
          <w:sz w:val="20"/>
          <w:szCs w:val="20"/>
          <w:color w:val="auto"/>
        </w:rPr>
      </w:pPr>
      <w:r>
        <w:rPr>
          <w:rFonts w:ascii="Arial" w:cs="Arial" w:eastAsia="Arial" w:hAnsi="Arial"/>
          <w:sz w:val="18"/>
          <w:szCs w:val="18"/>
          <w:b w:val="1"/>
          <w:bCs w:val="1"/>
          <w:color w:val="auto"/>
        </w:rPr>
        <w:t>NOTE 26</w:t>
      </w:r>
      <w:r>
        <w:rPr>
          <w:sz w:val="20"/>
          <w:szCs w:val="20"/>
          <w:color w:val="auto"/>
        </w:rPr>
        <w:tab/>
      </w: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ind w:right="200" w:firstLine="666"/>
        <w:spacing w:after="0" w:line="276" w:lineRule="auto"/>
        <w:rPr>
          <w:sz w:val="20"/>
          <w:szCs w:val="20"/>
          <w:color w:val="auto"/>
        </w:rPr>
      </w:pPr>
      <w:r>
        <w:rPr>
          <w:rFonts w:ascii="Arial" w:cs="Arial" w:eastAsia="Arial" w:hAnsi="Arial"/>
          <w:sz w:val="17"/>
          <w:szCs w:val="17"/>
          <w:color w:val="auto"/>
        </w:rPr>
        <w:t>In 2007, management of Ocwen approved and committed to a plan to sell its investment in Bankhaus Oswald Kruber GmbH &amp; Co. KG (BOK), a German banking entity. On December 3, 2009, we finalized and consummated the transaction to dispose of our investment in BOK for proceeds of $11,443 and recognized a pre-tax gain of $4,034 on the disposition. Management concluded that BOK met and continued to meet the definition of a discontinued operation through the date of disposition. Accordingly, the results of BOK are classified as discontinued in the accompanying consolidated financial statements. For segment reporting purposes, the operations of BOK are included in Corporate Items and Other.</w:t>
      </w:r>
    </w:p>
    <w:p>
      <w:pPr>
        <w:spacing w:after="0" w:line="173" w:lineRule="exact"/>
        <w:rPr>
          <w:sz w:val="20"/>
          <w:szCs w:val="20"/>
          <w:color w:val="auto"/>
        </w:rPr>
      </w:pPr>
    </w:p>
    <w:p>
      <w:pPr>
        <w:ind w:right="100" w:firstLine="666"/>
        <w:spacing w:after="0" w:line="277" w:lineRule="auto"/>
        <w:rPr>
          <w:sz w:val="20"/>
          <w:szCs w:val="20"/>
          <w:color w:val="auto"/>
        </w:rPr>
      </w:pPr>
      <w:r>
        <w:rPr>
          <w:rFonts w:ascii="Arial" w:cs="Arial" w:eastAsia="Arial" w:hAnsi="Arial"/>
          <w:sz w:val="18"/>
          <w:szCs w:val="18"/>
          <w:color w:val="auto"/>
        </w:rPr>
        <w:t>Results of discontinued operations, including both the operations of BOK and the gain on the disposition of BOK, for the years ended December 31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EAF9E8"/>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78</w:t>
            </w:r>
          </w:p>
        </w:tc>
        <w:tc>
          <w:tcPr>
            <w:tcW w:w="4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358</w:t>
            </w: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Operating expenses (1)</w:t>
            </w: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298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7,337</w:t>
            </w: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(220)</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(6,979)</w:t>
            </w: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Other income, net (2)</w:t>
            </w: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4,709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1,212</w:t>
            </w: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Income (loss) before income taxes</w:t>
            </w: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4,489</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(5,767)</w:t>
            </w: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Income tax expense (benefit) (3)</w:t>
            </w: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(4,383)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1,368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EAF9E8"/>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4,383</w:t>
            </w:r>
          </w:p>
        </w:tc>
        <w:tc>
          <w:tcPr>
            <w:tcW w:w="4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3,121</w:t>
            </w:r>
          </w:p>
        </w:tc>
        <w:tc>
          <w:tcPr>
            <w:tcW w:w="4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(5,767)</w:t>
            </w: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02" w:lineRule="exact"/>
        <w:rPr>
          <w:sz w:val="20"/>
          <w:szCs w:val="20"/>
          <w:color w:val="auto"/>
        </w:rPr>
      </w:pPr>
    </w:p>
    <w:p>
      <w:pPr>
        <w:ind w:left="580" w:right="80" w:hanging="572"/>
        <w:spacing w:after="0" w:line="342" w:lineRule="auto"/>
        <w:tabs>
          <w:tab w:leader="none" w:pos="5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Operating expenses for 2008 includes a charge of $4,980 that is comprised of the impairment of the remaining $3,423 carrying value of goodwill and intangibles, a $1,377 valuation adjustment to write-down receivables and a $180 valuation adjustment to write-down premises and equipment.</w:t>
      </w:r>
    </w:p>
    <w:p>
      <w:pPr>
        <w:spacing w:after="0" w:line="123" w:lineRule="exact"/>
        <w:rPr>
          <w:rFonts w:ascii="Arial" w:cs="Arial" w:eastAsia="Arial" w:hAnsi="Arial"/>
          <w:sz w:val="16"/>
          <w:szCs w:val="16"/>
          <w:color w:val="auto"/>
        </w:rPr>
      </w:pPr>
    </w:p>
    <w:p>
      <w:pPr>
        <w:ind w:left="580" w:hanging="572"/>
        <w:spacing w:after="0"/>
        <w:tabs>
          <w:tab w:leader="none" w:pos="5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Other income for 2009 includes the gain of $4,034 gain that we recognized on the disposition of our investment in BOK.</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We recorded an income tax benefit of $4,383 in 2010 to recognize the effect of additional tax losses related to our former investment in BOK.</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04" w:name="page105"/>
    <w:bookmarkEnd w:id="104"/>
    <w:p>
      <w:pPr>
        <w:spacing w:after="0"/>
        <w:tabs>
          <w:tab w:leader="none" w:pos="1360" w:val="left"/>
        </w:tabs>
        <w:rPr>
          <w:sz w:val="20"/>
          <w:szCs w:val="20"/>
          <w:color w:val="auto"/>
        </w:rPr>
      </w:pPr>
      <w:r>
        <w:rPr>
          <w:rFonts w:ascii="Arial" w:cs="Arial" w:eastAsia="Arial" w:hAnsi="Arial"/>
          <w:sz w:val="18"/>
          <w:szCs w:val="18"/>
          <w:b w:val="1"/>
          <w:bCs w:val="1"/>
          <w:color w:val="auto"/>
        </w:rPr>
        <w:t>NOTE 27</w:t>
      </w:r>
      <w:r>
        <w:rPr>
          <w:sz w:val="20"/>
          <w:szCs w:val="20"/>
          <w:color w:val="auto"/>
        </w:rPr>
        <w:tab/>
      </w:r>
      <w:r>
        <w:rPr>
          <w:rFonts w:ascii="Arial" w:cs="Arial" w:eastAsia="Arial" w:hAnsi="Arial"/>
          <w:sz w:val="17"/>
          <w:szCs w:val="17"/>
          <w:b w:val="1"/>
          <w:bCs w:val="1"/>
          <w:color w:val="auto"/>
        </w:rPr>
        <w:t>BASIC AND DILUTED EARNINGS PER SHARE</w:t>
      </w:r>
    </w:p>
    <w:p>
      <w:pPr>
        <w:spacing w:after="0" w:line="229" w:lineRule="exact"/>
        <w:rPr>
          <w:sz w:val="20"/>
          <w:szCs w:val="20"/>
          <w:color w:val="auto"/>
        </w:rPr>
      </w:pPr>
    </w:p>
    <w:p>
      <w:pPr>
        <w:ind w:right="180" w:firstLine="666"/>
        <w:spacing w:after="0" w:line="257" w:lineRule="auto"/>
        <w:rPr>
          <w:sz w:val="20"/>
          <w:szCs w:val="20"/>
          <w:color w:val="auto"/>
        </w:rPr>
      </w:pPr>
      <w:r>
        <w:rPr>
          <w:rFonts w:ascii="Arial" w:cs="Arial" w:eastAsia="Arial" w:hAnsi="Arial"/>
          <w:sz w:val="18"/>
          <w:szCs w:val="18"/>
          <w:color w:val="auto"/>
        </w:rPr>
        <w:t>Basic EPS excludes common stock equivalents and is calculated by dividing net income attributable to OCN by the weighted average number of common shares outstanding during the year. We calculate diluted EPS by dividing net income attributable to OCN, as adjusted to add back interest expense net of income tax on the Convertible Notes, by the weighted average number of common shares outstanding including the potential dilutive common shares related to outstanding stock options, restricted stock awards and the Convertible Notes. The following is a reconciliation of the calculation of basic EPS to diluted EPS for the years ended December 31: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Borders>
              <w:bottom w:val="single" w:sz="8" w:color="auto"/>
            </w:tcBorders>
            <w:shd w:val="clear" w:color="auto" w:fill="EAF9E8"/>
          </w:tcPr>
          <w:p>
            <w:pPr>
              <w:spacing w:after="0" w:line="176" w:lineRule="exact"/>
              <w:rPr>
                <w:sz w:val="20"/>
                <w:szCs w:val="20"/>
                <w:color w:val="auto"/>
              </w:rPr>
            </w:pPr>
            <w:r>
              <w:rPr>
                <w:rFonts w:ascii="Arial" w:cs="Arial" w:eastAsia="Arial" w:hAnsi="Arial"/>
                <w:sz w:val="18"/>
                <w:szCs w:val="18"/>
                <w:color w:val="auto"/>
                <w:w w:val="86"/>
              </w:rPr>
              <w:t>Basic EPS:</w:t>
            </w:r>
          </w:p>
        </w:tc>
        <w:tc>
          <w:tcPr>
            <w:tcW w:w="5820" w:type="dxa"/>
            <w:vAlign w:val="bottom"/>
            <w:tcBorders>
              <w:bottom w:val="single" w:sz="8" w:color="EAF9E8"/>
            </w:tcBorders>
            <w:gridSpan w:val="2"/>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104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260" w:type="dxa"/>
            <w:vAlign w:val="bottom"/>
            <w:tcBorders>
              <w:bottom w:val="single" w:sz="8" w:color="EAF9E8"/>
            </w:tcBorders>
            <w:shd w:val="clear" w:color="auto" w:fill="EAF9E8"/>
          </w:tcPr>
          <w:p>
            <w:pPr>
              <w:spacing w:after="0"/>
              <w:rPr>
                <w:sz w:val="19"/>
                <w:szCs w:val="19"/>
                <w:color w:val="auto"/>
              </w:rPr>
            </w:pPr>
          </w:p>
        </w:tc>
        <w:tc>
          <w:tcPr>
            <w:tcW w:w="98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280" w:type="dxa"/>
            <w:vAlign w:val="bottom"/>
            <w:tcBorders>
              <w:bottom w:val="single" w:sz="8" w:color="EAF9E8"/>
            </w:tcBorders>
            <w:shd w:val="clear" w:color="auto" w:fill="EAF9E8"/>
          </w:tcPr>
          <w:p>
            <w:pPr>
              <w:spacing w:after="0"/>
              <w:rPr>
                <w:sz w:val="19"/>
                <w:szCs w:val="19"/>
                <w:color w:val="auto"/>
              </w:rPr>
            </w:pPr>
          </w:p>
        </w:tc>
        <w:tc>
          <w:tcPr>
            <w:tcW w:w="98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Net income attributable to OCN</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37,984</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297</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13,250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6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Weighted average shares of common stock</w:t>
            </w: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100,273,121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78,252,000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62,670,957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6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Basic EPS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0.38</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6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20" w:type="dxa"/>
            <w:vAlign w:val="bottom"/>
            <w:gridSpan w:val="3"/>
          </w:tcPr>
          <w:p>
            <w:pPr>
              <w:spacing w:after="0" w:line="176" w:lineRule="exact"/>
              <w:rPr>
                <w:sz w:val="20"/>
                <w:szCs w:val="20"/>
                <w:color w:val="auto"/>
              </w:rPr>
            </w:pPr>
            <w:r>
              <w:rPr>
                <w:rFonts w:ascii="Arial" w:cs="Arial" w:eastAsia="Arial" w:hAnsi="Arial"/>
                <w:sz w:val="18"/>
                <w:szCs w:val="18"/>
                <w:color w:val="auto"/>
              </w:rPr>
              <w:t>Diluted EPS:</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Net income attributable to OCN</w:t>
            </w:r>
          </w:p>
        </w:tc>
        <w:tc>
          <w:tcPr>
            <w:tcW w:w="220" w:type="dxa"/>
            <w:vAlign w:val="bottom"/>
            <w:shd w:val="clear" w:color="auto" w:fill="EAF9E8"/>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37,984</w:t>
            </w:r>
          </w:p>
        </w:tc>
        <w:tc>
          <w:tcPr>
            <w:tcW w:w="5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297</w:t>
            </w:r>
          </w:p>
        </w:tc>
        <w:tc>
          <w:tcPr>
            <w:tcW w:w="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Interest expense on Convertible Notes, net of income tax (1)</w:t>
            </w: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1,122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662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Adjusted net income attributable to OCN</w:t>
            </w:r>
          </w:p>
        </w:tc>
        <w:tc>
          <w:tcPr>
            <w:tcW w:w="220" w:type="dxa"/>
            <w:vAlign w:val="bottom"/>
            <w:shd w:val="clear" w:color="auto" w:fill="EAF9E8"/>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39,106</w:t>
            </w:r>
          </w:p>
        </w:tc>
        <w:tc>
          <w:tcPr>
            <w:tcW w:w="5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297</w:t>
            </w:r>
          </w:p>
        </w:tc>
        <w:tc>
          <w:tcPr>
            <w:tcW w:w="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13,250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568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Weighted average shares of common stock</w:t>
            </w:r>
          </w:p>
        </w:tc>
        <w:tc>
          <w:tcPr>
            <w:tcW w:w="22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100,273,121</w:t>
            </w:r>
          </w:p>
        </w:tc>
        <w:tc>
          <w:tcPr>
            <w:tcW w:w="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78,252,000</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62,670,957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Effect of dilutive elements: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Convertible Notes (1)</w:t>
            </w:r>
          </w:p>
        </w:tc>
        <w:tc>
          <w:tcPr>
            <w:tcW w:w="22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4,637,224</w:t>
            </w:r>
          </w:p>
        </w:tc>
        <w:tc>
          <w:tcPr>
            <w:tcW w:w="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ind w:left="160"/>
              <w:spacing w:after="0"/>
              <w:rPr>
                <w:sz w:val="20"/>
                <w:szCs w:val="20"/>
                <w:color w:val="auto"/>
              </w:rPr>
            </w:pPr>
            <w:r>
              <w:rPr>
                <w:rFonts w:ascii="Arial" w:cs="Arial" w:eastAsia="Arial" w:hAnsi="Arial"/>
                <w:sz w:val="18"/>
                <w:szCs w:val="18"/>
                <w:color w:val="auto"/>
              </w:rPr>
              <w:t>Stock options (2) (3)</w:t>
            </w: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2,571,282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241,205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Common stock awards</w:t>
            </w:r>
          </w:p>
        </w:tc>
        <w:tc>
          <w:tcPr>
            <w:tcW w:w="22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1,388</w:t>
            </w:r>
          </w:p>
        </w:tc>
        <w:tc>
          <w:tcPr>
            <w:tcW w:w="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23,152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568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Dilutive weighted average shares of common stock</w:t>
            </w: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107,483,015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78,252,000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62,935,314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6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Diluted EPS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0.36</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6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Stock options excluded from the computation of diluted EPS: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Anti-dilutive (2)</w:t>
            </w:r>
          </w:p>
        </w:tc>
        <w:tc>
          <w:tcPr>
            <w:tcW w:w="22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20,000</w:t>
            </w:r>
          </w:p>
        </w:tc>
        <w:tc>
          <w:tcPr>
            <w:tcW w:w="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557,080</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3,062,166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3"/>
          </w:tcPr>
          <w:p>
            <w:pPr>
              <w:ind w:left="160"/>
              <w:spacing w:after="0"/>
              <w:rPr>
                <w:sz w:val="20"/>
                <w:szCs w:val="20"/>
                <w:color w:val="auto"/>
              </w:rPr>
            </w:pPr>
            <w:r>
              <w:rPr>
                <w:rFonts w:ascii="Arial" w:cs="Arial" w:eastAsia="Arial" w:hAnsi="Arial"/>
                <w:sz w:val="18"/>
                <w:szCs w:val="18"/>
                <w:color w:val="auto"/>
              </w:rPr>
              <w:t>Market-based (3)</w:t>
            </w:r>
          </w:p>
        </w:tc>
        <w:tc>
          <w:tcPr>
            <w:tcW w:w="2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1,615,000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1,788,750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80" w:right="40" w:hanging="572"/>
        <w:spacing w:after="0" w:line="302" w:lineRule="auto"/>
        <w:tabs>
          <w:tab w:leader="none" w:pos="5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effect of our Convertible Notes on diluted EPS is computed using the if-converted method. Interest expense and related amortization costs applicable to the Convertible Notes, net of income tax, are added back to net income. Conversion of the Convertible Notes into shares of common stock has not been assumed for purposes of computing diluted EPS for the 2009 and 2008 because the effect would be anti-dilutive. The effect is anti-dilutive whenever interest expense on the Convertible Notes, net of income tax, per common share obtainable on conversion exceeds basic EPS.</w:t>
      </w:r>
    </w:p>
    <w:p>
      <w:pPr>
        <w:spacing w:after="0" w:line="154" w:lineRule="exact"/>
        <w:rPr>
          <w:rFonts w:ascii="Arial" w:cs="Arial" w:eastAsia="Arial" w:hAnsi="Arial"/>
          <w:sz w:val="16"/>
          <w:szCs w:val="16"/>
          <w:color w:val="auto"/>
        </w:rPr>
      </w:pPr>
    </w:p>
    <w:p>
      <w:pPr>
        <w:ind w:left="580" w:hanging="572"/>
        <w:spacing w:after="0"/>
        <w:tabs>
          <w:tab w:leader="none" w:pos="5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These stock options were anti-dilutive because their exercise price was greater than the average market price of our stock.</w:t>
      </w:r>
    </w:p>
    <w:p>
      <w:pPr>
        <w:spacing w:after="0" w:line="225" w:lineRule="exact"/>
        <w:rPr>
          <w:rFonts w:ascii="Arial" w:cs="Arial" w:eastAsia="Arial" w:hAnsi="Arial"/>
          <w:sz w:val="18"/>
          <w:szCs w:val="18"/>
          <w:color w:val="auto"/>
        </w:rPr>
      </w:pPr>
    </w:p>
    <w:p>
      <w:pPr>
        <w:ind w:left="580" w:right="680" w:hanging="572"/>
        <w:spacing w:after="0" w:line="277" w:lineRule="auto"/>
        <w:tabs>
          <w:tab w:leader="none" w:pos="5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Shares that are issuable upon the achievement of certain performance criteria related to OCN’s stock price and an annualized rate of return to investors. On August 10, 2009, the market performance criterion was met for 3,420,000 of these options.</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28</w:t>
      </w:r>
      <w:r>
        <w:rPr>
          <w:sz w:val="20"/>
          <w:szCs w:val="20"/>
          <w:color w:val="auto"/>
        </w:rPr>
        <w:tab/>
      </w:r>
      <w:r>
        <w:rPr>
          <w:rFonts w:ascii="Arial" w:cs="Arial" w:eastAsia="Arial" w:hAnsi="Arial"/>
          <w:sz w:val="18"/>
          <w:szCs w:val="18"/>
          <w:b w:val="1"/>
          <w:bCs w:val="1"/>
          <w:color w:val="auto"/>
        </w:rPr>
        <w:t>EMPLOYEE COMPENSATION AND BENEFIT PLANS</w:t>
      </w:r>
    </w:p>
    <w:p>
      <w:pPr>
        <w:spacing w:after="0" w:line="229" w:lineRule="exact"/>
        <w:rPr>
          <w:sz w:val="20"/>
          <w:szCs w:val="20"/>
          <w:color w:val="auto"/>
        </w:rPr>
      </w:pPr>
    </w:p>
    <w:p>
      <w:pPr>
        <w:ind w:right="180" w:firstLine="663"/>
        <w:spacing w:after="0" w:line="312" w:lineRule="auto"/>
        <w:rPr>
          <w:sz w:val="20"/>
          <w:szCs w:val="20"/>
          <w:color w:val="auto"/>
        </w:rPr>
      </w:pPr>
      <w:r>
        <w:rPr>
          <w:rFonts w:ascii="Arial" w:cs="Arial" w:eastAsia="Arial" w:hAnsi="Arial"/>
          <w:sz w:val="16"/>
          <w:szCs w:val="16"/>
          <w:color w:val="auto"/>
        </w:rPr>
        <w:t>We maintain a defined contribution plan to provide post retirement benefits to our eligible employees. We also maintain additional compensation plans for certain employees. We designed these plans to facilitate a pay-for-performance policy, further align the interests of our officers and key employees with the interests of our shareholders and assist in attracting and retaining employees vital to our long-term success. These plans are summarized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We maintain a defined contribution 401(k) plan. We match 50% of each employee’s contributions, limited to 2% of the employee’s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contributions to the 401(k) plan were $233, $403 and $469 for the years ended December 31, 2010, 2009 and 2008, respectively.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Annual Incentive Plan</w:t>
      </w:r>
    </w:p>
    <w:p>
      <w:pPr>
        <w:spacing w:after="0" w:line="229" w:lineRule="exact"/>
        <w:rPr>
          <w:sz w:val="20"/>
          <w:szCs w:val="20"/>
          <w:color w:val="auto"/>
        </w:rPr>
      </w:pPr>
    </w:p>
    <w:p>
      <w:pPr>
        <w:ind w:right="160" w:firstLine="663"/>
        <w:spacing w:after="0" w:line="254" w:lineRule="auto"/>
        <w:rPr>
          <w:sz w:val="20"/>
          <w:szCs w:val="20"/>
          <w:color w:val="auto"/>
        </w:rPr>
      </w:pPr>
      <w:r>
        <w:rPr>
          <w:rFonts w:ascii="Arial" w:cs="Arial" w:eastAsia="Arial" w:hAnsi="Arial"/>
          <w:sz w:val="18"/>
          <w:szCs w:val="18"/>
          <w:color w:val="auto"/>
        </w:rPr>
        <w:t>The Ocwen Financial Corporation Amended 1998 Annual Incentive Plan (the AIP) is our primary incentive compensation plan for executives and other key employees. Under the terms of the AIP, participants can earn cash and equity-based awards as determined by the Compensation Committee of the Board of Directors. The awards are generally based on objective performance criteria established by the Committee which includes corporate profitability, growth in our core businesses, meeting budget objectives and achieving cost savings through Six Sigma initiatives. The Committee may at its discretion adjust performance measurements to reflect significant unforeseen events. In 2007, the stockholders approved the 2007 Equity Incentive Plan (the 2007 Equity Plan) to replace t he 1991 Non-Qualified Stock Option Plan. The 2007 Equity Plan authorizes the grant of stock options, restricted stock or other equity-based awards to employees. At December 31, 2010, there were 11,618,599 shares of common stock remaining available for future issuance under the 2007 Equity Plan.</w:t>
      </w:r>
    </w:p>
    <w:p>
      <w:pPr>
        <w:spacing w:after="0" w:line="192" w:lineRule="exact"/>
        <w:rPr>
          <w:sz w:val="20"/>
          <w:szCs w:val="20"/>
          <w:color w:val="auto"/>
        </w:rPr>
      </w:pPr>
    </w:p>
    <w:p>
      <w:pPr>
        <w:ind w:right="40" w:firstLine="666"/>
        <w:spacing w:after="0" w:line="289" w:lineRule="auto"/>
        <w:rPr>
          <w:sz w:val="20"/>
          <w:szCs w:val="20"/>
          <w:color w:val="auto"/>
        </w:rPr>
      </w:pPr>
      <w:r>
        <w:rPr>
          <w:rFonts w:ascii="Arial" w:cs="Arial" w:eastAsia="Arial" w:hAnsi="Arial"/>
          <w:sz w:val="16"/>
          <w:szCs w:val="16"/>
          <w:color w:val="auto"/>
        </w:rPr>
        <w:t>For service years 2007 through 2010, we awarded annual incentive compensation entirely in cash. However, in July 2008 and November 2009, we awarded stock options to members of senior management under the 2007 Equity Plan. The vesting schedule for these options has a time-based component in which 25% of the options vest in equal increments over four years. The vesting schedule also has a market-based component in which up to 75% of the options will vest in four equal increments commencing upon the achievement of certain performance criteria related to OCN’s stock price and the annualized rate of return to investors. Upon meeting the market performance criteria, one-fourth of the market-based options immediately vest. Thereafter, one-fourth of these option s vests on each of the three consecutive anniversaries of the initial vesting. Two-thirds of the market-based options begin to vest if the stock price realizes a compounded annual gain of at least 20% over the exercise price, so long as the stock price is at least double the exercise price. The remaining third of the market-based options begin to vest if the stock price realizes a 25% gain, so long as it is at least triple the exercise price. On August 10, 2009, the market performance criterion was met for the 3,420,000 market-based options that have an exercise price of $4.82.</w:t>
      </w:r>
    </w:p>
    <w:p>
      <w:pPr>
        <w:spacing w:after="0" w:line="167" w:lineRule="exact"/>
        <w:rPr>
          <w:sz w:val="20"/>
          <w:szCs w:val="20"/>
          <w:color w:val="auto"/>
        </w:rPr>
      </w:pPr>
    </w:p>
    <w:p>
      <w:pPr>
        <w:ind w:right="200" w:firstLine="666"/>
        <w:spacing w:after="0" w:line="259" w:lineRule="auto"/>
        <w:rPr>
          <w:sz w:val="20"/>
          <w:szCs w:val="20"/>
          <w:color w:val="auto"/>
        </w:rPr>
      </w:pPr>
      <w:r>
        <w:rPr>
          <w:rFonts w:ascii="Arial" w:cs="Arial" w:eastAsia="Arial" w:hAnsi="Arial"/>
          <w:sz w:val="18"/>
          <w:szCs w:val="18"/>
          <w:color w:val="auto"/>
        </w:rPr>
        <w:t>Stock options awarded prior to 2008 generally vest ratably over a five–year period including the award year. The contractual term of all options granted is ten years from the grant date, except where employment terminates by reason of retirement, in which case the option will terminate no later than three years after such retirement or the end of the option term, whichever is earlier. At December 31, 2010 the weighted average remaining contractual term of options outstanding and options exercisable was 6.6 years and 5.6 years, respectively.</w:t>
      </w:r>
    </w:p>
    <w:p>
      <w:pPr>
        <w:spacing w:after="0" w:line="18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Stock option activity for the years ended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5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2010</w:t>
            </w:r>
          </w:p>
        </w:tc>
        <w:tc>
          <w:tcPr>
            <w:tcW w:w="10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2009</w:t>
            </w:r>
          </w:p>
        </w:tc>
        <w:tc>
          <w:tcPr>
            <w:tcW w:w="10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2008</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70"/>
              <w:spacing w:after="0" w:line="198" w:lineRule="exact"/>
              <w:rPr>
                <w:sz w:val="20"/>
                <w:szCs w:val="20"/>
                <w:color w:val="auto"/>
              </w:rPr>
            </w:pPr>
            <w:r>
              <w:rPr>
                <w:rFonts w:ascii="Arial" w:cs="Arial" w:eastAsia="Arial" w:hAnsi="Arial"/>
                <w:sz w:val="18"/>
                <w:szCs w:val="18"/>
                <w:b w:val="1"/>
                <w:bCs w:val="1"/>
                <w:color w:val="auto"/>
                <w:w w:val="88"/>
              </w:rPr>
              <w:t>Weighted</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70"/>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Price</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Price</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AF9E8"/>
          </w:tcPr>
          <w:p>
            <w:pPr>
              <w:spacing w:after="0"/>
              <w:rPr>
                <w:sz w:val="20"/>
                <w:szCs w:val="20"/>
                <w:color w:val="auto"/>
              </w:rPr>
            </w:pPr>
            <w:r>
              <w:rPr>
                <w:rFonts w:ascii="Arial" w:cs="Arial" w:eastAsia="Arial" w:hAnsi="Arial"/>
                <w:sz w:val="18"/>
                <w:szCs w:val="18"/>
                <w:color w:val="auto"/>
              </w:rPr>
              <w:t>Outstanding at beginning of year</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9,278,581</w:t>
            </w:r>
          </w:p>
        </w:tc>
        <w:tc>
          <w:tcPr>
            <w:tcW w:w="140" w:type="dxa"/>
            <w:vAlign w:val="bottom"/>
            <w:shd w:val="clear" w:color="auto" w:fill="EAF9E8"/>
          </w:tcPr>
          <w:p>
            <w:pPr>
              <w:spacing w:after="0"/>
              <w:rPr>
                <w:sz w:val="18"/>
                <w:szCs w:val="18"/>
                <w:color w:val="auto"/>
              </w:rPr>
            </w:pPr>
          </w:p>
        </w:tc>
        <w:tc>
          <w:tcPr>
            <w:tcW w:w="2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4.97</w:t>
            </w:r>
          </w:p>
        </w:tc>
        <w:tc>
          <w:tcPr>
            <w:tcW w:w="12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9,428,952</w:t>
            </w:r>
          </w:p>
        </w:tc>
        <w:tc>
          <w:tcPr>
            <w:tcW w:w="2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8.14</w:t>
            </w:r>
          </w:p>
        </w:tc>
        <w:tc>
          <w:tcPr>
            <w:tcW w:w="12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3,230,526</w:t>
            </w:r>
          </w:p>
        </w:tc>
        <w:tc>
          <w:tcPr>
            <w:tcW w:w="2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415,000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8.68</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6,530,000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AF9E8"/>
          </w:tcPr>
          <w:p>
            <w:pPr>
              <w:spacing w:after="0"/>
              <w:rPr>
                <w:sz w:val="20"/>
                <w:szCs w:val="20"/>
                <w:color w:val="auto"/>
              </w:rPr>
            </w:pPr>
            <w:r>
              <w:rPr>
                <w:rFonts w:ascii="Arial" w:cs="Arial" w:eastAsia="Arial" w:hAnsi="Arial"/>
                <w:sz w:val="18"/>
                <w:szCs w:val="18"/>
                <w:color w:val="auto"/>
              </w:rPr>
              <w:t>Exercised (1)</w:t>
            </w:r>
          </w:p>
        </w:tc>
        <w:tc>
          <w:tcPr>
            <w:tcW w:w="13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(774,345)</w:t>
            </w: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4.19</w:t>
            </w:r>
          </w:p>
        </w:tc>
        <w:tc>
          <w:tcPr>
            <w:tcW w:w="12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(526,749)</w:t>
            </w: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6.37</w:t>
            </w:r>
          </w:p>
        </w:tc>
        <w:tc>
          <w:tcPr>
            <w:tcW w:w="12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(3,008)</w:t>
            </w: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(419,283)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5.21</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(38,622)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12.12</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(328,566)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shd w:val="clear" w:color="auto" w:fill="EAF9E8"/>
          </w:tcPr>
          <w:p>
            <w:pPr>
              <w:spacing w:after="0"/>
              <w:rPr>
                <w:sz w:val="20"/>
                <w:szCs w:val="20"/>
                <w:color w:val="auto"/>
              </w:rPr>
            </w:pPr>
            <w:r>
              <w:rPr>
                <w:rFonts w:ascii="Arial" w:cs="Arial" w:eastAsia="Arial" w:hAnsi="Arial"/>
                <w:sz w:val="18"/>
                <w:szCs w:val="18"/>
                <w:color w:val="auto"/>
              </w:rPr>
              <w:t>Outstanding at end of year</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8,084,953</w:t>
            </w:r>
          </w:p>
        </w:tc>
        <w:tc>
          <w:tcPr>
            <w:tcW w:w="1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5.03</w:t>
            </w:r>
          </w:p>
        </w:tc>
        <w:tc>
          <w:tcPr>
            <w:tcW w:w="12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9,278,581</w:t>
            </w:r>
          </w:p>
        </w:tc>
        <w:tc>
          <w:tcPr>
            <w:tcW w:w="8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4.97</w:t>
            </w:r>
          </w:p>
        </w:tc>
        <w:tc>
          <w:tcPr>
            <w:tcW w:w="12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9,428,952</w:t>
            </w:r>
          </w:p>
        </w:tc>
        <w:tc>
          <w:tcPr>
            <w:tcW w:w="8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tcBorders>
              <w:top w:val="single" w:sz="8" w:color="EAF9E8"/>
            </w:tcBorders>
            <w:shd w:val="clear" w:color="auto" w:fill="EAF9E8"/>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10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100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100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Exercisable at end of year (2)</w:t>
            </w:r>
          </w:p>
        </w:tc>
        <w:tc>
          <w:tcPr>
            <w:tcW w:w="1160" w:type="dxa"/>
            <w:vAlign w:val="bottom"/>
          </w:tcPr>
          <w:p>
            <w:pPr>
              <w:jc w:val="right"/>
              <w:spacing w:after="0"/>
              <w:rPr>
                <w:sz w:val="20"/>
                <w:szCs w:val="20"/>
                <w:color w:val="auto"/>
              </w:rPr>
            </w:pPr>
            <w:r>
              <w:rPr>
                <w:rFonts w:ascii="Arial" w:cs="Arial" w:eastAsia="Arial" w:hAnsi="Arial"/>
                <w:sz w:val="18"/>
                <w:szCs w:val="18"/>
                <w:color w:val="auto"/>
              </w:rPr>
              <w:t>4,122,453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5.13</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3,486,405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4.98</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2,585,799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right="100" w:hanging="572"/>
        <w:spacing w:after="0" w:line="264" w:lineRule="auto"/>
        <w:tabs>
          <w:tab w:leader="none" w:pos="5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connection with an exercise of stock options during 2010, an employee delivered 21,750 shares of common stock to Ocwen as payment for the exercise price and the income tax withholdings on the compensation. As a result, a total of 752,595 net shares of stock were issued in 2010 related to the exercise of stock options.</w:t>
      </w:r>
    </w:p>
    <w:p>
      <w:pPr>
        <w:spacing w:after="0" w:line="181"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total fair value of stock options that vested and became exercisable during 2010 and 2009, based on grant-date fair value, was $1,948 and $2,294, respectively.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06" w:name="page107"/>
    <w:bookmarkEnd w:id="106"/>
    <w:p>
      <w:pPr>
        <w:ind w:left="680"/>
        <w:spacing w:after="0"/>
        <w:rPr>
          <w:sz w:val="20"/>
          <w:szCs w:val="20"/>
          <w:color w:val="auto"/>
        </w:rPr>
      </w:pPr>
      <w:r>
        <w:rPr>
          <w:rFonts w:ascii="Arial" w:cs="Arial" w:eastAsia="Arial" w:hAnsi="Arial"/>
          <w:sz w:val="18"/>
          <w:szCs w:val="18"/>
          <w:color w:val="auto"/>
        </w:rPr>
        <w:t>Stock options outstanding at December 31, 2010: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180" w:type="dxa"/>
            <w:vAlign w:val="bottom"/>
            <w:gridSpan w:val="4"/>
          </w:tcPr>
          <w:p>
            <w:pPr>
              <w:ind w:left="220"/>
              <w:spacing w:after="0"/>
              <w:rPr>
                <w:sz w:val="20"/>
                <w:szCs w:val="20"/>
                <w:color w:val="auto"/>
              </w:rPr>
            </w:pPr>
            <w:r>
              <w:rPr>
                <w:rFonts w:ascii="Arial" w:cs="Arial" w:eastAsia="Arial" w:hAnsi="Arial"/>
                <w:sz w:val="18"/>
                <w:szCs w:val="18"/>
                <w:b w:val="1"/>
                <w:bCs w:val="1"/>
                <w:color w:val="auto"/>
              </w:rPr>
              <w:t>Options Outstanding</w:t>
            </w: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40" w:type="dxa"/>
            <w:vAlign w:val="bottom"/>
            <w:gridSpan w:val="6"/>
          </w:tcPr>
          <w:p>
            <w:pPr>
              <w:ind w:left="700"/>
              <w:spacing w:after="0"/>
              <w:rPr>
                <w:sz w:val="20"/>
                <w:szCs w:val="20"/>
                <w:color w:val="auto"/>
              </w:rPr>
            </w:pPr>
            <w:r>
              <w:rPr>
                <w:rFonts w:ascii="Arial" w:cs="Arial" w:eastAsia="Arial" w:hAnsi="Arial"/>
                <w:sz w:val="18"/>
                <w:szCs w:val="18"/>
                <w:b w:val="1"/>
                <w:bCs w:val="1"/>
                <w:color w:val="auto"/>
              </w:rPr>
              <w:t>Options Exercisable</w:t>
            </w:r>
          </w:p>
        </w:tc>
      </w:tr>
      <w:tr>
        <w:trPr>
          <w:trHeight w:val="198"/>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44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1"/>
              </w:rPr>
              <w:t>Weighted</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7"/>
              </w:rPr>
              <w:t>Average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Exercise</w:t>
            </w: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9"/>
              </w:rPr>
              <w:t>Exercise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Exercise</w:t>
            </w:r>
          </w:p>
        </w:tc>
      </w:tr>
      <w:tr>
        <w:trPr>
          <w:trHeight w:val="241"/>
        </w:trPr>
        <w:tc>
          <w:tcPr>
            <w:tcW w:w="20" w:type="dxa"/>
            <w:vAlign w:val="bottom"/>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Award Year</w:t>
            </w:r>
          </w:p>
        </w:tc>
        <w:tc>
          <w:tcPr>
            <w:tcW w:w="3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 Range</w:t>
            </w:r>
          </w:p>
        </w:tc>
        <w:tc>
          <w:tcPr>
            <w:tcW w:w="480" w:type="dxa"/>
            <w:vAlign w:val="bottom"/>
          </w:tcPr>
          <w:p>
            <w:pPr>
              <w:spacing w:after="0"/>
              <w:rPr>
                <w:sz w:val="20"/>
                <w:szCs w:val="20"/>
                <w:color w:val="auto"/>
              </w:rPr>
            </w:pP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Number</w:t>
            </w:r>
          </w:p>
        </w:tc>
        <w:tc>
          <w:tcPr>
            <w:tcW w:w="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Price</w:t>
            </w:r>
          </w:p>
        </w:tc>
        <w:tc>
          <w:tcPr>
            <w:tcW w:w="4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440" w:type="dxa"/>
            <w:vAlign w:val="bottom"/>
          </w:tcPr>
          <w:p>
            <w:pPr>
              <w:spacing w:after="0"/>
              <w:rPr>
                <w:sz w:val="20"/>
                <w:szCs w:val="20"/>
                <w:color w:val="auto"/>
              </w:rPr>
            </w:pPr>
          </w:p>
        </w:tc>
        <w:tc>
          <w:tcPr>
            <w:tcW w:w="12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EAF9E8"/>
          </w:tcPr>
          <w:p>
            <w:pPr>
              <w:jc w:val="right"/>
              <w:ind w:right="930"/>
              <w:spacing w:after="0"/>
              <w:rPr>
                <w:sz w:val="20"/>
                <w:szCs w:val="20"/>
                <w:color w:val="auto"/>
              </w:rPr>
            </w:pPr>
            <w:r>
              <w:rPr>
                <w:rFonts w:ascii="Arial" w:cs="Arial" w:eastAsia="Arial" w:hAnsi="Arial"/>
                <w:sz w:val="18"/>
                <w:szCs w:val="18"/>
                <w:color w:val="auto"/>
                <w:w w:val="79"/>
              </w:rPr>
              <w:t>2009</w:t>
            </w:r>
          </w:p>
        </w:tc>
        <w:tc>
          <w:tcPr>
            <w:tcW w:w="360" w:type="dxa"/>
            <w:vAlign w:val="bottom"/>
            <w:shd w:val="clear" w:color="auto" w:fill="EAF9E8"/>
          </w:tcPr>
          <w:p>
            <w:pPr>
              <w:spacing w:after="0"/>
              <w:rPr>
                <w:sz w:val="18"/>
                <w:szCs w:val="18"/>
                <w:color w:val="auto"/>
              </w:rPr>
            </w:pPr>
          </w:p>
        </w:tc>
        <w:tc>
          <w:tcPr>
            <w:tcW w:w="1620" w:type="dxa"/>
            <w:vAlign w:val="bottom"/>
            <w:gridSpan w:val="2"/>
            <w:shd w:val="clear" w:color="auto" w:fill="EAF9E8"/>
          </w:tcPr>
          <w:p>
            <w:pPr>
              <w:jc w:val="center"/>
              <w:ind w:right="480"/>
              <w:spacing w:after="0"/>
              <w:rPr>
                <w:sz w:val="20"/>
                <w:szCs w:val="20"/>
                <w:color w:val="auto"/>
              </w:rPr>
            </w:pPr>
            <w:r>
              <w:rPr>
                <w:rFonts w:ascii="Arial" w:cs="Arial" w:eastAsia="Arial" w:hAnsi="Arial"/>
                <w:sz w:val="18"/>
                <w:szCs w:val="18"/>
                <w:color w:val="auto"/>
                <w:w w:val="89"/>
              </w:rPr>
              <w:t>$4.82–10.67</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331,875</w:t>
            </w:r>
          </w:p>
        </w:tc>
        <w:tc>
          <w:tcPr>
            <w:tcW w:w="6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6.23</w:t>
            </w: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8</w:t>
            </w:r>
          </w:p>
        </w:tc>
        <w:tc>
          <w:tcPr>
            <w:tcW w:w="1900" w:type="dxa"/>
            <w:vAlign w:val="bottom"/>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63,125</w:t>
            </w:r>
          </w:p>
        </w:tc>
        <w:tc>
          <w:tcPr>
            <w:tcW w:w="4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5.28</w:t>
            </w:r>
          </w:p>
        </w:tc>
      </w:tr>
      <w:tr>
        <w:trPr>
          <w:trHeight w:val="216"/>
        </w:trPr>
        <w:tc>
          <w:tcPr>
            <w:tcW w:w="20" w:type="dxa"/>
            <w:vAlign w:val="bottom"/>
          </w:tcPr>
          <w:p>
            <w:pPr>
              <w:spacing w:after="0"/>
              <w:rPr>
                <w:sz w:val="18"/>
                <w:szCs w:val="18"/>
                <w:color w:val="auto"/>
              </w:rPr>
            </w:pPr>
          </w:p>
        </w:tc>
        <w:tc>
          <w:tcPr>
            <w:tcW w:w="1360" w:type="dxa"/>
            <w:vAlign w:val="bottom"/>
          </w:tcPr>
          <w:p>
            <w:pPr>
              <w:jc w:val="right"/>
              <w:ind w:right="930"/>
              <w:spacing w:after="0"/>
              <w:rPr>
                <w:sz w:val="20"/>
                <w:szCs w:val="20"/>
                <w:color w:val="auto"/>
              </w:rPr>
            </w:pPr>
            <w:r>
              <w:rPr>
                <w:rFonts w:ascii="Arial" w:cs="Arial" w:eastAsia="Arial" w:hAnsi="Arial"/>
                <w:sz w:val="18"/>
                <w:szCs w:val="18"/>
                <w:color w:val="auto"/>
                <w:w w:val="79"/>
              </w:rPr>
              <w:t>2008</w:t>
            </w:r>
          </w:p>
        </w:tc>
        <w:tc>
          <w:tcPr>
            <w:tcW w:w="1500" w:type="dxa"/>
            <w:vAlign w:val="bottom"/>
            <w:gridSpan w:val="2"/>
          </w:tcPr>
          <w:p>
            <w:pPr>
              <w:jc w:val="center"/>
              <w:ind w:left="270"/>
              <w:spacing w:after="0"/>
              <w:rPr>
                <w:sz w:val="20"/>
                <w:szCs w:val="20"/>
                <w:color w:val="auto"/>
              </w:rPr>
            </w:pPr>
            <w:r>
              <w:rPr>
                <w:rFonts w:ascii="Arial" w:cs="Arial" w:eastAsia="Arial" w:hAnsi="Arial"/>
                <w:sz w:val="18"/>
                <w:szCs w:val="18"/>
                <w:color w:val="auto"/>
                <w:w w:val="85"/>
              </w:rPr>
              <w:t>4.82</w:t>
            </w:r>
          </w:p>
        </w:tc>
        <w:tc>
          <w:tcPr>
            <w:tcW w:w="4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5,872,000</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4.82</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900" w:type="dxa"/>
            <w:vAlign w:val="bottom"/>
            <w:gridSpan w:val="3"/>
          </w:tcPr>
          <w:p>
            <w:pPr>
              <w:jc w:val="right"/>
              <w:ind w:right="220"/>
              <w:spacing w:after="0"/>
              <w:rPr>
                <w:sz w:val="20"/>
                <w:szCs w:val="20"/>
                <w:color w:val="auto"/>
              </w:rPr>
            </w:pPr>
            <w:r>
              <w:rPr>
                <w:rFonts w:ascii="Arial" w:cs="Arial" w:eastAsia="Arial" w:hAnsi="Arial"/>
                <w:sz w:val="18"/>
                <w:szCs w:val="18"/>
                <w:color w:val="auto"/>
              </w:rPr>
              <w:t>2,178,250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4.82</w:t>
            </w:r>
          </w:p>
        </w:tc>
      </w:tr>
      <w:tr>
        <w:trPr>
          <w:trHeight w:val="216"/>
        </w:trPr>
        <w:tc>
          <w:tcPr>
            <w:tcW w:w="20" w:type="dxa"/>
            <w:vAlign w:val="bottom"/>
          </w:tcPr>
          <w:p>
            <w:pPr>
              <w:spacing w:after="0"/>
              <w:rPr>
                <w:sz w:val="18"/>
                <w:szCs w:val="18"/>
                <w:color w:val="auto"/>
              </w:rPr>
            </w:pPr>
          </w:p>
        </w:tc>
        <w:tc>
          <w:tcPr>
            <w:tcW w:w="1360" w:type="dxa"/>
            <w:vAlign w:val="bottom"/>
            <w:shd w:val="clear" w:color="auto" w:fill="EAF9E8"/>
          </w:tcPr>
          <w:p>
            <w:pPr>
              <w:jc w:val="right"/>
              <w:ind w:right="930"/>
              <w:spacing w:after="0"/>
              <w:rPr>
                <w:sz w:val="20"/>
                <w:szCs w:val="20"/>
                <w:color w:val="auto"/>
              </w:rPr>
            </w:pPr>
            <w:r>
              <w:rPr>
                <w:rFonts w:ascii="Arial" w:cs="Arial" w:eastAsia="Arial" w:hAnsi="Arial"/>
                <w:sz w:val="18"/>
                <w:szCs w:val="18"/>
                <w:color w:val="auto"/>
                <w:w w:val="79"/>
              </w:rPr>
              <w:t>2006</w:t>
            </w:r>
          </w:p>
        </w:tc>
        <w:tc>
          <w:tcPr>
            <w:tcW w:w="1500" w:type="dxa"/>
            <w:vAlign w:val="bottom"/>
            <w:gridSpan w:val="2"/>
            <w:shd w:val="clear" w:color="auto" w:fill="EAF9E8"/>
          </w:tcPr>
          <w:p>
            <w:pPr>
              <w:jc w:val="center"/>
              <w:ind w:left="270"/>
              <w:spacing w:after="0"/>
              <w:rPr>
                <w:sz w:val="20"/>
                <w:szCs w:val="20"/>
                <w:color w:val="auto"/>
              </w:rPr>
            </w:pPr>
            <w:r>
              <w:rPr>
                <w:rFonts w:ascii="Arial" w:cs="Arial" w:eastAsia="Arial" w:hAnsi="Arial"/>
                <w:sz w:val="18"/>
                <w:szCs w:val="18"/>
                <w:color w:val="auto"/>
                <w:w w:val="85"/>
              </w:rPr>
              <w:t>7.16</w:t>
            </w:r>
          </w:p>
        </w:tc>
        <w:tc>
          <w:tcPr>
            <w:tcW w:w="480" w:type="dxa"/>
            <w:vAlign w:val="bottom"/>
            <w:shd w:val="clear" w:color="auto" w:fill="EAF9E8"/>
          </w:tcPr>
          <w:p>
            <w:pPr>
              <w:spacing w:after="0"/>
              <w:rPr>
                <w:sz w:val="18"/>
                <w:szCs w:val="18"/>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361,434</w:t>
            </w:r>
          </w:p>
        </w:tc>
        <w:tc>
          <w:tcPr>
            <w:tcW w:w="4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7.16</w:t>
            </w: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6</w:t>
            </w:r>
          </w:p>
        </w:tc>
        <w:tc>
          <w:tcPr>
            <w:tcW w:w="1900" w:type="dxa"/>
            <w:vAlign w:val="bottom"/>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361,434</w:t>
            </w: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7.16</w:t>
            </w:r>
          </w:p>
        </w:tc>
      </w:tr>
      <w:tr>
        <w:trPr>
          <w:trHeight w:val="216"/>
        </w:trPr>
        <w:tc>
          <w:tcPr>
            <w:tcW w:w="20" w:type="dxa"/>
            <w:vAlign w:val="bottom"/>
          </w:tcPr>
          <w:p>
            <w:pPr>
              <w:spacing w:after="0"/>
              <w:rPr>
                <w:sz w:val="18"/>
                <w:szCs w:val="18"/>
                <w:color w:val="auto"/>
              </w:rPr>
            </w:pPr>
          </w:p>
        </w:tc>
        <w:tc>
          <w:tcPr>
            <w:tcW w:w="1360" w:type="dxa"/>
            <w:vAlign w:val="bottom"/>
          </w:tcPr>
          <w:p>
            <w:pPr>
              <w:jc w:val="right"/>
              <w:ind w:right="930"/>
              <w:spacing w:after="0"/>
              <w:rPr>
                <w:sz w:val="20"/>
                <w:szCs w:val="20"/>
                <w:color w:val="auto"/>
              </w:rPr>
            </w:pPr>
            <w:r>
              <w:rPr>
                <w:rFonts w:ascii="Arial" w:cs="Arial" w:eastAsia="Arial" w:hAnsi="Arial"/>
                <w:sz w:val="18"/>
                <w:szCs w:val="18"/>
                <w:color w:val="auto"/>
                <w:w w:val="79"/>
              </w:rPr>
              <w:t>2005</w:t>
            </w:r>
          </w:p>
        </w:tc>
        <w:tc>
          <w:tcPr>
            <w:tcW w:w="1500" w:type="dxa"/>
            <w:vAlign w:val="bottom"/>
            <w:gridSpan w:val="2"/>
          </w:tcPr>
          <w:p>
            <w:pPr>
              <w:jc w:val="center"/>
              <w:ind w:left="270"/>
              <w:spacing w:after="0"/>
              <w:rPr>
                <w:sz w:val="20"/>
                <w:szCs w:val="20"/>
                <w:color w:val="auto"/>
              </w:rPr>
            </w:pPr>
            <w:r>
              <w:rPr>
                <w:rFonts w:ascii="Arial" w:cs="Arial" w:eastAsia="Arial" w:hAnsi="Arial"/>
                <w:sz w:val="18"/>
                <w:szCs w:val="18"/>
                <w:color w:val="auto"/>
                <w:w w:val="85"/>
              </w:rPr>
              <w:t>5.81</w:t>
            </w:r>
          </w:p>
        </w:tc>
        <w:tc>
          <w:tcPr>
            <w:tcW w:w="4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260,341</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5.81</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900" w:type="dxa"/>
            <w:vAlign w:val="bottom"/>
            <w:gridSpan w:val="3"/>
          </w:tcPr>
          <w:p>
            <w:pPr>
              <w:jc w:val="right"/>
              <w:ind w:right="220"/>
              <w:spacing w:after="0"/>
              <w:rPr>
                <w:sz w:val="20"/>
                <w:szCs w:val="20"/>
                <w:color w:val="auto"/>
              </w:rPr>
            </w:pPr>
            <w:r>
              <w:rPr>
                <w:rFonts w:ascii="Arial" w:cs="Arial" w:eastAsia="Arial" w:hAnsi="Arial"/>
                <w:sz w:val="18"/>
                <w:szCs w:val="18"/>
                <w:color w:val="auto"/>
              </w:rPr>
              <w:t>260,341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5.81</w:t>
            </w:r>
          </w:p>
        </w:tc>
      </w:tr>
      <w:tr>
        <w:trPr>
          <w:trHeight w:val="216"/>
        </w:trPr>
        <w:tc>
          <w:tcPr>
            <w:tcW w:w="20" w:type="dxa"/>
            <w:vAlign w:val="bottom"/>
          </w:tcPr>
          <w:p>
            <w:pPr>
              <w:spacing w:after="0"/>
              <w:rPr>
                <w:sz w:val="18"/>
                <w:szCs w:val="18"/>
                <w:color w:val="auto"/>
              </w:rPr>
            </w:pPr>
          </w:p>
        </w:tc>
        <w:tc>
          <w:tcPr>
            <w:tcW w:w="1360" w:type="dxa"/>
            <w:vAlign w:val="bottom"/>
            <w:shd w:val="clear" w:color="auto" w:fill="EAF9E8"/>
          </w:tcPr>
          <w:p>
            <w:pPr>
              <w:jc w:val="right"/>
              <w:ind w:right="930"/>
              <w:spacing w:after="0"/>
              <w:rPr>
                <w:sz w:val="20"/>
                <w:szCs w:val="20"/>
                <w:color w:val="auto"/>
              </w:rPr>
            </w:pPr>
            <w:r>
              <w:rPr>
                <w:rFonts w:ascii="Arial" w:cs="Arial" w:eastAsia="Arial" w:hAnsi="Arial"/>
                <w:sz w:val="18"/>
                <w:szCs w:val="18"/>
                <w:color w:val="auto"/>
                <w:w w:val="79"/>
              </w:rPr>
              <w:t>2004</w:t>
            </w:r>
          </w:p>
        </w:tc>
        <w:tc>
          <w:tcPr>
            <w:tcW w:w="360" w:type="dxa"/>
            <w:vAlign w:val="bottom"/>
            <w:shd w:val="clear" w:color="auto" w:fill="EAF9E8"/>
          </w:tcPr>
          <w:p>
            <w:pPr>
              <w:spacing w:after="0"/>
              <w:rPr>
                <w:sz w:val="18"/>
                <w:szCs w:val="18"/>
                <w:color w:val="auto"/>
              </w:rPr>
            </w:pPr>
          </w:p>
        </w:tc>
        <w:tc>
          <w:tcPr>
            <w:tcW w:w="1620" w:type="dxa"/>
            <w:vAlign w:val="bottom"/>
            <w:gridSpan w:val="2"/>
            <w:shd w:val="clear" w:color="auto" w:fill="EAF9E8"/>
          </w:tcPr>
          <w:p>
            <w:pPr>
              <w:jc w:val="center"/>
              <w:ind w:right="460"/>
              <w:spacing w:after="0"/>
              <w:rPr>
                <w:sz w:val="20"/>
                <w:szCs w:val="20"/>
                <w:color w:val="auto"/>
              </w:rPr>
            </w:pPr>
            <w:r>
              <w:rPr>
                <w:rFonts w:ascii="Arial" w:cs="Arial" w:eastAsia="Arial" w:hAnsi="Arial"/>
                <w:sz w:val="18"/>
                <w:szCs w:val="18"/>
                <w:color w:val="auto"/>
                <w:w w:val="89"/>
              </w:rPr>
              <w:t>4.84–6.39</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202,251</w:t>
            </w:r>
          </w:p>
        </w:tc>
        <w:tc>
          <w:tcPr>
            <w:tcW w:w="4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4.92</w:t>
            </w: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4</w:t>
            </w:r>
          </w:p>
        </w:tc>
        <w:tc>
          <w:tcPr>
            <w:tcW w:w="1900" w:type="dxa"/>
            <w:vAlign w:val="bottom"/>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202,251</w:t>
            </w: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4.92</w:t>
            </w:r>
          </w:p>
        </w:tc>
      </w:tr>
      <w:tr>
        <w:trPr>
          <w:trHeight w:val="216"/>
        </w:trPr>
        <w:tc>
          <w:tcPr>
            <w:tcW w:w="20" w:type="dxa"/>
            <w:vAlign w:val="bottom"/>
          </w:tcPr>
          <w:p>
            <w:pPr>
              <w:spacing w:after="0"/>
              <w:rPr>
                <w:sz w:val="18"/>
                <w:szCs w:val="18"/>
                <w:color w:val="auto"/>
              </w:rPr>
            </w:pPr>
          </w:p>
        </w:tc>
        <w:tc>
          <w:tcPr>
            <w:tcW w:w="1360" w:type="dxa"/>
            <w:vAlign w:val="bottom"/>
          </w:tcPr>
          <w:p>
            <w:pPr>
              <w:jc w:val="right"/>
              <w:ind w:right="930"/>
              <w:spacing w:after="0"/>
              <w:rPr>
                <w:sz w:val="20"/>
                <w:szCs w:val="20"/>
                <w:color w:val="auto"/>
              </w:rPr>
            </w:pPr>
            <w:r>
              <w:rPr>
                <w:rFonts w:ascii="Arial" w:cs="Arial" w:eastAsia="Arial" w:hAnsi="Arial"/>
                <w:sz w:val="18"/>
                <w:szCs w:val="18"/>
                <w:color w:val="auto"/>
                <w:w w:val="79"/>
              </w:rPr>
              <w:t>2003</w:t>
            </w:r>
          </w:p>
        </w:tc>
        <w:tc>
          <w:tcPr>
            <w:tcW w:w="36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3.72–6.47</w:t>
            </w:r>
          </w:p>
        </w:tc>
        <w:tc>
          <w:tcPr>
            <w:tcW w:w="1260" w:type="dxa"/>
            <w:vAlign w:val="bottom"/>
          </w:tcPr>
          <w:p>
            <w:pPr>
              <w:jc w:val="right"/>
              <w:spacing w:after="0"/>
              <w:rPr>
                <w:sz w:val="20"/>
                <w:szCs w:val="20"/>
                <w:color w:val="auto"/>
              </w:rPr>
            </w:pPr>
            <w:r>
              <w:rPr>
                <w:rFonts w:ascii="Arial" w:cs="Arial" w:eastAsia="Arial" w:hAnsi="Arial"/>
                <w:sz w:val="18"/>
                <w:szCs w:val="18"/>
                <w:color w:val="auto"/>
              </w:rPr>
              <w:t>210,928</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5.98</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900" w:type="dxa"/>
            <w:vAlign w:val="bottom"/>
            <w:gridSpan w:val="3"/>
          </w:tcPr>
          <w:p>
            <w:pPr>
              <w:jc w:val="right"/>
              <w:ind w:right="220"/>
              <w:spacing w:after="0"/>
              <w:rPr>
                <w:sz w:val="20"/>
                <w:szCs w:val="20"/>
                <w:color w:val="auto"/>
              </w:rPr>
            </w:pPr>
            <w:r>
              <w:rPr>
                <w:rFonts w:ascii="Arial" w:cs="Arial" w:eastAsia="Arial" w:hAnsi="Arial"/>
                <w:sz w:val="18"/>
                <w:szCs w:val="18"/>
                <w:color w:val="auto"/>
              </w:rPr>
              <w:t>210,928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5.98</w:t>
            </w:r>
          </w:p>
        </w:tc>
      </w:tr>
      <w:tr>
        <w:trPr>
          <w:trHeight w:val="216"/>
        </w:trPr>
        <w:tc>
          <w:tcPr>
            <w:tcW w:w="20" w:type="dxa"/>
            <w:vAlign w:val="bottom"/>
          </w:tcPr>
          <w:p>
            <w:pPr>
              <w:spacing w:after="0"/>
              <w:rPr>
                <w:sz w:val="18"/>
                <w:szCs w:val="18"/>
                <w:color w:val="auto"/>
              </w:rPr>
            </w:pPr>
          </w:p>
        </w:tc>
        <w:tc>
          <w:tcPr>
            <w:tcW w:w="1360" w:type="dxa"/>
            <w:vAlign w:val="bottom"/>
            <w:shd w:val="clear" w:color="auto" w:fill="EAF9E8"/>
          </w:tcPr>
          <w:p>
            <w:pPr>
              <w:jc w:val="right"/>
              <w:ind w:right="930"/>
              <w:spacing w:after="0"/>
              <w:rPr>
                <w:sz w:val="20"/>
                <w:szCs w:val="20"/>
                <w:color w:val="auto"/>
              </w:rPr>
            </w:pPr>
            <w:r>
              <w:rPr>
                <w:rFonts w:ascii="Arial" w:cs="Arial" w:eastAsia="Arial" w:hAnsi="Arial"/>
                <w:sz w:val="18"/>
                <w:szCs w:val="18"/>
                <w:color w:val="auto"/>
                <w:w w:val="79"/>
              </w:rPr>
              <w:t>2002</w:t>
            </w:r>
          </w:p>
        </w:tc>
        <w:tc>
          <w:tcPr>
            <w:tcW w:w="360" w:type="dxa"/>
            <w:vAlign w:val="bottom"/>
            <w:shd w:val="clear" w:color="auto" w:fill="EAF9E8"/>
          </w:tcPr>
          <w:p>
            <w:pPr>
              <w:spacing w:after="0"/>
              <w:rPr>
                <w:sz w:val="18"/>
                <w:szCs w:val="18"/>
                <w:color w:val="auto"/>
              </w:rPr>
            </w:pPr>
          </w:p>
        </w:tc>
        <w:tc>
          <w:tcPr>
            <w:tcW w:w="1620" w:type="dxa"/>
            <w:vAlign w:val="bottom"/>
            <w:gridSpan w:val="2"/>
            <w:shd w:val="clear" w:color="auto" w:fill="EAF9E8"/>
          </w:tcPr>
          <w:p>
            <w:pPr>
              <w:jc w:val="center"/>
              <w:ind w:right="460"/>
              <w:spacing w:after="0"/>
              <w:rPr>
                <w:sz w:val="20"/>
                <w:szCs w:val="20"/>
                <w:color w:val="auto"/>
              </w:rPr>
            </w:pPr>
            <w:r>
              <w:rPr>
                <w:rFonts w:ascii="Arial" w:cs="Arial" w:eastAsia="Arial" w:hAnsi="Arial"/>
                <w:sz w:val="18"/>
                <w:szCs w:val="18"/>
                <w:color w:val="auto"/>
                <w:w w:val="89"/>
              </w:rPr>
              <w:t>1.13–1.69</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201,097</w:t>
            </w:r>
          </w:p>
        </w:tc>
        <w:tc>
          <w:tcPr>
            <w:tcW w:w="4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1.49</w:t>
            </w: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2</w:t>
            </w:r>
          </w:p>
        </w:tc>
        <w:tc>
          <w:tcPr>
            <w:tcW w:w="1900" w:type="dxa"/>
            <w:vAlign w:val="bottom"/>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201,097</w:t>
            </w: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1.49</w:t>
            </w:r>
          </w:p>
        </w:tc>
      </w:tr>
      <w:tr>
        <w:trPr>
          <w:trHeight w:val="216"/>
        </w:trPr>
        <w:tc>
          <w:tcPr>
            <w:tcW w:w="20" w:type="dxa"/>
            <w:vAlign w:val="bottom"/>
          </w:tcPr>
          <w:p>
            <w:pPr>
              <w:spacing w:after="0"/>
              <w:rPr>
                <w:sz w:val="18"/>
                <w:szCs w:val="18"/>
                <w:color w:val="auto"/>
              </w:rPr>
            </w:pPr>
          </w:p>
        </w:tc>
        <w:tc>
          <w:tcPr>
            <w:tcW w:w="1360" w:type="dxa"/>
            <w:vAlign w:val="bottom"/>
          </w:tcPr>
          <w:p>
            <w:pPr>
              <w:jc w:val="right"/>
              <w:ind w:right="930"/>
              <w:spacing w:after="0"/>
              <w:rPr>
                <w:sz w:val="20"/>
                <w:szCs w:val="20"/>
                <w:color w:val="auto"/>
              </w:rPr>
            </w:pPr>
            <w:r>
              <w:rPr>
                <w:rFonts w:ascii="Arial" w:cs="Arial" w:eastAsia="Arial" w:hAnsi="Arial"/>
                <w:sz w:val="18"/>
                <w:szCs w:val="18"/>
                <w:color w:val="auto"/>
                <w:w w:val="79"/>
              </w:rPr>
              <w:t>2001</w:t>
            </w:r>
          </w:p>
        </w:tc>
        <w:tc>
          <w:tcPr>
            <w:tcW w:w="36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3.49–7.56</w:t>
            </w:r>
          </w:p>
        </w:tc>
        <w:tc>
          <w:tcPr>
            <w:tcW w:w="1260" w:type="dxa"/>
            <w:vAlign w:val="bottom"/>
          </w:tcPr>
          <w:p>
            <w:pPr>
              <w:jc w:val="right"/>
              <w:spacing w:after="0"/>
              <w:rPr>
                <w:sz w:val="20"/>
                <w:szCs w:val="20"/>
                <w:color w:val="auto"/>
              </w:rPr>
            </w:pPr>
            <w:r>
              <w:rPr>
                <w:rFonts w:ascii="Arial" w:cs="Arial" w:eastAsia="Arial" w:hAnsi="Arial"/>
                <w:sz w:val="18"/>
                <w:szCs w:val="18"/>
                <w:color w:val="auto"/>
              </w:rPr>
              <w:t>645,027</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5.67</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4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645,027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5.67</w:t>
            </w: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36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1140" w:type="dxa"/>
            <w:vAlign w:val="bottom"/>
            <w:shd w:val="clear" w:color="auto" w:fill="EAF9E8"/>
          </w:tcPr>
          <w:p>
            <w:pPr>
              <w:spacing w:after="0"/>
              <w:rPr>
                <w:sz w:val="20"/>
                <w:szCs w:val="20"/>
                <w:color w:val="auto"/>
              </w:rPr>
            </w:pPr>
          </w:p>
        </w:tc>
        <w:tc>
          <w:tcPr>
            <w:tcW w:w="480" w:type="dxa"/>
            <w:vAlign w:val="bottom"/>
            <w:shd w:val="clear" w:color="auto" w:fill="EAF9E8"/>
          </w:tcPr>
          <w:p>
            <w:pPr>
              <w:spacing w:after="0"/>
              <w:rPr>
                <w:sz w:val="20"/>
                <w:szCs w:val="20"/>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8,084,953</w:t>
            </w:r>
          </w:p>
        </w:tc>
        <w:tc>
          <w:tcPr>
            <w:tcW w:w="48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080" w:type="dxa"/>
            <w:vAlign w:val="bottom"/>
            <w:shd w:val="clear" w:color="auto" w:fill="EAF9E8"/>
          </w:tcPr>
          <w:p>
            <w:pPr>
              <w:spacing w:after="0"/>
              <w:rPr>
                <w:sz w:val="20"/>
                <w:szCs w:val="20"/>
                <w:color w:val="auto"/>
              </w:rPr>
            </w:pPr>
          </w:p>
        </w:tc>
        <w:tc>
          <w:tcPr>
            <w:tcW w:w="440" w:type="dxa"/>
            <w:vAlign w:val="bottom"/>
            <w:shd w:val="clear" w:color="auto" w:fill="EAF9E8"/>
          </w:tcPr>
          <w:p>
            <w:pPr>
              <w:spacing w:after="0"/>
              <w:rPr>
                <w:sz w:val="20"/>
                <w:szCs w:val="20"/>
                <w:color w:val="auto"/>
              </w:rPr>
            </w:pPr>
          </w:p>
        </w:tc>
        <w:tc>
          <w:tcPr>
            <w:tcW w:w="1140" w:type="dxa"/>
            <w:vAlign w:val="bottom"/>
            <w:shd w:val="clear" w:color="auto" w:fill="EAF9E8"/>
          </w:tcPr>
          <w:p>
            <w:pPr>
              <w:spacing w:after="0"/>
              <w:rPr>
                <w:sz w:val="20"/>
                <w:szCs w:val="20"/>
                <w:color w:val="auto"/>
              </w:rPr>
            </w:pPr>
          </w:p>
        </w:tc>
        <w:tc>
          <w:tcPr>
            <w:tcW w:w="440" w:type="dxa"/>
            <w:vAlign w:val="bottom"/>
            <w:shd w:val="clear" w:color="auto" w:fill="EAF9E8"/>
          </w:tcPr>
          <w:p>
            <w:pPr>
              <w:spacing w:after="0"/>
              <w:rPr>
                <w:sz w:val="20"/>
                <w:szCs w:val="20"/>
                <w:color w:val="auto"/>
              </w:rPr>
            </w:pPr>
          </w:p>
        </w:tc>
        <w:tc>
          <w:tcPr>
            <w:tcW w:w="14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4,122,453</w:t>
            </w:r>
          </w:p>
        </w:tc>
        <w:tc>
          <w:tcPr>
            <w:tcW w:w="22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08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top w:val="single" w:sz="8" w:color="EAF9E8"/>
            </w:tcBorders>
            <w:shd w:val="clear" w:color="auto" w:fill="EAF9E8"/>
          </w:tcPr>
          <w:p>
            <w:pPr>
              <w:spacing w:after="0" w:line="20" w:lineRule="exact"/>
              <w:rPr>
                <w:sz w:val="1"/>
                <w:szCs w:val="1"/>
                <w:color w:val="auto"/>
              </w:rPr>
            </w:pPr>
          </w:p>
        </w:tc>
        <w:tc>
          <w:tcPr>
            <w:tcW w:w="360" w:type="dxa"/>
            <w:vAlign w:val="bottom"/>
            <w:tcBorders>
              <w:top w:val="single" w:sz="8" w:color="EAF9E8"/>
            </w:tcBorders>
            <w:shd w:val="clear" w:color="auto" w:fill="EAF9E8"/>
          </w:tcPr>
          <w:p>
            <w:pPr>
              <w:spacing w:after="0" w:line="20" w:lineRule="exact"/>
              <w:rPr>
                <w:sz w:val="1"/>
                <w:szCs w:val="1"/>
                <w:color w:val="auto"/>
              </w:rPr>
            </w:pPr>
          </w:p>
        </w:tc>
        <w:tc>
          <w:tcPr>
            <w:tcW w:w="1140" w:type="dxa"/>
            <w:vAlign w:val="bottom"/>
            <w:tcBorders>
              <w:top w:val="single" w:sz="8" w:color="EAF9E8"/>
            </w:tcBorders>
            <w:shd w:val="clear" w:color="auto" w:fill="EAF9E8"/>
          </w:tcPr>
          <w:p>
            <w:pPr>
              <w:spacing w:after="0" w:line="20" w:lineRule="exact"/>
              <w:rPr>
                <w:sz w:val="1"/>
                <w:szCs w:val="1"/>
                <w:color w:val="auto"/>
              </w:rPr>
            </w:pPr>
          </w:p>
        </w:tc>
        <w:tc>
          <w:tcPr>
            <w:tcW w:w="480" w:type="dxa"/>
            <w:vAlign w:val="bottom"/>
            <w:tcBorders>
              <w:top w:val="single" w:sz="8" w:color="EAF9E8"/>
            </w:tcBorders>
            <w:shd w:val="clear" w:color="auto" w:fill="EAF9E8"/>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1080" w:type="dxa"/>
            <w:vAlign w:val="bottom"/>
            <w:tcBorders>
              <w:top w:val="single" w:sz="8" w:color="EAF9E8"/>
            </w:tcBorders>
            <w:shd w:val="clear" w:color="auto" w:fill="EAF9E8"/>
          </w:tcPr>
          <w:p>
            <w:pPr>
              <w:spacing w:after="0" w:line="20" w:lineRule="exact"/>
              <w:rPr>
                <w:sz w:val="1"/>
                <w:szCs w:val="1"/>
                <w:color w:val="auto"/>
              </w:rPr>
            </w:pPr>
          </w:p>
        </w:tc>
        <w:tc>
          <w:tcPr>
            <w:tcW w:w="440" w:type="dxa"/>
            <w:vAlign w:val="bottom"/>
            <w:tcBorders>
              <w:top w:val="single" w:sz="8" w:color="EAF9E8"/>
            </w:tcBorders>
            <w:shd w:val="clear" w:color="auto" w:fill="EAF9E8"/>
          </w:tcPr>
          <w:p>
            <w:pPr>
              <w:spacing w:after="0" w:line="20" w:lineRule="exact"/>
              <w:rPr>
                <w:sz w:val="1"/>
                <w:szCs w:val="1"/>
                <w:color w:val="auto"/>
              </w:rPr>
            </w:pPr>
          </w:p>
        </w:tc>
        <w:tc>
          <w:tcPr>
            <w:tcW w:w="1140" w:type="dxa"/>
            <w:vAlign w:val="bottom"/>
            <w:tcBorders>
              <w:top w:val="single" w:sz="8" w:color="EAF9E8"/>
            </w:tcBorders>
            <w:shd w:val="clear" w:color="auto" w:fill="EAF9E8"/>
          </w:tcPr>
          <w:p>
            <w:pPr>
              <w:spacing w:after="0" w:line="20" w:lineRule="exact"/>
              <w:rPr>
                <w:sz w:val="1"/>
                <w:szCs w:val="1"/>
                <w:color w:val="auto"/>
              </w:rPr>
            </w:pPr>
          </w:p>
        </w:tc>
        <w:tc>
          <w:tcPr>
            <w:tcW w:w="440" w:type="dxa"/>
            <w:vAlign w:val="bottom"/>
            <w:tcBorders>
              <w:top w:val="single" w:sz="8" w:color="EAF9E8"/>
            </w:tcBorders>
            <w:shd w:val="clear" w:color="auto" w:fill="EAF9E8"/>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108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As a result of the Separation, OCN stock option awards are held by both Ocwen and Altisource employees as follows at December 31, 2010:</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shd w:val="clear" w:color="auto" w:fill="EAF9E8"/>
          </w:tcPr>
          <w:p>
            <w:pPr>
              <w:spacing w:after="0"/>
              <w:rPr>
                <w:sz w:val="20"/>
                <w:szCs w:val="20"/>
                <w:color w:val="auto"/>
              </w:rPr>
            </w:pPr>
            <w:r>
              <w:rPr>
                <w:rFonts w:ascii="Arial" w:cs="Arial" w:eastAsia="Arial" w:hAnsi="Arial"/>
                <w:sz w:val="18"/>
                <w:szCs w:val="18"/>
                <w:color w:val="auto"/>
              </w:rPr>
              <w:t>Held by Ocwen employees</w:t>
            </w:r>
          </w:p>
        </w:tc>
        <w:tc>
          <w:tcPr>
            <w:tcW w:w="13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5,995,063</w:t>
            </w:r>
          </w:p>
        </w:tc>
      </w:tr>
      <w:tr>
        <w:trPr>
          <w:trHeight w:val="223"/>
        </w:trPr>
        <w:tc>
          <w:tcPr>
            <w:tcW w:w="10060" w:type="dxa"/>
            <w:vAlign w:val="bottom"/>
          </w:tcPr>
          <w:p>
            <w:pPr>
              <w:spacing w:after="0"/>
              <w:rPr>
                <w:sz w:val="20"/>
                <w:szCs w:val="20"/>
                <w:color w:val="auto"/>
              </w:rPr>
            </w:pPr>
            <w:r>
              <w:rPr>
                <w:rFonts w:ascii="Arial" w:cs="Arial" w:eastAsia="Arial" w:hAnsi="Arial"/>
                <w:sz w:val="18"/>
                <w:szCs w:val="18"/>
                <w:color w:val="auto"/>
              </w:rPr>
              <w:t>Held by Altisource employees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2,089,890</w:t>
            </w:r>
          </w:p>
        </w:tc>
        <w:tc>
          <w:tcPr>
            <w:tcW w:w="100" w:type="dxa"/>
            <w:vAlign w:val="bottom"/>
          </w:tcPr>
          <w:p>
            <w:pPr>
              <w:spacing w:after="0"/>
              <w:rPr>
                <w:sz w:val="19"/>
                <w:szCs w:val="19"/>
                <w:color w:val="auto"/>
              </w:rPr>
            </w:pPr>
          </w:p>
        </w:tc>
      </w:tr>
      <w:tr>
        <w:trPr>
          <w:trHeight w:val="257"/>
        </w:trPr>
        <w:tc>
          <w:tcPr>
            <w:tcW w:w="100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outstanding</w:t>
            </w:r>
          </w:p>
        </w:tc>
        <w:tc>
          <w:tcPr>
            <w:tcW w:w="12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8,084,953</w:t>
            </w:r>
          </w:p>
        </w:tc>
        <w:tc>
          <w:tcPr>
            <w:tcW w:w="100" w:type="dxa"/>
            <w:vAlign w:val="bottom"/>
            <w:tcBorders>
              <w:bottom w:val="single" w:sz="8" w:color="EAF9E8"/>
            </w:tcBorders>
            <w:shd w:val="clear" w:color="auto" w:fill="EAF9E8"/>
          </w:tcPr>
          <w:p>
            <w:pPr>
              <w:spacing w:after="0"/>
              <w:rPr>
                <w:sz w:val="22"/>
                <w:szCs w:val="22"/>
                <w:color w:val="auto"/>
              </w:rPr>
            </w:pPr>
          </w:p>
        </w:tc>
      </w:tr>
    </w:tbl>
    <w:p>
      <w:pPr>
        <w:spacing w:after="0" w:line="20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 addition, at December 31, 2010, Ocwen employees held 1,808,703 options to purchase Altisource common stock.</w:t>
      </w:r>
    </w:p>
    <w:p>
      <w:pPr>
        <w:spacing w:after="0" w:line="225" w:lineRule="exact"/>
        <w:rPr>
          <w:sz w:val="20"/>
          <w:szCs w:val="20"/>
          <w:color w:val="auto"/>
        </w:rPr>
      </w:pPr>
    </w:p>
    <w:p>
      <w:pPr>
        <w:ind w:right="60" w:firstLine="663"/>
        <w:spacing w:after="0" w:line="297" w:lineRule="auto"/>
        <w:rPr>
          <w:sz w:val="20"/>
          <w:szCs w:val="20"/>
          <w:color w:val="auto"/>
        </w:rPr>
      </w:pPr>
      <w:r>
        <w:rPr>
          <w:rFonts w:ascii="Arial" w:cs="Arial" w:eastAsia="Arial" w:hAnsi="Arial"/>
          <w:sz w:val="16"/>
          <w:szCs w:val="16"/>
          <w:color w:val="auto"/>
        </w:rPr>
        <w:t>We are responsible for fulfilling all stock incentive awards related to OCN common stock, and Altisource is responsible for fulfilling all stock incentive awards related to Altisource common stock regardless of whether such stock incentive awards are held by our or Altisource’s employees. Notwithstanding the foregoing, our stock-based compensation expense, resulting from awards outstanding at the Separation date, is based on the stock incentive awards held by our employees regardless of whether such awards were issued by Ocwen or Altisource. Accordingly, stock-based compensation that we recognize as expense with respect to Altisource stock incentive awards is included in “Additional paid-in capital” on our Consolidated Balance Sheet.</w:t>
      </w:r>
    </w:p>
    <w:p>
      <w:pPr>
        <w:spacing w:after="0" w:line="158" w:lineRule="exact"/>
        <w:rPr>
          <w:sz w:val="20"/>
          <w:szCs w:val="20"/>
          <w:color w:val="auto"/>
        </w:rPr>
      </w:pPr>
    </w:p>
    <w:p>
      <w:pPr>
        <w:ind w:right="220" w:firstLine="663"/>
        <w:spacing w:after="0" w:line="259" w:lineRule="auto"/>
        <w:rPr>
          <w:sz w:val="20"/>
          <w:szCs w:val="20"/>
          <w:color w:val="auto"/>
        </w:rPr>
      </w:pPr>
      <w:r>
        <w:rPr>
          <w:rFonts w:ascii="Arial" w:cs="Arial" w:eastAsia="Arial" w:hAnsi="Arial"/>
          <w:sz w:val="18"/>
          <w:szCs w:val="18"/>
          <w:color w:val="auto"/>
        </w:rPr>
        <w:t>The total intrinsic value of stock options exercised, which is defined as the amount by which the market value of the stock on the date of exercise exceeds the exercise price, was $4,265, $2,306 and $13 for 2010, 2009 and 2008, respectively. Excluding 1,615,000 market-based options awarded in 2008 and 2009 that have not met their performance criteria, the net aggregate intrinsic value of stock options outstanding and stock options exercisable at December 31, 2010 was $29,174 and $18,182, respectively.</w:t>
      </w:r>
    </w:p>
    <w:p>
      <w:pPr>
        <w:spacing w:after="0" w:line="187" w:lineRule="exact"/>
        <w:rPr>
          <w:sz w:val="20"/>
          <w:szCs w:val="20"/>
          <w:color w:val="auto"/>
        </w:rPr>
      </w:pPr>
    </w:p>
    <w:p>
      <w:pPr>
        <w:ind w:right="80" w:firstLine="666"/>
        <w:spacing w:after="0" w:line="264" w:lineRule="auto"/>
        <w:rPr>
          <w:sz w:val="20"/>
          <w:szCs w:val="20"/>
          <w:color w:val="auto"/>
        </w:rPr>
      </w:pPr>
      <w:r>
        <w:rPr>
          <w:rFonts w:ascii="Arial" w:cs="Arial" w:eastAsia="Arial" w:hAnsi="Arial"/>
          <w:sz w:val="18"/>
          <w:szCs w:val="18"/>
          <w:color w:val="auto"/>
        </w:rPr>
        <w:t>Compensation expense related to options is measured based on the grant-date fair value of the options using an appropriate valuation model based on the vesting condition of the award. The fair value of the time-based options was determined using the Black-Scholes options pricing model, while a lattice (binomial) model was used to determine the fair value of the market-based options.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assumptions were used to value the 2009 and 2008 equity incentive award as of the grant dates.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2009</w:t>
            </w:r>
          </w:p>
        </w:tc>
        <w:tc>
          <w:tcPr>
            <w:tcW w:w="8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2008</w:t>
            </w:r>
          </w:p>
        </w:tc>
        <w:tc>
          <w:tcPr>
            <w:tcW w:w="8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Black-Scholes</w:t>
            </w:r>
          </w:p>
        </w:tc>
        <w:tc>
          <w:tcPr>
            <w:tcW w:w="34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Binomial</w:t>
            </w: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Black-Scholes</w:t>
            </w:r>
          </w:p>
        </w:tc>
        <w:tc>
          <w:tcPr>
            <w:tcW w:w="380" w:type="dxa"/>
            <w:vAlign w:val="bottom"/>
          </w:tcPr>
          <w:p>
            <w:pPr>
              <w:spacing w:after="0"/>
              <w:rPr>
                <w:sz w:val="19"/>
                <w:szCs w:val="19"/>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Binomial</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EAF9E8"/>
          </w:tcPr>
          <w:p>
            <w:pPr>
              <w:spacing w:after="0"/>
              <w:rPr>
                <w:sz w:val="20"/>
                <w:szCs w:val="20"/>
                <w:color w:val="auto"/>
              </w:rPr>
            </w:pPr>
            <w:r>
              <w:rPr>
                <w:rFonts w:ascii="Arial" w:cs="Arial" w:eastAsia="Arial" w:hAnsi="Arial"/>
                <w:sz w:val="18"/>
                <w:szCs w:val="18"/>
                <w:color w:val="auto"/>
              </w:rPr>
              <w:t>Risk-free interest rate</w:t>
            </w:r>
          </w:p>
        </w:tc>
        <w:tc>
          <w:tcPr>
            <w:tcW w:w="1480" w:type="dxa"/>
            <w:vAlign w:val="bottom"/>
            <w:shd w:val="clear" w:color="auto" w:fill="EAF9E8"/>
          </w:tcPr>
          <w:p>
            <w:pPr>
              <w:spacing w:after="0"/>
              <w:rPr>
                <w:sz w:val="18"/>
                <w:szCs w:val="18"/>
                <w:color w:val="auto"/>
              </w:rPr>
            </w:pPr>
          </w:p>
        </w:tc>
        <w:tc>
          <w:tcPr>
            <w:tcW w:w="7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w w:val="93"/>
              </w:rPr>
              <w:t>2.51%</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0.38</w:t>
            </w:r>
          </w:p>
        </w:tc>
        <w:tc>
          <w:tcPr>
            <w:tcW w:w="1000" w:type="dxa"/>
            <w:vAlign w:val="bottom"/>
            <w:shd w:val="clear" w:color="auto" w:fill="EAF9E8"/>
          </w:tcPr>
          <w:p>
            <w:pPr>
              <w:ind w:left="20"/>
              <w:spacing w:after="0"/>
              <w:rPr>
                <w:sz w:val="20"/>
                <w:szCs w:val="20"/>
                <w:color w:val="auto"/>
              </w:rPr>
            </w:pPr>
            <w:r>
              <w:rPr>
                <w:rFonts w:ascii="Arial" w:cs="Arial" w:eastAsia="Arial" w:hAnsi="Arial"/>
                <w:sz w:val="18"/>
                <w:szCs w:val="18"/>
                <w:color w:val="auto"/>
              </w:rPr>
              <w:t>– 3.94%</w:t>
            </w: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9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3.48%</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2.15</w:t>
            </w:r>
          </w:p>
        </w:tc>
        <w:tc>
          <w:tcPr>
            <w:tcW w:w="110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 4.28%</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4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1000" w:type="dxa"/>
            <w:vAlign w:val="bottom"/>
          </w:tcPr>
          <w:p>
            <w:pPr>
              <w:ind w:left="20"/>
              <w:spacing w:after="0"/>
              <w:rPr>
                <w:sz w:val="20"/>
                <w:szCs w:val="20"/>
                <w:color w:val="auto"/>
              </w:rPr>
            </w:pPr>
            <w:r>
              <w:rPr>
                <w:rFonts w:ascii="Arial" w:cs="Arial" w:eastAsia="Arial" w:hAnsi="Arial"/>
                <w:sz w:val="18"/>
                <w:szCs w:val="18"/>
                <w:color w:val="auto"/>
              </w:rPr>
              <w:t>– 46%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 46%</w:t>
            </w:r>
          </w:p>
        </w:tc>
      </w:tr>
      <w:tr>
        <w:trPr>
          <w:trHeight w:val="216"/>
        </w:trPr>
        <w:tc>
          <w:tcPr>
            <w:tcW w:w="20" w:type="dxa"/>
            <w:vAlign w:val="bottom"/>
          </w:tcPr>
          <w:p>
            <w:pPr>
              <w:spacing w:after="0"/>
              <w:rPr>
                <w:sz w:val="18"/>
                <w:szCs w:val="18"/>
                <w:color w:val="auto"/>
              </w:rPr>
            </w:pPr>
          </w:p>
        </w:tc>
        <w:tc>
          <w:tcPr>
            <w:tcW w:w="2960" w:type="dxa"/>
            <w:vAlign w:val="bottom"/>
            <w:shd w:val="clear" w:color="auto" w:fill="EAF9E8"/>
          </w:tcPr>
          <w:p>
            <w:pPr>
              <w:spacing w:after="0"/>
              <w:rPr>
                <w:sz w:val="20"/>
                <w:szCs w:val="20"/>
                <w:color w:val="auto"/>
              </w:rPr>
            </w:pPr>
            <w:r>
              <w:rPr>
                <w:rFonts w:ascii="Arial" w:cs="Arial" w:eastAsia="Arial" w:hAnsi="Arial"/>
                <w:sz w:val="18"/>
                <w:szCs w:val="18"/>
                <w:color w:val="auto"/>
              </w:rPr>
              <w:t>Expected dividend yield</w:t>
            </w:r>
          </w:p>
        </w:tc>
        <w:tc>
          <w:tcPr>
            <w:tcW w:w="1480" w:type="dxa"/>
            <w:vAlign w:val="bottom"/>
            <w:shd w:val="clear" w:color="auto" w:fill="EAF9E8"/>
          </w:tcPr>
          <w:p>
            <w:pPr>
              <w:spacing w:after="0"/>
              <w:rPr>
                <w:sz w:val="18"/>
                <w:szCs w:val="18"/>
                <w:color w:val="auto"/>
              </w:rPr>
            </w:pPr>
          </w:p>
        </w:tc>
        <w:tc>
          <w:tcPr>
            <w:tcW w:w="72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shd w:val="clear" w:color="auto" w:fill="EAF9E8"/>
          </w:tcPr>
          <w:p>
            <w:pPr>
              <w:spacing w:after="0"/>
              <w:rPr>
                <w:sz w:val="18"/>
                <w:szCs w:val="18"/>
                <w:color w:val="auto"/>
              </w:rPr>
            </w:pPr>
          </w:p>
        </w:tc>
        <w:tc>
          <w:tcPr>
            <w:tcW w:w="1000" w:type="dxa"/>
            <w:vAlign w:val="bottom"/>
            <w:shd w:val="clear" w:color="auto" w:fill="EAF9E8"/>
          </w:tcPr>
          <w:p>
            <w:pPr>
              <w:ind w:lef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96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ind w:lef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Expected option life (in years)</w:t>
            </w:r>
          </w:p>
        </w:tc>
        <w:tc>
          <w:tcPr>
            <w:tcW w:w="1480" w:type="dxa"/>
            <w:vAlign w:val="bottom"/>
          </w:tcPr>
          <w:p>
            <w:pPr>
              <w:spacing w:after="0"/>
              <w:rPr>
                <w:sz w:val="18"/>
                <w:szCs w:val="18"/>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5</w:t>
            </w:r>
          </w:p>
        </w:tc>
        <w:tc>
          <w:tcPr>
            <w:tcW w:w="820" w:type="dxa"/>
            <w:vAlign w:val="bottom"/>
          </w:tcPr>
          <w:p>
            <w:pPr>
              <w:spacing w:after="0"/>
              <w:rPr>
                <w:sz w:val="18"/>
                <w:szCs w:val="18"/>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2"/>
          </w:tcPr>
          <w:p>
            <w:pPr>
              <w:jc w:val="right"/>
              <w:ind w:right="380"/>
              <w:spacing w:after="0"/>
              <w:rPr>
                <w:sz w:val="20"/>
                <w:szCs w:val="20"/>
                <w:color w:val="auto"/>
              </w:rPr>
            </w:pPr>
            <w:r>
              <w:rPr>
                <w:rFonts w:ascii="Arial" w:cs="Arial" w:eastAsia="Arial" w:hAnsi="Arial"/>
                <w:sz w:val="18"/>
                <w:szCs w:val="18"/>
                <w:color w:val="auto"/>
              </w:rPr>
              <w:t>5</w:t>
            </w:r>
          </w:p>
        </w:tc>
        <w:tc>
          <w:tcPr>
            <w:tcW w:w="82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960" w:type="dxa"/>
            <w:vAlign w:val="bottom"/>
            <w:shd w:val="clear" w:color="auto" w:fill="EAF9E8"/>
          </w:tcPr>
          <w:p>
            <w:pPr>
              <w:spacing w:after="0"/>
              <w:rPr>
                <w:sz w:val="20"/>
                <w:szCs w:val="20"/>
                <w:color w:val="auto"/>
              </w:rPr>
            </w:pPr>
            <w:r>
              <w:rPr>
                <w:rFonts w:ascii="Arial" w:cs="Arial" w:eastAsia="Arial" w:hAnsi="Arial"/>
                <w:sz w:val="18"/>
                <w:szCs w:val="18"/>
                <w:color w:val="auto"/>
              </w:rPr>
              <w:t>Contractual life (in years)</w:t>
            </w:r>
          </w:p>
        </w:tc>
        <w:tc>
          <w:tcPr>
            <w:tcW w:w="1480" w:type="dxa"/>
            <w:vAlign w:val="bottom"/>
            <w:shd w:val="clear" w:color="auto" w:fill="EAF9E8"/>
          </w:tcPr>
          <w:p>
            <w:pPr>
              <w:spacing w:after="0"/>
              <w:rPr>
                <w:sz w:val="18"/>
                <w:szCs w:val="18"/>
                <w:color w:val="auto"/>
              </w:rPr>
            </w:pPr>
          </w:p>
        </w:tc>
        <w:tc>
          <w:tcPr>
            <w:tcW w:w="72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shd w:val="clear" w:color="auto" w:fill="EAF9E8"/>
          </w:tcPr>
          <w:p>
            <w:pPr>
              <w:spacing w:after="0"/>
              <w:rPr>
                <w:sz w:val="18"/>
                <w:szCs w:val="18"/>
                <w:color w:val="auto"/>
              </w:rPr>
            </w:pPr>
          </w:p>
        </w:tc>
        <w:tc>
          <w:tcPr>
            <w:tcW w:w="1000" w:type="dxa"/>
            <w:vAlign w:val="bottom"/>
            <w:shd w:val="clear" w:color="auto" w:fill="EAF9E8"/>
          </w:tcPr>
          <w:p>
            <w:pPr>
              <w:ind w:left="4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96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shd w:val="clear" w:color="auto" w:fill="EAF9E8"/>
          </w:tcPr>
          <w:p>
            <w:pPr>
              <w:spacing w:after="0"/>
              <w:rPr>
                <w:sz w:val="18"/>
                <w:szCs w:val="18"/>
                <w:color w:val="auto"/>
              </w:rPr>
            </w:pPr>
          </w:p>
        </w:tc>
        <w:tc>
          <w:tcPr>
            <w:tcW w:w="1000" w:type="dxa"/>
            <w:vAlign w:val="bottom"/>
            <w:shd w:val="clear" w:color="auto" w:fill="EAF9E8"/>
          </w:tcPr>
          <w:p>
            <w:pPr>
              <w:ind w:left="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EAF9E8"/>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Fair value</w:t>
            </w:r>
          </w:p>
        </w:tc>
        <w:tc>
          <w:tcPr>
            <w:tcW w:w="1480" w:type="dxa"/>
            <w:vAlign w:val="bottom"/>
          </w:tcPr>
          <w:p>
            <w:pPr>
              <w:jc w:val="right"/>
              <w:ind w:right="131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3.96</w:t>
            </w: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9"/>
              </w:rPr>
              <w:t>$3.99 and $3.40</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380"/>
              <w:spacing w:after="0"/>
              <w:rPr>
                <w:sz w:val="20"/>
                <w:szCs w:val="20"/>
                <w:color w:val="auto"/>
              </w:rPr>
            </w:pPr>
            <w:r>
              <w:rPr>
                <w:rFonts w:ascii="Arial" w:cs="Arial" w:eastAsia="Arial" w:hAnsi="Arial"/>
                <w:sz w:val="18"/>
                <w:szCs w:val="18"/>
                <w:color w:val="auto"/>
              </w:rPr>
              <w:t>1.01</w:t>
            </w:r>
          </w:p>
        </w:tc>
        <w:tc>
          <w:tcPr>
            <w:tcW w:w="192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$0.87 and $0.65</w:t>
            </w:r>
          </w:p>
        </w:tc>
      </w:tr>
      <w:tr>
        <w:trPr>
          <w:trHeight w:val="566"/>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F-47</w:t>
            </w: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5"/>
        </w:trPr>
        <w:tc>
          <w:tcPr>
            <w:tcW w:w="20" w:type="dxa"/>
            <w:vAlign w:val="bottom"/>
          </w:tcPr>
          <w:p>
            <w:pPr>
              <w:spacing w:after="0"/>
              <w:rPr>
                <w:sz w:val="9"/>
                <w:szCs w:val="9"/>
                <w:color w:val="auto"/>
              </w:rPr>
            </w:pPr>
          </w:p>
        </w:tc>
        <w:tc>
          <w:tcPr>
            <w:tcW w:w="29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07" w:name="page108"/>
    <w:bookmarkEnd w:id="107"/>
    <w:p>
      <w:pPr>
        <w:ind w:right="400" w:firstLine="486"/>
        <w:spacing w:after="0" w:line="277" w:lineRule="auto"/>
        <w:rPr>
          <w:sz w:val="20"/>
          <w:szCs w:val="20"/>
          <w:color w:val="auto"/>
        </w:rPr>
      </w:pPr>
      <w:r>
        <w:rPr>
          <w:rFonts w:ascii="Arial" w:cs="Arial" w:eastAsia="Arial" w:hAnsi="Arial"/>
          <w:sz w:val="18"/>
          <w:szCs w:val="18"/>
          <w:color w:val="auto"/>
        </w:rPr>
        <w:t>The following table sets forth equity-based compensation related to stock options and stock awards and the related excess tax benefit for the years ended December 31: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2009</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Employee compensation expense:</w:t>
            </w:r>
          </w:p>
        </w:tc>
        <w:tc>
          <w:tcPr>
            <w:tcW w:w="840" w:type="dxa"/>
            <w:vAlign w:val="bottom"/>
            <w:tcBorders>
              <w:top w:val="single" w:sz="8" w:color="auto"/>
            </w:tcBorders>
            <w:shd w:val="clear" w:color="auto" w:fill="EAF9E8"/>
          </w:tcPr>
          <w:p>
            <w:pPr>
              <w:spacing w:after="0"/>
              <w:rPr>
                <w:sz w:val="18"/>
                <w:szCs w:val="18"/>
                <w:color w:val="auto"/>
              </w:rPr>
            </w:pPr>
          </w:p>
        </w:tc>
        <w:tc>
          <w:tcPr>
            <w:tcW w:w="420" w:type="dxa"/>
            <w:vAlign w:val="bottom"/>
            <w:tcBorders>
              <w:top w:val="single" w:sz="8" w:color="auto"/>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20" w:type="dxa"/>
            <w:vAlign w:val="bottom"/>
            <w:tcBorders>
              <w:top w:val="single" w:sz="8" w:color="auto"/>
            </w:tcBorders>
            <w:shd w:val="clear" w:color="auto" w:fill="EAF9E8"/>
          </w:tcPr>
          <w:p>
            <w:pPr>
              <w:spacing w:after="0"/>
              <w:rPr>
                <w:sz w:val="18"/>
                <w:szCs w:val="18"/>
                <w:color w:val="auto"/>
              </w:rPr>
            </w:pPr>
          </w:p>
        </w:tc>
        <w:tc>
          <w:tcPr>
            <w:tcW w:w="420" w:type="dxa"/>
            <w:vAlign w:val="bottom"/>
            <w:tcBorders>
              <w:top w:val="single" w:sz="8" w:color="auto"/>
            </w:tcBorders>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Stock option awards</w:t>
            </w:r>
          </w:p>
        </w:tc>
        <w:tc>
          <w:tcPr>
            <w:tcW w:w="840" w:type="dxa"/>
            <w:vAlign w:val="bottom"/>
          </w:tcPr>
          <w:p>
            <w:pPr>
              <w:jc w:val="right"/>
              <w:ind w:right="677"/>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1,088</w:t>
            </w:r>
          </w:p>
        </w:tc>
        <w:tc>
          <w:tcPr>
            <w:tcW w:w="10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1,802</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1,569</w:t>
            </w: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Stock awards</w:t>
            </w:r>
          </w:p>
        </w:tc>
        <w:tc>
          <w:tcPr>
            <w:tcW w:w="840" w:type="dxa"/>
            <w:vAlign w:val="bottom"/>
            <w:shd w:val="clear" w:color="auto" w:fill="EAF9E8"/>
          </w:tcPr>
          <w:p>
            <w:pPr>
              <w:spacing w:after="0"/>
              <w:rPr>
                <w:sz w:val="18"/>
                <w:szCs w:val="18"/>
                <w:color w:val="auto"/>
              </w:rPr>
            </w:pPr>
          </w:p>
        </w:tc>
        <w:tc>
          <w:tcPr>
            <w:tcW w:w="6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6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28</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420</w:t>
            </w:r>
          </w:p>
        </w:tc>
      </w:tr>
      <w:tr>
        <w:trPr>
          <w:trHeight w:val="230"/>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Excess tax benefit related to share-based awards</w:t>
            </w:r>
          </w:p>
        </w:tc>
        <w:tc>
          <w:tcPr>
            <w:tcW w:w="84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3,157</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551</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r>
    </w:tbl>
    <w:p>
      <w:pPr>
        <w:spacing w:after="0" w:line="187" w:lineRule="exact"/>
        <w:rPr>
          <w:sz w:val="20"/>
          <w:szCs w:val="20"/>
          <w:color w:val="auto"/>
        </w:rPr>
      </w:pPr>
    </w:p>
    <w:p>
      <w:pPr>
        <w:jc w:val="both"/>
        <w:ind w:right="80" w:firstLine="656"/>
        <w:spacing w:after="0" w:line="277" w:lineRule="auto"/>
        <w:rPr>
          <w:sz w:val="20"/>
          <w:szCs w:val="20"/>
          <w:color w:val="auto"/>
        </w:rPr>
      </w:pPr>
      <w:r>
        <w:rPr>
          <w:rFonts w:ascii="Arial" w:cs="Arial" w:eastAsia="Arial" w:hAnsi="Arial"/>
          <w:sz w:val="18"/>
          <w:szCs w:val="18"/>
          <w:color w:val="auto"/>
        </w:rPr>
        <w:t>As of December 31, 2010, unrecognized compensation costs related to non-vested stock options amounted to $1,741, which will be recognized over a weighted-average remaining requisite service period of approximately 1.88 years.</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29</w:t>
      </w:r>
      <w:r>
        <w:rPr>
          <w:sz w:val="20"/>
          <w:szCs w:val="20"/>
          <w:color w:val="auto"/>
        </w:rPr>
        <w:tab/>
      </w:r>
      <w:r>
        <w:rPr>
          <w:rFonts w:ascii="Arial" w:cs="Arial" w:eastAsia="Arial" w:hAnsi="Arial"/>
          <w:sz w:val="17"/>
          <w:szCs w:val="17"/>
          <w:b w:val="1"/>
          <w:bCs w:val="1"/>
          <w:color w:val="auto"/>
        </w:rPr>
        <w:t>BUSINESS SEGMENT REPORTING</w:t>
      </w:r>
    </w:p>
    <w:p>
      <w:pPr>
        <w:spacing w:after="0" w:line="229" w:lineRule="exact"/>
        <w:rPr>
          <w:sz w:val="20"/>
          <w:szCs w:val="20"/>
          <w:color w:val="auto"/>
        </w:rPr>
      </w:pPr>
    </w:p>
    <w:p>
      <w:pPr>
        <w:ind w:right="20" w:firstLine="666"/>
        <w:spacing w:after="0" w:line="293" w:lineRule="auto"/>
        <w:rPr>
          <w:sz w:val="20"/>
          <w:szCs w:val="20"/>
          <w:color w:val="auto"/>
        </w:rPr>
      </w:pPr>
      <w:r>
        <w:rPr>
          <w:rFonts w:ascii="Arial" w:cs="Arial" w:eastAsia="Arial" w:hAnsi="Arial"/>
          <w:sz w:val="16"/>
          <w:szCs w:val="16"/>
          <w:color w:val="auto"/>
        </w:rPr>
        <w:t>Prior to the Separation on August 10, 2009, we managed our business through two distinct lines of business, Ocwen Asset Management and Ocwen Solutions. Ocwen Asset Management includes our core residential servicing business, equity investments in asset management vehicles and our remaining investments in subprime loans and residual securities. Ocwen Solutions, our knowledge-based business process outsourcing (BPO) operation, included our residential fee-based loan processing businesses, all of our technology platforms, our unsecured collections business and our equity interest in BMS Holdings. Due to the Separation, as of August 10, 2009, neither the assets and liabilities, nor the subsequent operations of the Ocwen Solutions line of business comprising the Mo rtgage Services, Financial Services and Technology Products segments are included in our results.</w:t>
      </w:r>
    </w:p>
    <w:p>
      <w:pPr>
        <w:spacing w:after="0" w:line="165" w:lineRule="exact"/>
        <w:rPr>
          <w:sz w:val="20"/>
          <w:szCs w:val="20"/>
          <w:color w:val="auto"/>
        </w:rPr>
      </w:pPr>
    </w:p>
    <w:p>
      <w:pPr>
        <w:ind w:right="340" w:firstLine="666"/>
        <w:spacing w:after="0" w:line="264" w:lineRule="auto"/>
        <w:rPr>
          <w:sz w:val="20"/>
          <w:szCs w:val="20"/>
          <w:color w:val="auto"/>
        </w:rPr>
      </w:pPr>
      <w:r>
        <w:rPr>
          <w:rFonts w:ascii="Arial" w:cs="Arial" w:eastAsia="Arial" w:hAnsi="Arial"/>
          <w:sz w:val="18"/>
          <w:szCs w:val="18"/>
          <w:color w:val="auto"/>
        </w:rPr>
        <w:t>Our business segments reflect the internal reporting that we have used to evaluate operating performance and to assess the allocation of our resources. Our segments are based upon our organizational structure that focuses primarily on the products and services offered. Segment results for prior periods have been restated to conform to the current segment structure.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brief description of our current and former business segments, aligned within our two lines of business, is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Ocwen Asset Management</w:t>
      </w:r>
    </w:p>
    <w:p>
      <w:pPr>
        <w:spacing w:after="0" w:line="225" w:lineRule="exact"/>
        <w:rPr>
          <w:sz w:val="20"/>
          <w:szCs w:val="20"/>
          <w:color w:val="auto"/>
        </w:rPr>
      </w:pPr>
    </w:p>
    <w:p>
      <w:pPr>
        <w:ind w:left="1160" w:right="260" w:hanging="571"/>
        <w:spacing w:after="0" w:line="297" w:lineRule="auto"/>
        <w:tabs>
          <w:tab w:leader="none" w:pos="1160"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 xml:space="preserve">Servicing. </w:t>
      </w:r>
      <w:r>
        <w:rPr>
          <w:rFonts w:ascii="Arial" w:cs="Arial" w:eastAsia="Arial" w:hAnsi="Arial"/>
          <w:sz w:val="16"/>
          <w:szCs w:val="16"/>
          <w:color w:val="auto"/>
        </w:rPr>
        <w:t>This segment provides loan servicing for a fee, including asset management and resolution services, primarily to owners of</w:t>
      </w:r>
      <w:r>
        <w:rPr>
          <w:rFonts w:ascii="Arial" w:cs="Arial" w:eastAsia="Arial" w:hAnsi="Arial"/>
          <w:sz w:val="16"/>
          <w:szCs w:val="16"/>
          <w:i w:val="1"/>
          <w:iCs w:val="1"/>
          <w:color w:val="auto"/>
        </w:rPr>
        <w:t xml:space="preserve"> </w:t>
      </w:r>
      <w:r>
        <w:rPr>
          <w:rFonts w:ascii="Arial" w:cs="Arial" w:eastAsia="Arial" w:hAnsi="Arial"/>
          <w:sz w:val="16"/>
          <w:szCs w:val="16"/>
          <w:color w:val="auto"/>
        </w:rPr>
        <w:t>subprime residential mortgages. Subprime loans represent residential loans we service that were made to borrowers who generally did not qualify under guidelines of Fannie Mae and Freddie Mac (nonconforming loans) or have subsequently become delinquent. This segment is primarily comprised of our core residential servicing business. As disclosed in Note 2, on September 1, 2010, Ocwen completed the acquisition of HomEq Servicing which included 134,000 residential loans with an aggregate unpaid principal balance of $22,400,000.</w:t>
      </w:r>
    </w:p>
    <w:p>
      <w:pPr>
        <w:spacing w:after="0" w:line="158" w:lineRule="exact"/>
        <w:rPr>
          <w:rFonts w:ascii="Arial" w:cs="Arial" w:eastAsia="Arial" w:hAnsi="Arial"/>
          <w:sz w:val="16"/>
          <w:szCs w:val="16"/>
          <w:color w:val="auto"/>
        </w:rPr>
      </w:pPr>
    </w:p>
    <w:p>
      <w:pPr>
        <w:ind w:left="1160" w:right="80" w:hanging="571"/>
        <w:spacing w:after="0" w:line="279" w:lineRule="auto"/>
        <w:tabs>
          <w:tab w:leader="none" w:pos="1160" w:val="left"/>
        </w:tabs>
        <w:numPr>
          <w:ilvl w:val="0"/>
          <w:numId w:val="91"/>
        </w:numPr>
        <w:rPr>
          <w:rFonts w:ascii="Arial" w:cs="Arial" w:eastAsia="Arial" w:hAnsi="Arial"/>
          <w:sz w:val="17"/>
          <w:szCs w:val="17"/>
          <w:color w:val="auto"/>
        </w:rPr>
      </w:pPr>
      <w:r>
        <w:rPr>
          <w:rFonts w:ascii="Arial" w:cs="Arial" w:eastAsia="Arial" w:hAnsi="Arial"/>
          <w:sz w:val="17"/>
          <w:szCs w:val="17"/>
          <w:i w:val="1"/>
          <w:iCs w:val="1"/>
          <w:color w:val="auto"/>
        </w:rPr>
        <w:t xml:space="preserve">Loans and Residuals. </w:t>
      </w:r>
      <w:r>
        <w:rPr>
          <w:rFonts w:ascii="Arial" w:cs="Arial" w:eastAsia="Arial" w:hAnsi="Arial"/>
          <w:sz w:val="17"/>
          <w:szCs w:val="17"/>
          <w:color w:val="auto"/>
        </w:rPr>
        <w:t>This segment includes our trading and investing activities and our former subprime loan origination operation. Our</w:t>
      </w:r>
      <w:r>
        <w:rPr>
          <w:rFonts w:ascii="Arial" w:cs="Arial" w:eastAsia="Arial" w:hAnsi="Arial"/>
          <w:sz w:val="17"/>
          <w:szCs w:val="17"/>
          <w:i w:val="1"/>
          <w:iCs w:val="1"/>
          <w:color w:val="auto"/>
        </w:rPr>
        <w:t xml:space="preserve"> </w:t>
      </w:r>
      <w:r>
        <w:rPr>
          <w:rFonts w:ascii="Arial" w:cs="Arial" w:eastAsia="Arial" w:hAnsi="Arial"/>
          <w:sz w:val="17"/>
          <w:szCs w:val="17"/>
          <w:color w:val="auto"/>
        </w:rPr>
        <w:t>trading and investing activities include our investments in subprime residual mortgage backed trading securities as well as the results of our whole loan purchase and securitization activities. Effective January 1, 2010, the Loans and Residuals segment includes the four securitization trusts that we include in our consolidated financial statements under the provisions of ASC 810, Consolidation.</w:t>
      </w:r>
    </w:p>
    <w:p>
      <w:pPr>
        <w:spacing w:after="0" w:line="171" w:lineRule="exact"/>
        <w:rPr>
          <w:rFonts w:ascii="Arial" w:cs="Arial" w:eastAsia="Arial" w:hAnsi="Arial"/>
          <w:sz w:val="17"/>
          <w:szCs w:val="17"/>
          <w:color w:val="auto"/>
        </w:rPr>
      </w:pPr>
    </w:p>
    <w:p>
      <w:pPr>
        <w:ind w:left="1160" w:right="140" w:hanging="571"/>
        <w:spacing w:after="0" w:line="277" w:lineRule="auto"/>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 xml:space="preserve">Asset Management Vehicles. </w:t>
      </w:r>
      <w:r>
        <w:rPr>
          <w:rFonts w:ascii="Arial" w:cs="Arial" w:eastAsia="Arial" w:hAnsi="Arial"/>
          <w:sz w:val="18"/>
          <w:szCs w:val="18"/>
          <w:color w:val="auto"/>
        </w:rPr>
        <w:t>This segment is comprised of our 25% equity investment in OSI and approximately a 25% equity investment in</w:t>
      </w:r>
      <w:r>
        <w:rPr>
          <w:rFonts w:ascii="Arial" w:cs="Arial" w:eastAsia="Arial" w:hAnsi="Arial"/>
          <w:sz w:val="18"/>
          <w:szCs w:val="18"/>
          <w:i w:val="1"/>
          <w:iCs w:val="1"/>
          <w:color w:val="auto"/>
        </w:rPr>
        <w:t xml:space="preserve"> </w:t>
      </w:r>
      <w:r>
        <w:rPr>
          <w:rFonts w:ascii="Arial" w:cs="Arial" w:eastAsia="Arial" w:hAnsi="Arial"/>
          <w:sz w:val="18"/>
          <w:szCs w:val="18"/>
          <w:color w:val="auto"/>
        </w:rPr>
        <w:t>ONL and affiliates, unconsolidated entities engaged in the management of residential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Ocwen Solutions (distributed as part of the Separation, except for BMS Holdings and GSS)</w:t>
      </w:r>
    </w:p>
    <w:p>
      <w:pPr>
        <w:spacing w:after="0" w:line="225" w:lineRule="exact"/>
        <w:rPr>
          <w:sz w:val="20"/>
          <w:szCs w:val="20"/>
          <w:color w:val="auto"/>
        </w:rPr>
      </w:pPr>
    </w:p>
    <w:p>
      <w:pPr>
        <w:ind w:left="1160" w:right="20" w:hanging="571"/>
        <w:spacing w:after="0" w:line="279" w:lineRule="auto"/>
        <w:tabs>
          <w:tab w:leader="none" w:pos="1160" w:val="left"/>
        </w:tabs>
        <w:numPr>
          <w:ilvl w:val="0"/>
          <w:numId w:val="92"/>
        </w:numPr>
        <w:rPr>
          <w:rFonts w:ascii="Arial" w:cs="Arial" w:eastAsia="Arial" w:hAnsi="Arial"/>
          <w:sz w:val="17"/>
          <w:szCs w:val="17"/>
          <w:color w:val="auto"/>
        </w:rPr>
      </w:pPr>
      <w:r>
        <w:rPr>
          <w:rFonts w:ascii="Arial" w:cs="Arial" w:eastAsia="Arial" w:hAnsi="Arial"/>
          <w:sz w:val="17"/>
          <w:szCs w:val="17"/>
          <w:i w:val="1"/>
          <w:iCs w:val="1"/>
          <w:color w:val="auto"/>
        </w:rPr>
        <w:t xml:space="preserve">Mortgage Services. </w:t>
      </w:r>
      <w:r>
        <w:rPr>
          <w:rFonts w:ascii="Arial" w:cs="Arial" w:eastAsia="Arial" w:hAnsi="Arial"/>
          <w:sz w:val="17"/>
          <w:szCs w:val="17"/>
          <w:color w:val="auto"/>
        </w:rPr>
        <w:t>This segment provided due diligence, valuation, real estate sales, default processing services, property inspection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preservation services, homeowner outreach, closing and title services and knowledge process outsourcing services. Services provided spanned the lifecycle of a mortgage loan from origination through the disposition of real estate properties. Prior to August 10, 2009, this segment also includes international servicing for commercial loans which we conducted through GSS.</w:t>
      </w:r>
    </w:p>
    <w:p>
      <w:pPr>
        <w:spacing w:after="0" w:line="171" w:lineRule="exact"/>
        <w:rPr>
          <w:rFonts w:ascii="Arial" w:cs="Arial" w:eastAsia="Arial" w:hAnsi="Arial"/>
          <w:sz w:val="17"/>
          <w:szCs w:val="17"/>
          <w:color w:val="auto"/>
        </w:rPr>
      </w:pPr>
    </w:p>
    <w:p>
      <w:pPr>
        <w:jc w:val="both"/>
        <w:ind w:left="1160" w:right="60" w:hanging="571"/>
        <w:spacing w:after="0" w:line="286" w:lineRule="auto"/>
        <w:tabs>
          <w:tab w:leader="none" w:pos="1160" w:val="left"/>
        </w:tabs>
        <w:numPr>
          <w:ilvl w:val="0"/>
          <w:numId w:val="92"/>
        </w:numPr>
        <w:rPr>
          <w:rFonts w:ascii="Arial" w:cs="Arial" w:eastAsia="Arial" w:hAnsi="Arial"/>
          <w:sz w:val="17"/>
          <w:szCs w:val="17"/>
          <w:color w:val="auto"/>
        </w:rPr>
      </w:pPr>
      <w:r>
        <w:rPr>
          <w:rFonts w:ascii="Arial" w:cs="Arial" w:eastAsia="Arial" w:hAnsi="Arial"/>
          <w:sz w:val="17"/>
          <w:szCs w:val="17"/>
          <w:i w:val="1"/>
          <w:iCs w:val="1"/>
          <w:color w:val="auto"/>
        </w:rPr>
        <w:t xml:space="preserve">Financial Services. </w:t>
      </w:r>
      <w:r>
        <w:rPr>
          <w:rFonts w:ascii="Arial" w:cs="Arial" w:eastAsia="Arial" w:hAnsi="Arial"/>
          <w:sz w:val="17"/>
          <w:szCs w:val="17"/>
          <w:color w:val="auto"/>
        </w:rPr>
        <w:t>This segment comprised our asset recovery management and customer relationship management offerings to the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consumer products, telecommunications and utilities industries. The primary sources of revenues for this segment were contingency collections and customer relationship management for credit card issuers and other consumer credit providers.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08" w:name="page109"/>
    <w:bookmarkEnd w:id="108"/>
    <w:p>
      <w:pPr>
        <w:ind w:left="1160" w:right="100" w:hanging="571"/>
        <w:spacing w:after="0" w:line="239" w:lineRule="auto"/>
        <w:tabs>
          <w:tab w:leader="none" w:pos="116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 xml:space="preserve">Technology Products. </w:t>
      </w:r>
      <w:r>
        <w:rPr>
          <w:rFonts w:ascii="Arial" w:cs="Arial" w:eastAsia="Arial" w:hAnsi="Arial"/>
          <w:sz w:val="18"/>
          <w:szCs w:val="18"/>
          <w:color w:val="auto"/>
        </w:rPr>
        <w:t>This segment included revenues from the REAL suite of applications that support our Servicing business as well as the</w:t>
      </w:r>
      <w:r>
        <w:rPr>
          <w:rFonts w:ascii="Arial" w:cs="Arial" w:eastAsia="Arial" w:hAnsi="Arial"/>
          <w:sz w:val="18"/>
          <w:szCs w:val="18"/>
          <w:i w:val="1"/>
          <w:iCs w:val="1"/>
          <w:color w:val="auto"/>
        </w:rPr>
        <w:t xml:space="preserve"> </w:t>
      </w:r>
      <w:r>
        <w:rPr>
          <w:rFonts w:ascii="Arial" w:cs="Arial" w:eastAsia="Arial" w:hAnsi="Arial"/>
          <w:sz w:val="18"/>
          <w:szCs w:val="18"/>
          <w:color w:val="auto"/>
        </w:rPr>
        <w:t>servicing and origination businesses of external customers. These products include REALServicing™, REALResolution™, REALTrans</w:t>
      </w:r>
      <w:r>
        <w:rPr>
          <w:rFonts w:ascii="Arial" w:cs="Arial" w:eastAsia="Arial" w:hAnsi="Arial"/>
          <w:sz w:val="25"/>
          <w:szCs w:val="25"/>
          <w:color w:val="auto"/>
          <w:vertAlign w:val="superscript"/>
        </w:rPr>
        <w:t>SM</w:t>
      </w:r>
      <w:r>
        <w:rPr>
          <w:rFonts w:ascii="Arial" w:cs="Arial" w:eastAsia="Arial" w:hAnsi="Arial"/>
          <w:sz w:val="18"/>
          <w:szCs w:val="18"/>
          <w:color w:val="auto"/>
        </w:rPr>
        <w:t>, REALSynergy™ and REALRemit™. REALServicing is the core residential loan servicing application used by Ocwen. This segment also earned fees from providing technology support services to OCN that cover IT enablement, call center services and third-party applications. Prior to August 10, 2009, the results of our 45% equity investment in BHI (formerly BMS Holdings), which provides technology-based case management solutions to trustees, law firms and debtor companies that administer cases in the federal bankruptcy system, is also included in this segment.</w:t>
      </w:r>
    </w:p>
    <w:p>
      <w:pPr>
        <w:spacing w:after="0" w:line="206" w:lineRule="exact"/>
        <w:rPr>
          <w:sz w:val="20"/>
          <w:szCs w:val="20"/>
          <w:color w:val="auto"/>
        </w:rPr>
      </w:pPr>
    </w:p>
    <w:p>
      <w:pPr>
        <w:ind w:left="500" w:right="160"/>
        <w:spacing w:after="0" w:line="276" w:lineRule="auto"/>
        <w:rPr>
          <w:sz w:val="20"/>
          <w:szCs w:val="20"/>
          <w:color w:val="auto"/>
        </w:rPr>
      </w:pPr>
      <w:r>
        <w:rPr>
          <w:rFonts w:ascii="Arial" w:cs="Arial" w:eastAsia="Arial" w:hAnsi="Arial"/>
          <w:sz w:val="17"/>
          <w:szCs w:val="17"/>
          <w:i w:val="1"/>
          <w:iCs w:val="1"/>
          <w:color w:val="auto"/>
        </w:rPr>
        <w:t xml:space="preserve">Corporate Items and Other. </w:t>
      </w:r>
      <w:r>
        <w:rPr>
          <w:rFonts w:ascii="Arial" w:cs="Arial" w:eastAsia="Arial" w:hAnsi="Arial"/>
          <w:sz w:val="17"/>
          <w:szCs w:val="17"/>
          <w:color w:val="auto"/>
        </w:rPr>
        <w:t>We report items of revenue and expense that are not directly related to a business, business activities that are individually</w:t>
      </w:r>
      <w:r>
        <w:rPr>
          <w:rFonts w:ascii="Arial" w:cs="Arial" w:eastAsia="Arial" w:hAnsi="Arial"/>
          <w:sz w:val="17"/>
          <w:szCs w:val="17"/>
          <w:i w:val="1"/>
          <w:iCs w:val="1"/>
          <w:color w:val="auto"/>
        </w:rPr>
        <w:t xml:space="preserve"> </w:t>
      </w:r>
      <w:r>
        <w:rPr>
          <w:rFonts w:ascii="Arial" w:cs="Arial" w:eastAsia="Arial" w:hAnsi="Arial"/>
          <w:sz w:val="17"/>
          <w:szCs w:val="17"/>
          <w:color w:val="auto"/>
        </w:rPr>
        <w:t>insignificant, interest income on short-term investments of cash and the related costs of financing these investments and certain other corporate expenses in Corporate Items and Other. Our Convertible Notes and Capital Trust Securities are also included in Corporate Items and Other. Business activities not considered to be of continuing significance include our affordable housing investment activities. Beginning August 10, 2009, the results of BHI (formerly BMS Holdings) and GSS are also included in Corporate Items and Other.</w:t>
      </w:r>
    </w:p>
    <w:p>
      <w:pPr>
        <w:spacing w:after="0" w:line="173" w:lineRule="exact"/>
        <w:rPr>
          <w:sz w:val="20"/>
          <w:szCs w:val="20"/>
          <w:color w:val="auto"/>
        </w:rPr>
      </w:pPr>
    </w:p>
    <w:p>
      <w:pPr>
        <w:ind w:right="500" w:firstLine="663"/>
        <w:spacing w:after="0" w:line="277" w:lineRule="auto"/>
        <w:rPr>
          <w:sz w:val="20"/>
          <w:szCs w:val="20"/>
          <w:color w:val="auto"/>
        </w:rPr>
      </w:pPr>
      <w:r>
        <w:rPr>
          <w:rFonts w:ascii="Arial" w:cs="Arial" w:eastAsia="Arial" w:hAnsi="Arial"/>
          <w:sz w:val="18"/>
          <w:szCs w:val="18"/>
          <w:color w:val="auto"/>
        </w:rPr>
        <w:t>We allocate interest income and expense to each business segment for funds raised or funding of investments made. We also allocate expenses generated by corporate support services to each business segment.</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Financial information for our segments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Ocwen Asset Management</w:t>
            </w: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9"/>
              </w:rPr>
              <w:t>Ocwen Solutions</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3"/>
              </w:rPr>
              <w:t>Business</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Loans and</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center"/>
              <w:ind w:right="68"/>
              <w:spacing w:after="0" w:line="126" w:lineRule="exact"/>
              <w:rPr>
                <w:sz w:val="20"/>
                <w:szCs w:val="20"/>
                <w:color w:val="auto"/>
              </w:rPr>
            </w:pPr>
            <w:r>
              <w:rPr>
                <w:rFonts w:ascii="Arial" w:cs="Arial" w:eastAsia="Arial" w:hAnsi="Arial"/>
                <w:sz w:val="14"/>
                <w:szCs w:val="14"/>
                <w:b w:val="1"/>
                <w:bCs w:val="1"/>
                <w:color w:val="auto"/>
                <w:w w:val="83"/>
              </w:rPr>
              <w:t>Asset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8"/>
              </w:rPr>
              <w:t>Mortgage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Financial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6"/>
              </w:rPr>
              <w:t>Technology</w:t>
            </w: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8"/>
              </w:rPr>
              <w:t>Corporate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8"/>
              </w:rPr>
              <w:t>Servicing</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Management</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Items and</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Segments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Residuals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Vehicles</w:t>
            </w:r>
          </w:p>
        </w:tc>
        <w:tc>
          <w:tcPr>
            <w:tcW w:w="12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Services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Products</w:t>
            </w:r>
          </w:p>
        </w:tc>
        <w:tc>
          <w:tcPr>
            <w:tcW w:w="10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10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5"/>
                <w:szCs w:val="15"/>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380" w:type="dxa"/>
            <w:vAlign w:val="bottom"/>
            <w:tcBorders>
              <w:right w:val="single" w:sz="8" w:color="EAF9E8"/>
            </w:tcBorders>
            <w:shd w:val="clear" w:color="auto" w:fill="EAF9E8"/>
          </w:tcPr>
          <w:p>
            <w:pPr>
              <w:spacing w:after="0" w:line="126" w:lineRule="exact"/>
              <w:rPr>
                <w:sz w:val="20"/>
                <w:szCs w:val="20"/>
                <w:color w:val="auto"/>
              </w:rPr>
            </w:pPr>
            <w:r>
              <w:rPr>
                <w:rFonts w:ascii="Arial" w:cs="Arial" w:eastAsia="Arial" w:hAnsi="Arial"/>
                <w:sz w:val="14"/>
                <w:szCs w:val="14"/>
                <w:b w:val="1"/>
                <w:bCs w:val="1"/>
                <w:color w:val="auto"/>
              </w:rPr>
              <w:t>Results of</w:t>
            </w:r>
          </w:p>
        </w:tc>
        <w:tc>
          <w:tcPr>
            <w:tcW w:w="120" w:type="dxa"/>
            <w:vAlign w:val="bottom"/>
            <w:tcBorders>
              <w:top w:val="single" w:sz="8" w:color="auto"/>
            </w:tcBorders>
            <w:shd w:val="clear" w:color="auto" w:fill="EAF9E8"/>
          </w:tcPr>
          <w:p>
            <w:pPr>
              <w:spacing w:after="0"/>
              <w:rPr>
                <w:sz w:val="10"/>
                <w:szCs w:val="10"/>
                <w:color w:val="auto"/>
              </w:rPr>
            </w:pPr>
          </w:p>
        </w:tc>
        <w:tc>
          <w:tcPr>
            <w:tcW w:w="720" w:type="dxa"/>
            <w:vAlign w:val="bottom"/>
            <w:tcBorders>
              <w:top w:val="single" w:sz="8" w:color="auto"/>
            </w:tcBorders>
            <w:shd w:val="clear" w:color="auto" w:fill="EAF9E8"/>
          </w:tcPr>
          <w:p>
            <w:pPr>
              <w:spacing w:after="0"/>
              <w:rPr>
                <w:sz w:val="10"/>
                <w:szCs w:val="10"/>
                <w:color w:val="auto"/>
              </w:rPr>
            </w:pPr>
          </w:p>
        </w:tc>
        <w:tc>
          <w:tcPr>
            <w:tcW w:w="100" w:type="dxa"/>
            <w:vAlign w:val="bottom"/>
            <w:tcBorders>
              <w:top w:val="single" w:sz="8" w:color="auto"/>
            </w:tcBorders>
            <w:shd w:val="clear" w:color="auto" w:fill="EAF9E8"/>
          </w:tcPr>
          <w:p>
            <w:pPr>
              <w:spacing w:after="0"/>
              <w:rPr>
                <w:sz w:val="10"/>
                <w:szCs w:val="10"/>
                <w:color w:val="auto"/>
              </w:rPr>
            </w:pPr>
          </w:p>
        </w:tc>
        <w:tc>
          <w:tcPr>
            <w:tcW w:w="220" w:type="dxa"/>
            <w:vAlign w:val="bottom"/>
            <w:shd w:val="clear" w:color="auto" w:fill="EAF9E8"/>
          </w:tcPr>
          <w:p>
            <w:pPr>
              <w:spacing w:after="0"/>
              <w:rPr>
                <w:sz w:val="10"/>
                <w:szCs w:val="10"/>
                <w:color w:val="auto"/>
              </w:rPr>
            </w:pPr>
          </w:p>
        </w:tc>
        <w:tc>
          <w:tcPr>
            <w:tcW w:w="100" w:type="dxa"/>
            <w:vAlign w:val="bottom"/>
            <w:tcBorders>
              <w:top w:val="single" w:sz="8" w:color="auto"/>
            </w:tcBorders>
            <w:shd w:val="clear" w:color="auto" w:fill="EAF9E8"/>
          </w:tcPr>
          <w:p>
            <w:pPr>
              <w:spacing w:after="0"/>
              <w:rPr>
                <w:sz w:val="10"/>
                <w:szCs w:val="10"/>
                <w:color w:val="auto"/>
              </w:rPr>
            </w:pPr>
          </w:p>
        </w:tc>
        <w:tc>
          <w:tcPr>
            <w:tcW w:w="800" w:type="dxa"/>
            <w:vAlign w:val="bottom"/>
            <w:tcBorders>
              <w:top w:val="single" w:sz="8" w:color="auto"/>
            </w:tcBorders>
            <w:shd w:val="clear" w:color="auto" w:fill="EAF9E8"/>
          </w:tcPr>
          <w:p>
            <w:pPr>
              <w:spacing w:after="0"/>
              <w:rPr>
                <w:sz w:val="10"/>
                <w:szCs w:val="10"/>
                <w:color w:val="auto"/>
              </w:rPr>
            </w:pPr>
          </w:p>
        </w:tc>
        <w:tc>
          <w:tcPr>
            <w:tcW w:w="140" w:type="dxa"/>
            <w:vAlign w:val="bottom"/>
            <w:shd w:val="clear" w:color="auto" w:fill="EAF9E8"/>
          </w:tcPr>
          <w:p>
            <w:pPr>
              <w:spacing w:after="0"/>
              <w:rPr>
                <w:sz w:val="10"/>
                <w:szCs w:val="10"/>
                <w:color w:val="auto"/>
              </w:rPr>
            </w:pPr>
          </w:p>
        </w:tc>
        <w:tc>
          <w:tcPr>
            <w:tcW w:w="80" w:type="dxa"/>
            <w:vAlign w:val="bottom"/>
            <w:shd w:val="clear" w:color="auto" w:fill="EAF9E8"/>
          </w:tcPr>
          <w:p>
            <w:pPr>
              <w:spacing w:after="0"/>
              <w:rPr>
                <w:sz w:val="10"/>
                <w:szCs w:val="10"/>
                <w:color w:val="auto"/>
              </w:rPr>
            </w:pPr>
          </w:p>
        </w:tc>
        <w:tc>
          <w:tcPr>
            <w:tcW w:w="160" w:type="dxa"/>
            <w:vAlign w:val="bottom"/>
            <w:tcBorders>
              <w:top w:val="single" w:sz="8" w:color="auto"/>
            </w:tcBorders>
            <w:shd w:val="clear" w:color="auto" w:fill="EAF9E8"/>
          </w:tcPr>
          <w:p>
            <w:pPr>
              <w:spacing w:after="0"/>
              <w:rPr>
                <w:sz w:val="10"/>
                <w:szCs w:val="10"/>
                <w:color w:val="auto"/>
              </w:rPr>
            </w:pPr>
          </w:p>
        </w:tc>
        <w:tc>
          <w:tcPr>
            <w:tcW w:w="740" w:type="dxa"/>
            <w:vAlign w:val="bottom"/>
            <w:tcBorders>
              <w:top w:val="single" w:sz="8" w:color="auto"/>
            </w:tcBorders>
            <w:shd w:val="clear" w:color="auto" w:fill="EAF9E8"/>
          </w:tcPr>
          <w:p>
            <w:pPr>
              <w:spacing w:after="0"/>
              <w:rPr>
                <w:sz w:val="10"/>
                <w:szCs w:val="10"/>
                <w:color w:val="auto"/>
              </w:rPr>
            </w:pPr>
          </w:p>
        </w:tc>
        <w:tc>
          <w:tcPr>
            <w:tcW w:w="220" w:type="dxa"/>
            <w:vAlign w:val="bottom"/>
            <w:shd w:val="clear" w:color="auto" w:fill="EAF9E8"/>
          </w:tcPr>
          <w:p>
            <w:pPr>
              <w:spacing w:after="0"/>
              <w:rPr>
                <w:sz w:val="10"/>
                <w:szCs w:val="10"/>
                <w:color w:val="auto"/>
              </w:rPr>
            </w:pPr>
          </w:p>
        </w:tc>
        <w:tc>
          <w:tcPr>
            <w:tcW w:w="120" w:type="dxa"/>
            <w:vAlign w:val="bottom"/>
            <w:tcBorders>
              <w:top w:val="single" w:sz="8" w:color="auto"/>
            </w:tcBorders>
            <w:shd w:val="clear" w:color="auto" w:fill="EAF9E8"/>
          </w:tcPr>
          <w:p>
            <w:pPr>
              <w:spacing w:after="0"/>
              <w:rPr>
                <w:sz w:val="10"/>
                <w:szCs w:val="10"/>
                <w:color w:val="auto"/>
              </w:rPr>
            </w:pPr>
          </w:p>
        </w:tc>
        <w:tc>
          <w:tcPr>
            <w:tcW w:w="780" w:type="dxa"/>
            <w:vAlign w:val="bottom"/>
            <w:tcBorders>
              <w:top w:val="single" w:sz="8" w:color="auto"/>
            </w:tcBorders>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120" w:type="dxa"/>
            <w:vAlign w:val="bottom"/>
            <w:tcBorders>
              <w:top w:val="single" w:sz="8" w:color="auto"/>
            </w:tcBorders>
            <w:shd w:val="clear" w:color="auto" w:fill="EAF9E8"/>
          </w:tcPr>
          <w:p>
            <w:pPr>
              <w:spacing w:after="0"/>
              <w:rPr>
                <w:sz w:val="10"/>
                <w:szCs w:val="10"/>
                <w:color w:val="auto"/>
              </w:rPr>
            </w:pPr>
          </w:p>
        </w:tc>
        <w:tc>
          <w:tcPr>
            <w:tcW w:w="780" w:type="dxa"/>
            <w:vAlign w:val="bottom"/>
            <w:tcBorders>
              <w:top w:val="single" w:sz="8" w:color="auto"/>
            </w:tcBorders>
            <w:shd w:val="clear" w:color="auto" w:fill="EAF9E8"/>
          </w:tcPr>
          <w:p>
            <w:pPr>
              <w:spacing w:after="0"/>
              <w:rPr>
                <w:sz w:val="10"/>
                <w:szCs w:val="10"/>
                <w:color w:val="auto"/>
              </w:rPr>
            </w:pPr>
          </w:p>
        </w:tc>
        <w:tc>
          <w:tcPr>
            <w:tcW w:w="140" w:type="dxa"/>
            <w:vAlign w:val="bottom"/>
            <w:shd w:val="clear" w:color="auto" w:fill="EAF9E8"/>
          </w:tcPr>
          <w:p>
            <w:pPr>
              <w:spacing w:after="0"/>
              <w:rPr>
                <w:sz w:val="10"/>
                <w:szCs w:val="10"/>
                <w:color w:val="auto"/>
              </w:rPr>
            </w:pPr>
          </w:p>
        </w:tc>
        <w:tc>
          <w:tcPr>
            <w:tcW w:w="80" w:type="dxa"/>
            <w:vAlign w:val="bottom"/>
            <w:shd w:val="clear" w:color="auto" w:fill="EAF9E8"/>
          </w:tcPr>
          <w:p>
            <w:pPr>
              <w:spacing w:after="0"/>
              <w:rPr>
                <w:sz w:val="10"/>
                <w:szCs w:val="10"/>
                <w:color w:val="auto"/>
              </w:rPr>
            </w:pPr>
          </w:p>
        </w:tc>
        <w:tc>
          <w:tcPr>
            <w:tcW w:w="100" w:type="dxa"/>
            <w:vAlign w:val="bottom"/>
            <w:tcBorders>
              <w:top w:val="single" w:sz="8" w:color="auto"/>
            </w:tcBorders>
            <w:shd w:val="clear" w:color="auto" w:fill="EAF9E8"/>
          </w:tcPr>
          <w:p>
            <w:pPr>
              <w:spacing w:after="0"/>
              <w:rPr>
                <w:sz w:val="10"/>
                <w:szCs w:val="10"/>
                <w:color w:val="auto"/>
              </w:rPr>
            </w:pPr>
          </w:p>
        </w:tc>
        <w:tc>
          <w:tcPr>
            <w:tcW w:w="800" w:type="dxa"/>
            <w:vAlign w:val="bottom"/>
            <w:tcBorders>
              <w:top w:val="single" w:sz="8" w:color="auto"/>
            </w:tcBorders>
            <w:shd w:val="clear" w:color="auto" w:fill="EAF9E8"/>
          </w:tcPr>
          <w:p>
            <w:pPr>
              <w:spacing w:after="0"/>
              <w:rPr>
                <w:sz w:val="10"/>
                <w:szCs w:val="10"/>
                <w:color w:val="auto"/>
              </w:rPr>
            </w:pPr>
          </w:p>
        </w:tc>
        <w:tc>
          <w:tcPr>
            <w:tcW w:w="220" w:type="dxa"/>
            <w:vAlign w:val="bottom"/>
            <w:shd w:val="clear" w:color="auto" w:fill="EAF9E8"/>
          </w:tcPr>
          <w:p>
            <w:pPr>
              <w:spacing w:after="0"/>
              <w:rPr>
                <w:sz w:val="10"/>
                <w:szCs w:val="10"/>
                <w:color w:val="auto"/>
              </w:rPr>
            </w:pPr>
          </w:p>
        </w:tc>
        <w:tc>
          <w:tcPr>
            <w:tcW w:w="100" w:type="dxa"/>
            <w:vAlign w:val="bottom"/>
            <w:tcBorders>
              <w:top w:val="single" w:sz="8" w:color="auto"/>
            </w:tcBorders>
            <w:shd w:val="clear" w:color="auto" w:fill="EAF9E8"/>
          </w:tcPr>
          <w:p>
            <w:pPr>
              <w:spacing w:after="0"/>
              <w:rPr>
                <w:sz w:val="10"/>
                <w:szCs w:val="10"/>
                <w:color w:val="auto"/>
              </w:rPr>
            </w:pPr>
          </w:p>
        </w:tc>
        <w:tc>
          <w:tcPr>
            <w:tcW w:w="820" w:type="dxa"/>
            <w:vAlign w:val="bottom"/>
            <w:tcBorders>
              <w:top w:val="single" w:sz="8" w:color="auto"/>
            </w:tcBorders>
            <w:shd w:val="clear" w:color="auto" w:fill="EAF9E8"/>
          </w:tcPr>
          <w:p>
            <w:pPr>
              <w:spacing w:after="0"/>
              <w:rPr>
                <w:sz w:val="10"/>
                <w:szCs w:val="10"/>
                <w:color w:val="auto"/>
              </w:rPr>
            </w:pPr>
          </w:p>
        </w:tc>
        <w:tc>
          <w:tcPr>
            <w:tcW w:w="200" w:type="dxa"/>
            <w:vAlign w:val="bottom"/>
            <w:shd w:val="clear" w:color="auto" w:fill="EAF9E8"/>
          </w:tcPr>
          <w:p>
            <w:pPr>
              <w:spacing w:after="0"/>
              <w:rPr>
                <w:sz w:val="10"/>
                <w:szCs w:val="10"/>
                <w:color w:val="auto"/>
              </w:rPr>
            </w:pPr>
          </w:p>
        </w:tc>
        <w:tc>
          <w:tcPr>
            <w:tcW w:w="100" w:type="dxa"/>
            <w:vAlign w:val="bottom"/>
            <w:tcBorders>
              <w:top w:val="single" w:sz="8" w:color="auto"/>
            </w:tcBorders>
            <w:shd w:val="clear" w:color="auto" w:fill="EAF9E8"/>
          </w:tcPr>
          <w:p>
            <w:pPr>
              <w:spacing w:after="0"/>
              <w:rPr>
                <w:sz w:val="10"/>
                <w:szCs w:val="10"/>
                <w:color w:val="auto"/>
              </w:rPr>
            </w:pPr>
          </w:p>
        </w:tc>
        <w:tc>
          <w:tcPr>
            <w:tcW w:w="820" w:type="dxa"/>
            <w:vAlign w:val="bottom"/>
            <w:tcBorders>
              <w:top w:val="single" w:sz="8" w:color="auto"/>
            </w:tcBorders>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80" w:type="dxa"/>
            <w:vAlign w:val="bottom"/>
            <w:shd w:val="clear" w:color="auto" w:fill="EAF9E8"/>
          </w:tcPr>
          <w:p>
            <w:pPr>
              <w:spacing w:after="0"/>
              <w:rPr>
                <w:sz w:val="10"/>
                <w:szCs w:val="10"/>
                <w:color w:val="auto"/>
              </w:rPr>
            </w:pPr>
          </w:p>
        </w:tc>
        <w:tc>
          <w:tcPr>
            <w:tcW w:w="120" w:type="dxa"/>
            <w:vAlign w:val="bottom"/>
            <w:tcBorders>
              <w:top w:val="single" w:sz="8" w:color="auto"/>
            </w:tcBorders>
            <w:shd w:val="clear" w:color="auto" w:fill="EAF9E8"/>
          </w:tcPr>
          <w:p>
            <w:pPr>
              <w:spacing w:after="0"/>
              <w:rPr>
                <w:sz w:val="10"/>
                <w:szCs w:val="10"/>
                <w:color w:val="auto"/>
              </w:rPr>
            </w:pPr>
          </w:p>
        </w:tc>
        <w:tc>
          <w:tcPr>
            <w:tcW w:w="800" w:type="dxa"/>
            <w:vAlign w:val="bottom"/>
            <w:tcBorders>
              <w:top w:val="single" w:sz="8" w:color="auto"/>
            </w:tcBorders>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tcBorders>
              <w:right w:val="single" w:sz="8" w:color="EAF9E8"/>
            </w:tcBorders>
            <w:shd w:val="clear" w:color="auto" w:fill="EAF9E8"/>
          </w:tcPr>
          <w:p>
            <w:pPr>
              <w:ind w:left="160"/>
              <w:spacing w:after="0"/>
              <w:rPr>
                <w:sz w:val="20"/>
                <w:szCs w:val="20"/>
                <w:color w:val="auto"/>
              </w:rPr>
            </w:pPr>
            <w:r>
              <w:rPr>
                <w:rFonts w:ascii="Arial" w:cs="Arial" w:eastAsia="Arial" w:hAnsi="Arial"/>
                <w:sz w:val="14"/>
                <w:szCs w:val="14"/>
                <w:b w:val="1"/>
                <w:bCs w:val="1"/>
                <w:color w:val="auto"/>
              </w:rPr>
              <w:t>Operations</w:t>
            </w:r>
          </w:p>
        </w:tc>
        <w:tc>
          <w:tcPr>
            <w:tcW w:w="120" w:type="dxa"/>
            <w:vAlign w:val="bottom"/>
            <w:shd w:val="clear" w:color="auto" w:fill="EAF9E8"/>
          </w:tcPr>
          <w:p>
            <w:pPr>
              <w:spacing w:after="0"/>
              <w:rPr>
                <w:sz w:val="14"/>
                <w:szCs w:val="14"/>
                <w:color w:val="auto"/>
              </w:rPr>
            </w:pPr>
          </w:p>
        </w:tc>
        <w:tc>
          <w:tcPr>
            <w:tcW w:w="72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80" w:type="dxa"/>
            <w:vAlign w:val="bottom"/>
            <w:shd w:val="clear" w:color="auto" w:fill="EAF9E8"/>
          </w:tcPr>
          <w:p>
            <w:pPr>
              <w:spacing w:after="0"/>
              <w:rPr>
                <w:sz w:val="14"/>
                <w:szCs w:val="14"/>
                <w:color w:val="auto"/>
              </w:rPr>
            </w:pPr>
          </w:p>
        </w:tc>
        <w:tc>
          <w:tcPr>
            <w:tcW w:w="160" w:type="dxa"/>
            <w:vAlign w:val="bottom"/>
            <w:shd w:val="clear" w:color="auto" w:fill="EAF9E8"/>
          </w:tcPr>
          <w:p>
            <w:pPr>
              <w:spacing w:after="0"/>
              <w:rPr>
                <w:sz w:val="14"/>
                <w:szCs w:val="14"/>
                <w:color w:val="auto"/>
              </w:rPr>
            </w:pPr>
          </w:p>
        </w:tc>
        <w:tc>
          <w:tcPr>
            <w:tcW w:w="74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78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78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8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820" w:type="dxa"/>
            <w:vAlign w:val="bottom"/>
            <w:shd w:val="clear" w:color="auto" w:fill="EAF9E8"/>
          </w:tcPr>
          <w:p>
            <w:pPr>
              <w:spacing w:after="0"/>
              <w:rPr>
                <w:sz w:val="14"/>
                <w:szCs w:val="14"/>
                <w:color w:val="auto"/>
              </w:rPr>
            </w:pPr>
          </w:p>
        </w:tc>
        <w:tc>
          <w:tcPr>
            <w:tcW w:w="2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82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8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5"/>
          </w:tcPr>
          <w:p>
            <w:pPr>
              <w:spacing w:after="0" w:line="135" w:lineRule="exact"/>
              <w:rPr>
                <w:sz w:val="20"/>
                <w:szCs w:val="20"/>
                <w:color w:val="auto"/>
              </w:rPr>
            </w:pPr>
            <w:r>
              <w:rPr>
                <w:rFonts w:ascii="Arial" w:cs="Arial" w:eastAsia="Arial" w:hAnsi="Arial"/>
                <w:sz w:val="14"/>
                <w:szCs w:val="14"/>
                <w:color w:val="auto"/>
              </w:rPr>
              <w:t>For the year ended December 31, 2010</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380" w:type="dxa"/>
            <w:vAlign w:val="bottom"/>
            <w:tcBorders>
              <w:right w:val="single" w:sz="8" w:color="EAF9E8"/>
            </w:tcBorders>
            <w:shd w:val="clear" w:color="auto" w:fill="EAF9E8"/>
          </w:tcPr>
          <w:p>
            <w:pPr>
              <w:ind w:left="160"/>
              <w:spacing w:after="0" w:line="142" w:lineRule="exact"/>
              <w:rPr>
                <w:sz w:val="20"/>
                <w:szCs w:val="20"/>
                <w:color w:val="auto"/>
              </w:rPr>
            </w:pPr>
            <w:r>
              <w:rPr>
                <w:rFonts w:ascii="Arial" w:cs="Arial" w:eastAsia="Arial" w:hAnsi="Arial"/>
                <w:sz w:val="14"/>
                <w:szCs w:val="14"/>
                <w:color w:val="auto"/>
              </w:rPr>
              <w:t>Revenue (1) (2)</w:t>
            </w:r>
          </w:p>
        </w:tc>
        <w:tc>
          <w:tcPr>
            <w:tcW w:w="120" w:type="dxa"/>
            <w:vAlign w:val="bottom"/>
            <w:shd w:val="clear" w:color="auto" w:fill="EAF9E8"/>
          </w:tcPr>
          <w:p>
            <w:pPr>
              <w:jc w:val="right"/>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gridSpan w:val="3"/>
            <w:shd w:val="clear" w:color="auto" w:fill="EAF9E8"/>
          </w:tcPr>
          <w:p>
            <w:pPr>
              <w:jc w:val="right"/>
              <w:ind w:right="220"/>
              <w:spacing w:after="0" w:line="142" w:lineRule="exact"/>
              <w:rPr>
                <w:sz w:val="20"/>
                <w:szCs w:val="20"/>
                <w:color w:val="auto"/>
              </w:rPr>
            </w:pPr>
            <w:r>
              <w:rPr>
                <w:rFonts w:ascii="Arial" w:cs="Arial" w:eastAsia="Arial" w:hAnsi="Arial"/>
                <w:sz w:val="14"/>
                <w:szCs w:val="14"/>
                <w:color w:val="auto"/>
              </w:rPr>
              <w:t>359,798</w:t>
            </w:r>
          </w:p>
        </w:tc>
        <w:tc>
          <w:tcPr>
            <w:tcW w:w="100" w:type="dxa"/>
            <w:vAlign w:val="bottom"/>
            <w:shd w:val="clear" w:color="auto" w:fill="EAF9E8"/>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EAF9E8"/>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EAF9E8"/>
          </w:tcPr>
          <w:p>
            <w:pPr>
              <w:jc w:val="right"/>
              <w:ind w:right="8"/>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EAF9E8"/>
          </w:tcPr>
          <w:p>
            <w:pPr>
              <w:jc w:val="right"/>
              <w:ind w:right="220"/>
              <w:spacing w:after="0" w:line="142" w:lineRule="exact"/>
              <w:rPr>
                <w:sz w:val="20"/>
                <w:szCs w:val="20"/>
                <w:color w:val="auto"/>
              </w:rPr>
            </w:pPr>
            <w:r>
              <w:rPr>
                <w:rFonts w:ascii="Arial" w:cs="Arial" w:eastAsia="Arial" w:hAnsi="Arial"/>
                <w:sz w:val="14"/>
                <w:szCs w:val="14"/>
                <w:color w:val="auto"/>
              </w:rPr>
              <w:t>696</w:t>
            </w:r>
          </w:p>
        </w:tc>
        <w:tc>
          <w:tcPr>
            <w:tcW w:w="120" w:type="dxa"/>
            <w:vAlign w:val="bottom"/>
            <w:shd w:val="clear" w:color="auto" w:fill="EAF9E8"/>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EAF9E8"/>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EAF9E8"/>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EAF9E8"/>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EAF9E8"/>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EAF9E8"/>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jc w:val="right"/>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EAF9E8"/>
          </w:tcPr>
          <w:p>
            <w:pPr>
              <w:jc w:val="right"/>
              <w:ind w:right="200"/>
              <w:spacing w:after="0" w:line="142" w:lineRule="exact"/>
              <w:rPr>
                <w:sz w:val="20"/>
                <w:szCs w:val="20"/>
                <w:color w:val="auto"/>
              </w:rPr>
            </w:pPr>
            <w:r>
              <w:rPr>
                <w:rFonts w:ascii="Arial" w:cs="Arial" w:eastAsia="Arial" w:hAnsi="Arial"/>
                <w:sz w:val="14"/>
                <w:szCs w:val="14"/>
                <w:color w:val="auto"/>
              </w:rPr>
              <w:t>1,416</w:t>
            </w:r>
          </w:p>
        </w:tc>
        <w:tc>
          <w:tcPr>
            <w:tcW w:w="100" w:type="dxa"/>
            <w:vAlign w:val="bottom"/>
            <w:shd w:val="clear" w:color="auto" w:fill="EAF9E8"/>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EAF9E8"/>
          </w:tcPr>
          <w:p>
            <w:pPr>
              <w:jc w:val="right"/>
              <w:ind w:right="80"/>
              <w:spacing w:after="0" w:line="142" w:lineRule="exact"/>
              <w:rPr>
                <w:sz w:val="20"/>
                <w:szCs w:val="20"/>
                <w:color w:val="auto"/>
              </w:rPr>
            </w:pPr>
            <w:r>
              <w:rPr>
                <w:rFonts w:ascii="Arial" w:cs="Arial" w:eastAsia="Arial" w:hAnsi="Arial"/>
                <w:sz w:val="14"/>
                <w:szCs w:val="14"/>
                <w:color w:val="auto"/>
              </w:rPr>
              <w:t>(1,529)</w:t>
            </w:r>
          </w:p>
        </w:tc>
        <w:tc>
          <w:tcPr>
            <w:tcW w:w="200" w:type="dxa"/>
            <w:vAlign w:val="bottom"/>
            <w:gridSpan w:val="2"/>
            <w:shd w:val="clear" w:color="auto" w:fill="EAF9E8"/>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EAF9E8"/>
          </w:tcPr>
          <w:p>
            <w:pPr>
              <w:jc w:val="right"/>
              <w:ind w:right="100"/>
              <w:spacing w:after="0" w:line="142" w:lineRule="exact"/>
              <w:rPr>
                <w:sz w:val="20"/>
                <w:szCs w:val="20"/>
                <w:color w:val="auto"/>
              </w:rPr>
            </w:pPr>
            <w:r>
              <w:rPr>
                <w:rFonts w:ascii="Arial" w:cs="Arial" w:eastAsia="Arial" w:hAnsi="Arial"/>
                <w:sz w:val="14"/>
                <w:szCs w:val="14"/>
                <w:color w:val="auto"/>
              </w:rPr>
              <w:t>360,381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tcPr>
          <w:p>
            <w:pPr>
              <w:ind w:left="160"/>
              <w:spacing w:after="0" w:line="130" w:lineRule="exact"/>
              <w:rPr>
                <w:sz w:val="20"/>
                <w:szCs w:val="20"/>
                <w:color w:val="auto"/>
              </w:rPr>
            </w:pPr>
            <w:r>
              <w:rPr>
                <w:rFonts w:ascii="Arial" w:cs="Arial" w:eastAsia="Arial" w:hAnsi="Arial"/>
                <w:sz w:val="14"/>
                <w:szCs w:val="14"/>
                <w:color w:val="auto"/>
              </w:rPr>
              <w:t>Operating</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ind w:left="320"/>
              <w:spacing w:after="0" w:line="149" w:lineRule="exact"/>
              <w:rPr>
                <w:sz w:val="20"/>
                <w:szCs w:val="20"/>
                <w:color w:val="auto"/>
              </w:rPr>
            </w:pPr>
            <w:r>
              <w:rPr>
                <w:rFonts w:ascii="Arial" w:cs="Arial" w:eastAsia="Arial" w:hAnsi="Arial"/>
                <w:sz w:val="14"/>
                <w:szCs w:val="14"/>
                <w:color w:val="auto"/>
              </w:rPr>
              <w:t>expenses (1) (3)</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400" w:type="dxa"/>
            <w:vAlign w:val="bottom"/>
            <w:gridSpan w:val="2"/>
          </w:tcPr>
          <w:p>
            <w:pPr>
              <w:ind w:left="34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4"/>
                <w:szCs w:val="14"/>
                <w:color w:val="auto"/>
              </w:rPr>
              <w:t>200,108</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4,240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2,099</w:t>
            </w:r>
          </w:p>
        </w:tc>
        <w:tc>
          <w:tcPr>
            <w:tcW w:w="12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30,791</w:t>
            </w:r>
          </w:p>
        </w:tc>
        <w:tc>
          <w:tcPr>
            <w:tcW w:w="10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(764)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236,474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tcBorders>
              <w:right w:val="single" w:sz="8" w:color="EAF9E8"/>
            </w:tcBorders>
            <w:shd w:val="clear" w:color="auto" w:fill="EAF9E8"/>
          </w:tcPr>
          <w:p>
            <w:pPr>
              <w:ind w:left="160"/>
              <w:spacing w:after="0" w:line="130" w:lineRule="exact"/>
              <w:rPr>
                <w:sz w:val="20"/>
                <w:szCs w:val="20"/>
                <w:color w:val="auto"/>
              </w:rPr>
            </w:pPr>
            <w:r>
              <w:rPr>
                <w:rFonts w:ascii="Arial" w:cs="Arial" w:eastAsia="Arial" w:hAnsi="Arial"/>
                <w:sz w:val="14"/>
                <w:szCs w:val="14"/>
                <w:color w:val="auto"/>
              </w:rPr>
              <w:t>Income (loss) from</w:t>
            </w:r>
          </w:p>
        </w:tc>
        <w:tc>
          <w:tcPr>
            <w:tcW w:w="120" w:type="dxa"/>
            <w:vAlign w:val="bottom"/>
            <w:tcBorders>
              <w:top w:val="single" w:sz="8" w:color="auto"/>
            </w:tcBorders>
            <w:shd w:val="clear" w:color="auto" w:fill="EAF9E8"/>
          </w:tcPr>
          <w:p>
            <w:pPr>
              <w:spacing w:after="0"/>
              <w:rPr>
                <w:sz w:val="11"/>
                <w:szCs w:val="11"/>
                <w:color w:val="auto"/>
              </w:rPr>
            </w:pPr>
          </w:p>
        </w:tc>
        <w:tc>
          <w:tcPr>
            <w:tcW w:w="720" w:type="dxa"/>
            <w:vAlign w:val="bottom"/>
            <w:tcBorders>
              <w:top w:val="single" w:sz="8" w:color="auto"/>
            </w:tcBorders>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800" w:type="dxa"/>
            <w:vAlign w:val="bottom"/>
            <w:tcBorders>
              <w:top w:val="single" w:sz="8" w:color="auto"/>
            </w:tcBorders>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60" w:type="dxa"/>
            <w:vAlign w:val="bottom"/>
            <w:tcBorders>
              <w:top w:val="single" w:sz="8" w:color="auto"/>
            </w:tcBorders>
            <w:shd w:val="clear" w:color="auto" w:fill="EAF9E8"/>
          </w:tcPr>
          <w:p>
            <w:pPr>
              <w:spacing w:after="0"/>
              <w:rPr>
                <w:sz w:val="11"/>
                <w:szCs w:val="11"/>
                <w:color w:val="auto"/>
              </w:rPr>
            </w:pPr>
          </w:p>
        </w:tc>
        <w:tc>
          <w:tcPr>
            <w:tcW w:w="74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20" w:type="dxa"/>
            <w:vAlign w:val="bottom"/>
            <w:tcBorders>
              <w:top w:val="single" w:sz="8" w:color="auto"/>
            </w:tcBorders>
            <w:shd w:val="clear" w:color="auto" w:fill="EAF9E8"/>
          </w:tcPr>
          <w:p>
            <w:pPr>
              <w:spacing w:after="0"/>
              <w:rPr>
                <w:sz w:val="11"/>
                <w:szCs w:val="11"/>
                <w:color w:val="auto"/>
              </w:rPr>
            </w:pPr>
          </w:p>
        </w:tc>
        <w:tc>
          <w:tcPr>
            <w:tcW w:w="780" w:type="dxa"/>
            <w:vAlign w:val="bottom"/>
            <w:tcBorders>
              <w:top w:val="single" w:sz="8" w:color="auto"/>
            </w:tcBorders>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20" w:type="dxa"/>
            <w:vAlign w:val="bottom"/>
            <w:tcBorders>
              <w:top w:val="single" w:sz="8" w:color="auto"/>
            </w:tcBorders>
            <w:shd w:val="clear" w:color="auto" w:fill="EAF9E8"/>
          </w:tcPr>
          <w:p>
            <w:pPr>
              <w:spacing w:after="0"/>
              <w:rPr>
                <w:sz w:val="11"/>
                <w:szCs w:val="11"/>
                <w:color w:val="auto"/>
              </w:rPr>
            </w:pPr>
          </w:p>
        </w:tc>
        <w:tc>
          <w:tcPr>
            <w:tcW w:w="780" w:type="dxa"/>
            <w:vAlign w:val="bottom"/>
            <w:tcBorders>
              <w:top w:val="single" w:sz="8" w:color="auto"/>
            </w:tcBorders>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80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820" w:type="dxa"/>
            <w:vAlign w:val="bottom"/>
            <w:tcBorders>
              <w:top w:val="single" w:sz="8" w:color="auto"/>
            </w:tcBorders>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820" w:type="dxa"/>
            <w:vAlign w:val="bottom"/>
            <w:tcBorders>
              <w:top w:val="single" w:sz="8" w:color="auto"/>
            </w:tcBorders>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20" w:type="dxa"/>
            <w:vAlign w:val="bottom"/>
            <w:tcBorders>
              <w:top w:val="single" w:sz="8" w:color="auto"/>
            </w:tcBorders>
            <w:shd w:val="clear" w:color="auto" w:fill="EAF9E8"/>
          </w:tcPr>
          <w:p>
            <w:pPr>
              <w:spacing w:after="0"/>
              <w:rPr>
                <w:sz w:val="11"/>
                <w:szCs w:val="11"/>
                <w:color w:val="auto"/>
              </w:rPr>
            </w:pPr>
          </w:p>
        </w:tc>
        <w:tc>
          <w:tcPr>
            <w:tcW w:w="800" w:type="dxa"/>
            <w:vAlign w:val="bottom"/>
            <w:tcBorders>
              <w:top w:val="single" w:sz="8" w:color="auto"/>
            </w:tcBorders>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80" w:type="dxa"/>
            <w:vAlign w:val="bottom"/>
            <w:tcBorders>
              <w:right w:val="single" w:sz="8" w:color="EAF9E8"/>
            </w:tcBorders>
            <w:shd w:val="clear" w:color="auto" w:fill="EAF9E8"/>
          </w:tcPr>
          <w:p>
            <w:pPr>
              <w:ind w:left="320"/>
              <w:spacing w:after="0"/>
              <w:rPr>
                <w:sz w:val="20"/>
                <w:szCs w:val="20"/>
                <w:color w:val="auto"/>
              </w:rPr>
            </w:pPr>
            <w:r>
              <w:rPr>
                <w:rFonts w:ascii="Arial" w:cs="Arial" w:eastAsia="Arial" w:hAnsi="Arial"/>
                <w:sz w:val="14"/>
                <w:szCs w:val="14"/>
                <w:color w:val="auto"/>
              </w:rPr>
              <w:t>operations</w:t>
            </w:r>
          </w:p>
        </w:tc>
        <w:tc>
          <w:tcPr>
            <w:tcW w:w="120" w:type="dxa"/>
            <w:vAlign w:val="bottom"/>
            <w:shd w:val="clear" w:color="auto" w:fill="EAF9E8"/>
          </w:tcPr>
          <w:p>
            <w:pPr>
              <w:spacing w:after="0"/>
              <w:rPr>
                <w:sz w:val="15"/>
                <w:szCs w:val="15"/>
                <w:color w:val="auto"/>
              </w:rPr>
            </w:pPr>
          </w:p>
        </w:tc>
        <w:tc>
          <w:tcPr>
            <w:tcW w:w="1040" w:type="dxa"/>
            <w:vAlign w:val="bottom"/>
            <w:gridSpan w:val="3"/>
            <w:shd w:val="clear" w:color="auto" w:fill="EAF9E8"/>
          </w:tcPr>
          <w:p>
            <w:pPr>
              <w:jc w:val="right"/>
              <w:ind w:right="220"/>
              <w:spacing w:after="0"/>
              <w:rPr>
                <w:sz w:val="20"/>
                <w:szCs w:val="20"/>
                <w:color w:val="auto"/>
              </w:rPr>
            </w:pPr>
            <w:r>
              <w:rPr>
                <w:rFonts w:ascii="Arial" w:cs="Arial" w:eastAsia="Arial" w:hAnsi="Arial"/>
                <w:sz w:val="14"/>
                <w:szCs w:val="14"/>
                <w:color w:val="auto"/>
              </w:rPr>
              <w:t>159,690</w:t>
            </w:r>
          </w:p>
        </w:tc>
        <w:tc>
          <w:tcPr>
            <w:tcW w:w="100" w:type="dxa"/>
            <w:vAlign w:val="bottom"/>
            <w:shd w:val="clear" w:color="auto" w:fill="EAF9E8"/>
          </w:tcPr>
          <w:p>
            <w:pPr>
              <w:spacing w:after="0"/>
              <w:rPr>
                <w:sz w:val="15"/>
                <w:szCs w:val="15"/>
                <w:color w:val="auto"/>
              </w:rPr>
            </w:pPr>
          </w:p>
        </w:tc>
        <w:tc>
          <w:tcPr>
            <w:tcW w:w="94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(4,240)</w:t>
            </w:r>
          </w:p>
        </w:tc>
        <w:tc>
          <w:tcPr>
            <w:tcW w:w="8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960" w:type="dxa"/>
            <w:vAlign w:val="bottom"/>
            <w:gridSpan w:val="2"/>
            <w:shd w:val="clear" w:color="auto" w:fill="EAF9E8"/>
          </w:tcPr>
          <w:p>
            <w:pPr>
              <w:jc w:val="right"/>
              <w:ind w:right="160"/>
              <w:spacing w:after="0"/>
              <w:rPr>
                <w:sz w:val="20"/>
                <w:szCs w:val="20"/>
                <w:color w:val="auto"/>
              </w:rPr>
            </w:pPr>
            <w:r>
              <w:rPr>
                <w:rFonts w:ascii="Arial" w:cs="Arial" w:eastAsia="Arial" w:hAnsi="Arial"/>
                <w:sz w:val="14"/>
                <w:szCs w:val="14"/>
                <w:color w:val="auto"/>
              </w:rPr>
              <w:t>(1,403)</w:t>
            </w:r>
          </w:p>
        </w:tc>
        <w:tc>
          <w:tcPr>
            <w:tcW w:w="120" w:type="dxa"/>
            <w:vAlign w:val="bottom"/>
            <w:shd w:val="clear" w:color="auto" w:fill="EAF9E8"/>
          </w:tcPr>
          <w:p>
            <w:pPr>
              <w:spacing w:after="0"/>
              <w:rPr>
                <w:sz w:val="15"/>
                <w:szCs w:val="15"/>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92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5"/>
                <w:szCs w:val="15"/>
                <w:color w:val="auto"/>
              </w:rPr>
            </w:pPr>
          </w:p>
        </w:tc>
        <w:tc>
          <w:tcPr>
            <w:tcW w:w="1020" w:type="dxa"/>
            <w:vAlign w:val="bottom"/>
            <w:gridSpan w:val="2"/>
            <w:shd w:val="clear" w:color="auto" w:fill="EAF9E8"/>
          </w:tcPr>
          <w:p>
            <w:pPr>
              <w:jc w:val="right"/>
              <w:ind w:right="160"/>
              <w:spacing w:after="0"/>
              <w:rPr>
                <w:sz w:val="20"/>
                <w:szCs w:val="20"/>
                <w:color w:val="auto"/>
              </w:rPr>
            </w:pPr>
            <w:r>
              <w:rPr>
                <w:rFonts w:ascii="Arial" w:cs="Arial" w:eastAsia="Arial" w:hAnsi="Arial"/>
                <w:sz w:val="14"/>
                <w:szCs w:val="14"/>
                <w:color w:val="auto"/>
              </w:rPr>
              <w:t>(29,375)</w:t>
            </w:r>
          </w:p>
        </w:tc>
        <w:tc>
          <w:tcPr>
            <w:tcW w:w="100" w:type="dxa"/>
            <w:vAlign w:val="bottom"/>
            <w:shd w:val="clear" w:color="auto" w:fill="EAF9E8"/>
          </w:tcPr>
          <w:p>
            <w:pPr>
              <w:spacing w:after="0"/>
              <w:rPr>
                <w:sz w:val="15"/>
                <w:szCs w:val="15"/>
                <w:color w:val="auto"/>
              </w:rPr>
            </w:pPr>
          </w:p>
        </w:tc>
        <w:tc>
          <w:tcPr>
            <w:tcW w:w="94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(765)</w:t>
            </w:r>
          </w:p>
        </w:tc>
        <w:tc>
          <w:tcPr>
            <w:tcW w:w="8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123,907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tcBorders>
              <w:top w:val="single" w:sz="8" w:color="EAF9E8"/>
            </w:tcBorders>
          </w:tcPr>
          <w:p>
            <w:pPr>
              <w:ind w:left="160"/>
              <w:spacing w:after="0" w:line="130" w:lineRule="exact"/>
              <w:rPr>
                <w:sz w:val="20"/>
                <w:szCs w:val="20"/>
                <w:color w:val="auto"/>
              </w:rPr>
            </w:pPr>
            <w:r>
              <w:rPr>
                <w:rFonts w:ascii="Arial" w:cs="Arial" w:eastAsia="Arial" w:hAnsi="Arial"/>
                <w:sz w:val="14"/>
                <w:szCs w:val="14"/>
                <w:color w:val="auto"/>
              </w:rPr>
              <w:t>Other income</w:t>
            </w: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EAF9E8"/>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Borders>
              <w:top w:val="single" w:sz="8" w:color="EAF9E8"/>
            </w:tcBorders>
          </w:tcPr>
          <w:p>
            <w:pPr>
              <w:spacing w:after="0"/>
              <w:rPr>
                <w:sz w:val="11"/>
                <w:szCs w:val="11"/>
                <w:color w:val="auto"/>
              </w:rPr>
            </w:pPr>
          </w:p>
        </w:tc>
        <w:tc>
          <w:tcPr>
            <w:tcW w:w="80" w:type="dxa"/>
            <w:vAlign w:val="bottom"/>
            <w:tcBorders>
              <w:top w:val="single" w:sz="8" w:color="EAF9E8"/>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Borders>
              <w:top w:val="single" w:sz="8" w:color="EAF9E8"/>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EAF9E8"/>
            </w:tcBorders>
          </w:tcPr>
          <w:p>
            <w:pPr>
              <w:spacing w:after="0"/>
              <w:rPr>
                <w:sz w:val="11"/>
                <w:szCs w:val="11"/>
                <w:color w:val="auto"/>
              </w:rPr>
            </w:pPr>
          </w:p>
        </w:tc>
        <w:tc>
          <w:tcPr>
            <w:tcW w:w="120" w:type="dxa"/>
            <w:vAlign w:val="bottom"/>
            <w:tcBorders>
              <w:top w:val="single" w:sz="8" w:color="EAF9E8"/>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Borders>
              <w:top w:val="single" w:sz="8" w:color="EAF9E8"/>
            </w:tcBorders>
          </w:tcPr>
          <w:p>
            <w:pPr>
              <w:spacing w:after="0"/>
              <w:rPr>
                <w:sz w:val="11"/>
                <w:szCs w:val="11"/>
                <w:color w:val="auto"/>
              </w:rPr>
            </w:pPr>
          </w:p>
        </w:tc>
        <w:tc>
          <w:tcPr>
            <w:tcW w:w="80" w:type="dxa"/>
            <w:vAlign w:val="bottom"/>
            <w:tcBorders>
              <w:top w:val="single" w:sz="8" w:color="EAF9E8"/>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Borders>
              <w:top w:val="single" w:sz="8" w:color="EAF9E8"/>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Borders>
              <w:top w:val="single" w:sz="8" w:color="EAF9E8"/>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EAF9E8"/>
            </w:tcBorders>
          </w:tcPr>
          <w:p>
            <w:pPr>
              <w:spacing w:after="0"/>
              <w:rPr>
                <w:sz w:val="11"/>
                <w:szCs w:val="11"/>
                <w:color w:val="auto"/>
              </w:rPr>
            </w:pPr>
          </w:p>
        </w:tc>
        <w:tc>
          <w:tcPr>
            <w:tcW w:w="80" w:type="dxa"/>
            <w:vAlign w:val="bottom"/>
            <w:tcBorders>
              <w:top w:val="single" w:sz="8" w:color="EAF9E8"/>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EAF9E8"/>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tcPr>
          <w:p>
            <w:pPr>
              <w:ind w:left="320"/>
              <w:spacing w:after="0"/>
              <w:rPr>
                <w:sz w:val="20"/>
                <w:szCs w:val="20"/>
                <w:color w:val="auto"/>
              </w:rPr>
            </w:pPr>
            <w:r>
              <w:rPr>
                <w:rFonts w:ascii="Arial" w:cs="Arial" w:eastAsia="Arial" w:hAnsi="Arial"/>
                <w:sz w:val="14"/>
                <w:szCs w:val="14"/>
                <w:color w:val="auto"/>
              </w:rPr>
              <w:t>(expense):</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Borders>
              <w:right w:val="single" w:sz="8" w:color="EAF9E8"/>
            </w:tcBorders>
            <w:shd w:val="clear" w:color="auto" w:fill="EAF9E8"/>
          </w:tcPr>
          <w:p>
            <w:pPr>
              <w:ind w:left="320"/>
              <w:spacing w:after="0" w:line="149" w:lineRule="exact"/>
              <w:rPr>
                <w:sz w:val="20"/>
                <w:szCs w:val="20"/>
                <w:color w:val="auto"/>
              </w:rPr>
            </w:pPr>
            <w:r>
              <w:rPr>
                <w:rFonts w:ascii="Arial" w:cs="Arial" w:eastAsia="Arial" w:hAnsi="Arial"/>
                <w:sz w:val="14"/>
                <w:szCs w:val="14"/>
                <w:color w:val="auto"/>
              </w:rPr>
              <w:t>Interest income</w:t>
            </w:r>
          </w:p>
        </w:tc>
        <w:tc>
          <w:tcPr>
            <w:tcW w:w="120" w:type="dxa"/>
            <w:vAlign w:val="bottom"/>
            <w:shd w:val="clear" w:color="auto" w:fill="EAF9E8"/>
          </w:tcPr>
          <w:p>
            <w:pPr>
              <w:spacing w:after="0"/>
              <w:rPr>
                <w:sz w:val="12"/>
                <w:szCs w:val="12"/>
                <w:color w:val="auto"/>
              </w:rPr>
            </w:pPr>
          </w:p>
        </w:tc>
        <w:tc>
          <w:tcPr>
            <w:tcW w:w="1040" w:type="dxa"/>
            <w:vAlign w:val="bottom"/>
            <w:gridSpan w:val="3"/>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207</w:t>
            </w:r>
          </w:p>
        </w:tc>
        <w:tc>
          <w:tcPr>
            <w:tcW w:w="10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9,615</w:t>
            </w:r>
          </w:p>
        </w:tc>
        <w:tc>
          <w:tcPr>
            <w:tcW w:w="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200"/>
              <w:spacing w:after="0" w:line="149" w:lineRule="exact"/>
              <w:rPr>
                <w:sz w:val="20"/>
                <w:szCs w:val="20"/>
                <w:color w:val="auto"/>
              </w:rPr>
            </w:pPr>
            <w:r>
              <w:rPr>
                <w:rFonts w:ascii="Arial" w:cs="Arial" w:eastAsia="Arial" w:hAnsi="Arial"/>
                <w:sz w:val="14"/>
                <w:szCs w:val="14"/>
                <w:color w:val="auto"/>
              </w:rPr>
              <w:t>1,037</w:t>
            </w:r>
          </w:p>
        </w:tc>
        <w:tc>
          <w:tcPr>
            <w:tcW w:w="10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10,859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ind w:left="320"/>
              <w:spacing w:after="0" w:line="149" w:lineRule="exact"/>
              <w:rPr>
                <w:sz w:val="20"/>
                <w:szCs w:val="20"/>
                <w:color w:val="auto"/>
              </w:rPr>
            </w:pPr>
            <w:r>
              <w:rPr>
                <w:rFonts w:ascii="Arial" w:cs="Arial" w:eastAsia="Arial" w:hAnsi="Arial"/>
                <w:sz w:val="14"/>
                <w:szCs w:val="14"/>
                <w:color w:val="auto"/>
                <w:w w:val="98"/>
              </w:rPr>
              <w:t>Interest expense</w:t>
            </w:r>
          </w:p>
        </w:tc>
        <w:tc>
          <w:tcPr>
            <w:tcW w:w="120" w:type="dxa"/>
            <w:vAlign w:val="bottom"/>
          </w:tcPr>
          <w:p>
            <w:pPr>
              <w:spacing w:after="0"/>
              <w:rPr>
                <w:sz w:val="12"/>
                <w:szCs w:val="12"/>
                <w:color w:val="auto"/>
              </w:rPr>
            </w:pPr>
          </w:p>
        </w:tc>
        <w:tc>
          <w:tcPr>
            <w:tcW w:w="10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(80,514)</w:t>
            </w:r>
          </w:p>
        </w:tc>
        <w:tc>
          <w:tcPr>
            <w:tcW w:w="10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(654)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(4,755)</w:t>
            </w: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(85,923)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tcBorders>
              <w:right w:val="single" w:sz="8" w:color="EAF9E8"/>
            </w:tcBorders>
            <w:shd w:val="clear" w:color="auto" w:fill="EAF9E8"/>
          </w:tcPr>
          <w:p>
            <w:pPr>
              <w:ind w:left="320"/>
              <w:spacing w:after="0" w:line="130" w:lineRule="exact"/>
              <w:rPr>
                <w:sz w:val="20"/>
                <w:szCs w:val="20"/>
                <w:color w:val="auto"/>
              </w:rPr>
            </w:pPr>
            <w:r>
              <w:rPr>
                <w:rFonts w:ascii="Arial" w:cs="Arial" w:eastAsia="Arial" w:hAnsi="Arial"/>
                <w:sz w:val="14"/>
                <w:szCs w:val="14"/>
                <w:color w:val="auto"/>
              </w:rPr>
              <w:t>Other (1) (2) (5)</w:t>
            </w:r>
          </w:p>
        </w:tc>
        <w:tc>
          <w:tcPr>
            <w:tcW w:w="12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80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74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7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78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80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80" w:type="dxa"/>
            <w:vAlign w:val="bottom"/>
            <w:tcBorders>
              <w:right w:val="single" w:sz="8" w:color="EAF9E8"/>
            </w:tcBorders>
            <w:shd w:val="clear" w:color="auto" w:fill="EAF9E8"/>
          </w:tcPr>
          <w:p>
            <w:pPr>
              <w:ind w:left="480"/>
              <w:spacing w:after="0"/>
              <w:rPr>
                <w:sz w:val="20"/>
                <w:szCs w:val="20"/>
                <w:color w:val="auto"/>
              </w:rPr>
            </w:pPr>
            <w:r>
              <w:rPr>
                <w:rFonts w:ascii="Arial" w:cs="Arial" w:eastAsia="Arial" w:hAnsi="Arial"/>
                <w:sz w:val="14"/>
                <w:szCs w:val="14"/>
                <w:color w:val="auto"/>
              </w:rPr>
              <w:t>(6)</w:t>
            </w:r>
          </w:p>
        </w:tc>
        <w:tc>
          <w:tcPr>
            <w:tcW w:w="120" w:type="dxa"/>
            <w:vAlign w:val="bottom"/>
            <w:shd w:val="clear" w:color="auto" w:fill="EAF9E8"/>
          </w:tcPr>
          <w:p>
            <w:pPr>
              <w:spacing w:after="0"/>
              <w:rPr>
                <w:sz w:val="15"/>
                <w:szCs w:val="15"/>
                <w:color w:val="auto"/>
              </w:rPr>
            </w:pPr>
          </w:p>
        </w:tc>
        <w:tc>
          <w:tcPr>
            <w:tcW w:w="1040" w:type="dxa"/>
            <w:vAlign w:val="bottom"/>
            <w:gridSpan w:val="3"/>
            <w:shd w:val="clear" w:color="auto" w:fill="EAF9E8"/>
          </w:tcPr>
          <w:p>
            <w:pPr>
              <w:jc w:val="right"/>
              <w:ind w:right="180"/>
              <w:spacing w:after="0"/>
              <w:rPr>
                <w:sz w:val="20"/>
                <w:szCs w:val="20"/>
                <w:color w:val="auto"/>
              </w:rPr>
            </w:pPr>
            <w:r>
              <w:rPr>
                <w:rFonts w:ascii="Arial" w:cs="Arial" w:eastAsia="Arial" w:hAnsi="Arial"/>
                <w:sz w:val="14"/>
                <w:szCs w:val="14"/>
                <w:color w:val="auto"/>
              </w:rPr>
              <w:t>(1,188)</w:t>
            </w:r>
          </w:p>
        </w:tc>
        <w:tc>
          <w:tcPr>
            <w:tcW w:w="100" w:type="dxa"/>
            <w:vAlign w:val="bottom"/>
            <w:shd w:val="clear" w:color="auto" w:fill="EAF9E8"/>
          </w:tcPr>
          <w:p>
            <w:pPr>
              <w:spacing w:after="0"/>
              <w:rPr>
                <w:sz w:val="15"/>
                <w:szCs w:val="15"/>
                <w:color w:val="auto"/>
              </w:rPr>
            </w:pPr>
          </w:p>
        </w:tc>
        <w:tc>
          <w:tcPr>
            <w:tcW w:w="94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(7,567)</w:t>
            </w:r>
          </w:p>
        </w:tc>
        <w:tc>
          <w:tcPr>
            <w:tcW w:w="8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96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606</w:t>
            </w:r>
          </w:p>
        </w:tc>
        <w:tc>
          <w:tcPr>
            <w:tcW w:w="120" w:type="dxa"/>
            <w:vAlign w:val="bottom"/>
            <w:shd w:val="clear" w:color="auto" w:fill="EAF9E8"/>
          </w:tcPr>
          <w:p>
            <w:pPr>
              <w:spacing w:after="0"/>
              <w:rPr>
                <w:sz w:val="15"/>
                <w:szCs w:val="15"/>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92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5"/>
                <w:szCs w:val="15"/>
                <w:color w:val="auto"/>
              </w:rPr>
            </w:pPr>
          </w:p>
        </w:tc>
        <w:tc>
          <w:tcPr>
            <w:tcW w:w="1020" w:type="dxa"/>
            <w:vAlign w:val="bottom"/>
            <w:gridSpan w:val="2"/>
            <w:shd w:val="clear" w:color="auto" w:fill="EAF9E8"/>
          </w:tcPr>
          <w:p>
            <w:pPr>
              <w:jc w:val="right"/>
              <w:ind w:right="160"/>
              <w:spacing w:after="0"/>
              <w:rPr>
                <w:sz w:val="20"/>
                <w:szCs w:val="20"/>
                <w:color w:val="auto"/>
              </w:rPr>
            </w:pPr>
            <w:r>
              <w:rPr>
                <w:rFonts w:ascii="Arial" w:cs="Arial" w:eastAsia="Arial" w:hAnsi="Arial"/>
                <w:sz w:val="14"/>
                <w:szCs w:val="14"/>
                <w:color w:val="auto"/>
              </w:rPr>
              <w:t>(2,305)</w:t>
            </w:r>
          </w:p>
        </w:tc>
        <w:tc>
          <w:tcPr>
            <w:tcW w:w="100" w:type="dxa"/>
            <w:vAlign w:val="bottom"/>
            <w:shd w:val="clear" w:color="auto" w:fill="EAF9E8"/>
          </w:tcPr>
          <w:p>
            <w:pPr>
              <w:spacing w:after="0"/>
              <w:rPr>
                <w:sz w:val="15"/>
                <w:szCs w:val="15"/>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765</w:t>
            </w:r>
          </w:p>
        </w:tc>
        <w:tc>
          <w:tcPr>
            <w:tcW w:w="8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900" w:type="dxa"/>
            <w:vAlign w:val="bottom"/>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(9,689)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tcBorders>
              <w:top w:val="single" w:sz="8" w:color="EAF9E8"/>
            </w:tcBorders>
          </w:tcPr>
          <w:p>
            <w:pPr>
              <w:ind w:left="480"/>
              <w:spacing w:after="0" w:line="130" w:lineRule="exact"/>
              <w:rPr>
                <w:sz w:val="20"/>
                <w:szCs w:val="20"/>
                <w:color w:val="auto"/>
              </w:rPr>
            </w:pPr>
            <w:r>
              <w:rPr>
                <w:rFonts w:ascii="Arial" w:cs="Arial" w:eastAsia="Arial" w:hAnsi="Arial"/>
                <w:sz w:val="14"/>
                <w:szCs w:val="14"/>
                <w:color w:val="auto"/>
              </w:rPr>
              <w:t>Other</w:t>
            </w: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EAF9E8"/>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Borders>
              <w:top w:val="single" w:sz="8" w:color="EAF9E8"/>
            </w:tcBorders>
          </w:tcPr>
          <w:p>
            <w:pPr>
              <w:spacing w:after="0"/>
              <w:rPr>
                <w:sz w:val="11"/>
                <w:szCs w:val="11"/>
                <w:color w:val="auto"/>
              </w:rPr>
            </w:pPr>
          </w:p>
        </w:tc>
        <w:tc>
          <w:tcPr>
            <w:tcW w:w="80" w:type="dxa"/>
            <w:vAlign w:val="bottom"/>
            <w:tcBorders>
              <w:top w:val="single" w:sz="8" w:color="EAF9E8"/>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Borders>
              <w:top w:val="single" w:sz="8" w:color="EAF9E8"/>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EAF9E8"/>
            </w:tcBorders>
          </w:tcPr>
          <w:p>
            <w:pPr>
              <w:spacing w:after="0"/>
              <w:rPr>
                <w:sz w:val="11"/>
                <w:szCs w:val="11"/>
                <w:color w:val="auto"/>
              </w:rPr>
            </w:pPr>
          </w:p>
        </w:tc>
        <w:tc>
          <w:tcPr>
            <w:tcW w:w="120" w:type="dxa"/>
            <w:vAlign w:val="bottom"/>
            <w:tcBorders>
              <w:top w:val="single" w:sz="8" w:color="EAF9E8"/>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Borders>
              <w:top w:val="single" w:sz="8" w:color="EAF9E8"/>
            </w:tcBorders>
          </w:tcPr>
          <w:p>
            <w:pPr>
              <w:spacing w:after="0"/>
              <w:rPr>
                <w:sz w:val="11"/>
                <w:szCs w:val="11"/>
                <w:color w:val="auto"/>
              </w:rPr>
            </w:pPr>
          </w:p>
        </w:tc>
        <w:tc>
          <w:tcPr>
            <w:tcW w:w="80" w:type="dxa"/>
            <w:vAlign w:val="bottom"/>
            <w:tcBorders>
              <w:top w:val="single" w:sz="8" w:color="EAF9E8"/>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Borders>
              <w:top w:val="single" w:sz="8" w:color="EAF9E8"/>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Borders>
              <w:top w:val="single" w:sz="8" w:color="EAF9E8"/>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EAF9E8"/>
            </w:tcBorders>
          </w:tcPr>
          <w:p>
            <w:pPr>
              <w:spacing w:after="0"/>
              <w:rPr>
                <w:sz w:val="11"/>
                <w:szCs w:val="11"/>
                <w:color w:val="auto"/>
              </w:rPr>
            </w:pPr>
          </w:p>
        </w:tc>
        <w:tc>
          <w:tcPr>
            <w:tcW w:w="80" w:type="dxa"/>
            <w:vAlign w:val="bottom"/>
            <w:tcBorders>
              <w:top w:val="single" w:sz="8" w:color="EAF9E8"/>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EAF9E8"/>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ind w:left="640"/>
              <w:spacing w:after="0" w:line="149" w:lineRule="exact"/>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ind w:left="640"/>
              <w:spacing w:after="0" w:line="149" w:lineRule="exact"/>
              <w:rPr>
                <w:sz w:val="20"/>
                <w:szCs w:val="20"/>
                <w:color w:val="auto"/>
              </w:rPr>
            </w:pPr>
            <w:r>
              <w:rPr>
                <w:rFonts w:ascii="Arial" w:cs="Arial" w:eastAsia="Arial" w:hAnsi="Arial"/>
                <w:sz w:val="14"/>
                <w:szCs w:val="14"/>
                <w:color w:val="auto"/>
              </w:rPr>
              <w:t>(expense),</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80" w:type="dxa"/>
            <w:vAlign w:val="bottom"/>
          </w:tcPr>
          <w:p>
            <w:pPr>
              <w:ind w:left="640"/>
              <w:spacing w:after="0"/>
              <w:rPr>
                <w:sz w:val="20"/>
                <w:szCs w:val="20"/>
                <w:color w:val="auto"/>
              </w:rPr>
            </w:pPr>
            <w:r>
              <w:rPr>
                <w:rFonts w:ascii="Arial" w:cs="Arial" w:eastAsia="Arial" w:hAnsi="Arial"/>
                <w:sz w:val="14"/>
                <w:szCs w:val="14"/>
                <w:color w:val="auto"/>
              </w:rPr>
              <w:t>net</w:t>
            </w:r>
          </w:p>
        </w:tc>
        <w:tc>
          <w:tcPr>
            <w:tcW w:w="120" w:type="dxa"/>
            <w:vAlign w:val="bottom"/>
          </w:tcPr>
          <w:p>
            <w:pPr>
              <w:spacing w:after="0"/>
              <w:rPr>
                <w:sz w:val="15"/>
                <w:szCs w:val="15"/>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rPr>
              <w:t>(81,495)</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1,394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606</w:t>
            </w:r>
          </w:p>
        </w:tc>
        <w:tc>
          <w:tcPr>
            <w:tcW w:w="12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(6,023)</w:t>
            </w: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765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(84,753)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tcBorders>
              <w:right w:val="single" w:sz="8" w:color="EAF9E8"/>
            </w:tcBorders>
            <w:shd w:val="clear" w:color="auto" w:fill="EAF9E8"/>
          </w:tcPr>
          <w:p>
            <w:pPr>
              <w:ind w:left="160"/>
              <w:spacing w:after="0" w:line="130" w:lineRule="exact"/>
              <w:rPr>
                <w:sz w:val="20"/>
                <w:szCs w:val="20"/>
                <w:color w:val="auto"/>
              </w:rPr>
            </w:pPr>
            <w:r>
              <w:rPr>
                <w:rFonts w:ascii="Arial" w:cs="Arial" w:eastAsia="Arial" w:hAnsi="Arial"/>
                <w:sz w:val="14"/>
                <w:szCs w:val="14"/>
                <w:color w:val="auto"/>
              </w:rPr>
              <w:t>Income (loss) from</w:t>
            </w:r>
          </w:p>
        </w:tc>
        <w:tc>
          <w:tcPr>
            <w:tcW w:w="120" w:type="dxa"/>
            <w:vAlign w:val="bottom"/>
            <w:tcBorders>
              <w:top w:val="single" w:sz="8" w:color="auto"/>
            </w:tcBorders>
            <w:shd w:val="clear" w:color="auto" w:fill="EAF9E8"/>
          </w:tcPr>
          <w:p>
            <w:pPr>
              <w:spacing w:after="0"/>
              <w:rPr>
                <w:sz w:val="11"/>
                <w:szCs w:val="11"/>
                <w:color w:val="auto"/>
              </w:rPr>
            </w:pPr>
          </w:p>
        </w:tc>
        <w:tc>
          <w:tcPr>
            <w:tcW w:w="720" w:type="dxa"/>
            <w:vAlign w:val="bottom"/>
            <w:tcBorders>
              <w:top w:val="single" w:sz="8" w:color="auto"/>
            </w:tcBorders>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800" w:type="dxa"/>
            <w:vAlign w:val="bottom"/>
            <w:tcBorders>
              <w:top w:val="single" w:sz="8" w:color="auto"/>
            </w:tcBorders>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60" w:type="dxa"/>
            <w:vAlign w:val="bottom"/>
            <w:tcBorders>
              <w:top w:val="single" w:sz="8" w:color="auto"/>
            </w:tcBorders>
            <w:shd w:val="clear" w:color="auto" w:fill="EAF9E8"/>
          </w:tcPr>
          <w:p>
            <w:pPr>
              <w:spacing w:after="0"/>
              <w:rPr>
                <w:sz w:val="11"/>
                <w:szCs w:val="11"/>
                <w:color w:val="auto"/>
              </w:rPr>
            </w:pPr>
          </w:p>
        </w:tc>
        <w:tc>
          <w:tcPr>
            <w:tcW w:w="74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20" w:type="dxa"/>
            <w:vAlign w:val="bottom"/>
            <w:tcBorders>
              <w:top w:val="single" w:sz="8" w:color="auto"/>
            </w:tcBorders>
            <w:shd w:val="clear" w:color="auto" w:fill="EAF9E8"/>
          </w:tcPr>
          <w:p>
            <w:pPr>
              <w:spacing w:after="0"/>
              <w:rPr>
                <w:sz w:val="11"/>
                <w:szCs w:val="11"/>
                <w:color w:val="auto"/>
              </w:rPr>
            </w:pPr>
          </w:p>
        </w:tc>
        <w:tc>
          <w:tcPr>
            <w:tcW w:w="780" w:type="dxa"/>
            <w:vAlign w:val="bottom"/>
            <w:tcBorders>
              <w:top w:val="single" w:sz="8" w:color="auto"/>
            </w:tcBorders>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20" w:type="dxa"/>
            <w:vAlign w:val="bottom"/>
            <w:tcBorders>
              <w:top w:val="single" w:sz="8" w:color="auto"/>
            </w:tcBorders>
            <w:shd w:val="clear" w:color="auto" w:fill="EAF9E8"/>
          </w:tcPr>
          <w:p>
            <w:pPr>
              <w:spacing w:after="0"/>
              <w:rPr>
                <w:sz w:val="11"/>
                <w:szCs w:val="11"/>
                <w:color w:val="auto"/>
              </w:rPr>
            </w:pPr>
          </w:p>
        </w:tc>
        <w:tc>
          <w:tcPr>
            <w:tcW w:w="780" w:type="dxa"/>
            <w:vAlign w:val="bottom"/>
            <w:tcBorders>
              <w:top w:val="single" w:sz="8" w:color="auto"/>
            </w:tcBorders>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80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820" w:type="dxa"/>
            <w:vAlign w:val="bottom"/>
            <w:tcBorders>
              <w:top w:val="single" w:sz="8" w:color="auto"/>
            </w:tcBorders>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820" w:type="dxa"/>
            <w:vAlign w:val="bottom"/>
            <w:tcBorders>
              <w:top w:val="single" w:sz="8" w:color="auto"/>
            </w:tcBorders>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20" w:type="dxa"/>
            <w:vAlign w:val="bottom"/>
            <w:tcBorders>
              <w:top w:val="single" w:sz="8" w:color="auto"/>
            </w:tcBorders>
            <w:shd w:val="clear" w:color="auto" w:fill="EAF9E8"/>
          </w:tcPr>
          <w:p>
            <w:pPr>
              <w:spacing w:after="0"/>
              <w:rPr>
                <w:sz w:val="11"/>
                <w:szCs w:val="11"/>
                <w:color w:val="auto"/>
              </w:rPr>
            </w:pPr>
          </w:p>
        </w:tc>
        <w:tc>
          <w:tcPr>
            <w:tcW w:w="800" w:type="dxa"/>
            <w:vAlign w:val="bottom"/>
            <w:tcBorders>
              <w:top w:val="single" w:sz="8" w:color="auto"/>
            </w:tcBorders>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Borders>
              <w:right w:val="single" w:sz="8" w:color="EAF9E8"/>
            </w:tcBorders>
            <w:shd w:val="clear" w:color="auto" w:fill="EAF9E8"/>
          </w:tcPr>
          <w:p>
            <w:pPr>
              <w:ind w:left="320"/>
              <w:spacing w:after="0" w:line="149" w:lineRule="exact"/>
              <w:rPr>
                <w:sz w:val="20"/>
                <w:szCs w:val="20"/>
                <w:color w:val="auto"/>
              </w:rPr>
            </w:pPr>
            <w:r>
              <w:rPr>
                <w:rFonts w:ascii="Arial" w:cs="Arial" w:eastAsia="Arial" w:hAnsi="Arial"/>
                <w:sz w:val="14"/>
                <w:szCs w:val="14"/>
                <w:color w:val="auto"/>
              </w:rPr>
              <w:t>continuing</w:t>
            </w:r>
          </w:p>
        </w:tc>
        <w:tc>
          <w:tcPr>
            <w:tcW w:w="12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74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Borders>
              <w:right w:val="single" w:sz="8" w:color="EAF9E8"/>
            </w:tcBorders>
            <w:shd w:val="clear" w:color="auto" w:fill="EAF9E8"/>
          </w:tcPr>
          <w:p>
            <w:pPr>
              <w:ind w:left="320"/>
              <w:spacing w:after="0" w:line="149" w:lineRule="exact"/>
              <w:rPr>
                <w:sz w:val="20"/>
                <w:szCs w:val="20"/>
                <w:color w:val="auto"/>
              </w:rPr>
            </w:pPr>
            <w:r>
              <w:rPr>
                <w:rFonts w:ascii="Arial" w:cs="Arial" w:eastAsia="Arial" w:hAnsi="Arial"/>
                <w:sz w:val="14"/>
                <w:szCs w:val="14"/>
                <w:color w:val="auto"/>
              </w:rPr>
              <w:t>operations</w:t>
            </w:r>
          </w:p>
        </w:tc>
        <w:tc>
          <w:tcPr>
            <w:tcW w:w="12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74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Borders>
              <w:right w:val="single" w:sz="8" w:color="EAF9E8"/>
            </w:tcBorders>
            <w:shd w:val="clear" w:color="auto" w:fill="EAF9E8"/>
          </w:tcPr>
          <w:p>
            <w:pPr>
              <w:ind w:left="320"/>
              <w:spacing w:after="0" w:line="149" w:lineRule="exact"/>
              <w:rPr>
                <w:sz w:val="20"/>
                <w:szCs w:val="20"/>
                <w:color w:val="auto"/>
              </w:rPr>
            </w:pPr>
            <w:r>
              <w:rPr>
                <w:rFonts w:ascii="Arial" w:cs="Arial" w:eastAsia="Arial" w:hAnsi="Arial"/>
                <w:sz w:val="14"/>
                <w:szCs w:val="14"/>
                <w:color w:val="auto"/>
              </w:rPr>
              <w:t>before income</w:t>
            </w:r>
          </w:p>
        </w:tc>
        <w:tc>
          <w:tcPr>
            <w:tcW w:w="12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74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80" w:type="dxa"/>
            <w:vAlign w:val="bottom"/>
            <w:tcBorders>
              <w:right w:val="single" w:sz="8" w:color="EAF9E8"/>
            </w:tcBorders>
            <w:shd w:val="clear" w:color="auto" w:fill="EAF9E8"/>
          </w:tcPr>
          <w:p>
            <w:pPr>
              <w:ind w:left="320"/>
              <w:spacing w:after="0"/>
              <w:rPr>
                <w:sz w:val="20"/>
                <w:szCs w:val="20"/>
                <w:color w:val="auto"/>
              </w:rPr>
            </w:pPr>
            <w:r>
              <w:rPr>
                <w:rFonts w:ascii="Arial" w:cs="Arial" w:eastAsia="Arial" w:hAnsi="Arial"/>
                <w:sz w:val="14"/>
                <w:szCs w:val="14"/>
                <w:color w:val="auto"/>
              </w:rPr>
              <w:t>taxes</w:t>
            </w: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3"/>
            <w:shd w:val="clear" w:color="auto" w:fill="EAF9E8"/>
          </w:tcPr>
          <w:p>
            <w:pPr>
              <w:jc w:val="right"/>
              <w:ind w:right="220"/>
              <w:spacing w:after="0"/>
              <w:rPr>
                <w:sz w:val="20"/>
                <w:szCs w:val="20"/>
                <w:color w:val="auto"/>
              </w:rPr>
            </w:pPr>
            <w:r>
              <w:rPr>
                <w:rFonts w:ascii="Arial" w:cs="Arial" w:eastAsia="Arial" w:hAnsi="Arial"/>
                <w:sz w:val="14"/>
                <w:szCs w:val="14"/>
                <w:color w:val="auto"/>
              </w:rPr>
              <w:t>78,195</w:t>
            </w:r>
          </w:p>
        </w:tc>
        <w:tc>
          <w:tcPr>
            <w:tcW w:w="10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(2,846)</w:t>
            </w:r>
          </w:p>
        </w:tc>
        <w:tc>
          <w:tcPr>
            <w:tcW w:w="240" w:type="dxa"/>
            <w:vAlign w:val="bottom"/>
            <w:gridSpan w:val="2"/>
            <w:shd w:val="clear" w:color="auto" w:fill="EAF9E8"/>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EAF9E8"/>
          </w:tcPr>
          <w:p>
            <w:pPr>
              <w:jc w:val="right"/>
              <w:ind w:right="160"/>
              <w:spacing w:after="0"/>
              <w:rPr>
                <w:sz w:val="20"/>
                <w:szCs w:val="20"/>
                <w:color w:val="auto"/>
              </w:rPr>
            </w:pPr>
            <w:r>
              <w:rPr>
                <w:rFonts w:ascii="Arial" w:cs="Arial" w:eastAsia="Arial" w:hAnsi="Arial"/>
                <w:sz w:val="14"/>
                <w:szCs w:val="14"/>
                <w:color w:val="auto"/>
              </w:rPr>
              <w:t>(797)</w:t>
            </w: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EAF9E8"/>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EAF9E8"/>
          </w:tcPr>
          <w:p>
            <w:pPr>
              <w:jc w:val="right"/>
              <w:ind w:right="160"/>
              <w:spacing w:after="0"/>
              <w:rPr>
                <w:sz w:val="20"/>
                <w:szCs w:val="20"/>
                <w:color w:val="auto"/>
              </w:rPr>
            </w:pPr>
            <w:r>
              <w:rPr>
                <w:rFonts w:ascii="Arial" w:cs="Arial" w:eastAsia="Arial" w:hAnsi="Arial"/>
                <w:sz w:val="14"/>
                <w:szCs w:val="14"/>
                <w:color w:val="auto"/>
              </w:rPr>
              <w:t>(35,398)</w:t>
            </w:r>
          </w:p>
        </w:tc>
        <w:tc>
          <w:tcPr>
            <w:tcW w:w="10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39,154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380" w:type="dxa"/>
            <w:vAlign w:val="bottom"/>
            <w:tcBorders>
              <w:top w:val="single" w:sz="8" w:color="EAF9E8"/>
            </w:tcBorders>
          </w:tcPr>
          <w:p>
            <w:pPr>
              <w:spacing w:after="0"/>
              <w:rPr>
                <w:sz w:val="12"/>
                <w:szCs w:val="12"/>
                <w:color w:val="auto"/>
              </w:rPr>
            </w:pPr>
          </w:p>
        </w:tc>
        <w:tc>
          <w:tcPr>
            <w:tcW w:w="840" w:type="dxa"/>
            <w:vAlign w:val="bottom"/>
            <w:tcBorders>
              <w:top w:val="single" w:sz="8" w:color="auto"/>
            </w:tcBorders>
            <w:gridSpan w:val="2"/>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Borders>
              <w:top w:val="single" w:sz="8" w:color="EAF9E8"/>
            </w:tcBorders>
          </w:tcPr>
          <w:p>
            <w:pPr>
              <w:spacing w:after="0"/>
              <w:rPr>
                <w:sz w:val="12"/>
                <w:szCs w:val="12"/>
                <w:color w:val="auto"/>
              </w:rPr>
            </w:pPr>
          </w:p>
        </w:tc>
        <w:tc>
          <w:tcPr>
            <w:tcW w:w="80" w:type="dxa"/>
            <w:vAlign w:val="bottom"/>
            <w:tcBorders>
              <w:top w:val="single" w:sz="8" w:color="EAF9E8"/>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120" w:type="dxa"/>
            <w:vAlign w:val="bottom"/>
            <w:tcBorders>
              <w:top w:val="single" w:sz="8" w:color="EAF9E8"/>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Borders>
              <w:top w:val="single" w:sz="8" w:color="EAF9E8"/>
            </w:tcBorders>
          </w:tcPr>
          <w:p>
            <w:pPr>
              <w:spacing w:after="0"/>
              <w:rPr>
                <w:sz w:val="12"/>
                <w:szCs w:val="12"/>
                <w:color w:val="auto"/>
              </w:rPr>
            </w:pPr>
          </w:p>
        </w:tc>
        <w:tc>
          <w:tcPr>
            <w:tcW w:w="80" w:type="dxa"/>
            <w:vAlign w:val="bottom"/>
            <w:tcBorders>
              <w:top w:val="single" w:sz="8" w:color="EAF9E8"/>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EAF9E8"/>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EAF9E8"/>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EAF9E8"/>
            </w:tcBorders>
          </w:tcPr>
          <w:p>
            <w:pPr>
              <w:spacing w:after="0"/>
              <w:rPr>
                <w:sz w:val="12"/>
                <w:szCs w:val="12"/>
                <w:color w:val="auto"/>
              </w:rPr>
            </w:pPr>
          </w:p>
        </w:tc>
        <w:tc>
          <w:tcPr>
            <w:tcW w:w="80" w:type="dxa"/>
            <w:vAlign w:val="bottom"/>
            <w:tcBorders>
              <w:top w:val="single" w:sz="8" w:color="EAF9E8"/>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40" w:type="dxa"/>
            <w:vAlign w:val="bottom"/>
            <w:gridSpan w:val="5"/>
            <w:shd w:val="clear" w:color="auto" w:fill="EAF9E8"/>
          </w:tcPr>
          <w:p>
            <w:pPr>
              <w:spacing w:after="0" w:line="135" w:lineRule="exact"/>
              <w:rPr>
                <w:sz w:val="20"/>
                <w:szCs w:val="20"/>
                <w:color w:val="auto"/>
              </w:rPr>
            </w:pPr>
            <w:r>
              <w:rPr>
                <w:rFonts w:ascii="Arial" w:cs="Arial" w:eastAsia="Arial" w:hAnsi="Arial"/>
                <w:sz w:val="14"/>
                <w:szCs w:val="14"/>
                <w:color w:val="auto"/>
              </w:rPr>
              <w:t>For the year ended December 31, 2009</w:t>
            </w:r>
          </w:p>
        </w:tc>
        <w:tc>
          <w:tcPr>
            <w:tcW w:w="100" w:type="dxa"/>
            <w:vAlign w:val="bottom"/>
            <w:shd w:val="clear" w:color="auto" w:fill="EAF9E8"/>
          </w:tcPr>
          <w:p>
            <w:pPr>
              <w:spacing w:after="0"/>
              <w:rPr>
                <w:sz w:val="11"/>
                <w:szCs w:val="11"/>
                <w:color w:val="auto"/>
              </w:rPr>
            </w:pPr>
          </w:p>
        </w:tc>
        <w:tc>
          <w:tcPr>
            <w:tcW w:w="80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74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7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78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80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80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74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78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78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80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820" w:type="dxa"/>
            <w:vAlign w:val="bottom"/>
            <w:shd w:val="clear" w:color="auto" w:fill="EAF9E8"/>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82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80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380" w:type="dxa"/>
            <w:vAlign w:val="bottom"/>
          </w:tcPr>
          <w:p>
            <w:pPr>
              <w:ind w:left="160"/>
              <w:spacing w:after="0" w:line="142" w:lineRule="exact"/>
              <w:rPr>
                <w:sz w:val="20"/>
                <w:szCs w:val="20"/>
                <w:color w:val="auto"/>
              </w:rPr>
            </w:pPr>
            <w:r>
              <w:rPr>
                <w:rFonts w:ascii="Arial" w:cs="Arial" w:eastAsia="Arial" w:hAnsi="Arial"/>
                <w:sz w:val="14"/>
                <w:szCs w:val="14"/>
                <w:color w:val="auto"/>
              </w:rPr>
              <w:t>Revenue (1) (2)</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gridSpan w:val="3"/>
          </w:tcPr>
          <w:p>
            <w:pPr>
              <w:jc w:val="right"/>
              <w:ind w:right="220"/>
              <w:spacing w:after="0" w:line="142" w:lineRule="exact"/>
              <w:rPr>
                <w:sz w:val="20"/>
                <w:szCs w:val="20"/>
                <w:color w:val="auto"/>
              </w:rPr>
            </w:pPr>
            <w:r>
              <w:rPr>
                <w:rFonts w:ascii="Arial" w:cs="Arial" w:eastAsia="Arial" w:hAnsi="Arial"/>
                <w:sz w:val="14"/>
                <w:szCs w:val="14"/>
                <w:color w:val="auto"/>
              </w:rPr>
              <w:t>272,725</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8"/>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1,851</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54,052</w:t>
            </w:r>
          </w:p>
        </w:tc>
        <w:tc>
          <w:tcPr>
            <w:tcW w:w="24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40,293</w:t>
            </w:r>
          </w:p>
        </w:tc>
        <w:tc>
          <w:tcPr>
            <w:tcW w:w="18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28,331</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1,066</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(17,590)</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380,728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tcBorders>
              <w:right w:val="single" w:sz="8" w:color="EAF9E8"/>
            </w:tcBorders>
            <w:shd w:val="clear" w:color="auto" w:fill="EAF9E8"/>
          </w:tcPr>
          <w:p>
            <w:pPr>
              <w:ind w:left="160"/>
              <w:spacing w:after="0" w:line="130" w:lineRule="exact"/>
              <w:rPr>
                <w:sz w:val="20"/>
                <w:szCs w:val="20"/>
                <w:color w:val="auto"/>
              </w:rPr>
            </w:pPr>
            <w:r>
              <w:rPr>
                <w:rFonts w:ascii="Arial" w:cs="Arial" w:eastAsia="Arial" w:hAnsi="Arial"/>
                <w:sz w:val="14"/>
                <w:szCs w:val="14"/>
                <w:color w:val="auto"/>
              </w:rPr>
              <w:t>Operating</w:t>
            </w:r>
          </w:p>
        </w:tc>
        <w:tc>
          <w:tcPr>
            <w:tcW w:w="12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80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74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7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78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80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Borders>
              <w:right w:val="single" w:sz="8" w:color="EAF9E8"/>
            </w:tcBorders>
            <w:shd w:val="clear" w:color="auto" w:fill="EAF9E8"/>
          </w:tcPr>
          <w:p>
            <w:pPr>
              <w:ind w:left="320"/>
              <w:spacing w:after="0" w:line="149" w:lineRule="exact"/>
              <w:rPr>
                <w:sz w:val="20"/>
                <w:szCs w:val="20"/>
                <w:color w:val="auto"/>
              </w:rPr>
            </w:pPr>
            <w:r>
              <w:rPr>
                <w:rFonts w:ascii="Arial" w:cs="Arial" w:eastAsia="Arial" w:hAnsi="Arial"/>
                <w:sz w:val="14"/>
                <w:szCs w:val="14"/>
                <w:color w:val="auto"/>
              </w:rPr>
              <w:t>expenses (1) (3)</w:t>
            </w:r>
          </w:p>
        </w:tc>
        <w:tc>
          <w:tcPr>
            <w:tcW w:w="12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74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80" w:type="dxa"/>
            <w:vAlign w:val="bottom"/>
            <w:tcBorders>
              <w:right w:val="single" w:sz="8" w:color="EAF9E8"/>
            </w:tcBorders>
            <w:shd w:val="clear" w:color="auto" w:fill="EAF9E8"/>
          </w:tcPr>
          <w:p>
            <w:pPr>
              <w:ind w:left="320"/>
              <w:spacing w:after="0"/>
              <w:rPr>
                <w:sz w:val="20"/>
                <w:szCs w:val="20"/>
                <w:color w:val="auto"/>
              </w:rPr>
            </w:pPr>
            <w:r>
              <w:rPr>
                <w:rFonts w:ascii="Arial" w:cs="Arial" w:eastAsia="Arial" w:hAnsi="Arial"/>
                <w:sz w:val="14"/>
                <w:szCs w:val="14"/>
                <w:color w:val="auto"/>
              </w:rPr>
              <w:t>(7)</w:t>
            </w:r>
          </w:p>
        </w:tc>
        <w:tc>
          <w:tcPr>
            <w:tcW w:w="120" w:type="dxa"/>
            <w:vAlign w:val="bottom"/>
            <w:shd w:val="clear" w:color="auto" w:fill="EAF9E8"/>
          </w:tcPr>
          <w:p>
            <w:pPr>
              <w:spacing w:after="0"/>
              <w:rPr>
                <w:sz w:val="15"/>
                <w:szCs w:val="15"/>
                <w:color w:val="auto"/>
              </w:rPr>
            </w:pPr>
          </w:p>
        </w:tc>
        <w:tc>
          <w:tcPr>
            <w:tcW w:w="1040" w:type="dxa"/>
            <w:vAlign w:val="bottom"/>
            <w:gridSpan w:val="3"/>
            <w:shd w:val="clear" w:color="auto" w:fill="EAF9E8"/>
          </w:tcPr>
          <w:p>
            <w:pPr>
              <w:jc w:val="right"/>
              <w:ind w:right="220"/>
              <w:spacing w:after="0"/>
              <w:rPr>
                <w:sz w:val="20"/>
                <w:szCs w:val="20"/>
                <w:color w:val="auto"/>
              </w:rPr>
            </w:pPr>
            <w:r>
              <w:rPr>
                <w:rFonts w:ascii="Arial" w:cs="Arial" w:eastAsia="Arial" w:hAnsi="Arial"/>
                <w:sz w:val="14"/>
                <w:szCs w:val="14"/>
                <w:color w:val="auto"/>
              </w:rPr>
              <w:t>129,252</w:t>
            </w:r>
          </w:p>
        </w:tc>
        <w:tc>
          <w:tcPr>
            <w:tcW w:w="100" w:type="dxa"/>
            <w:vAlign w:val="bottom"/>
            <w:shd w:val="clear" w:color="auto" w:fill="EAF9E8"/>
          </w:tcPr>
          <w:p>
            <w:pPr>
              <w:spacing w:after="0"/>
              <w:rPr>
                <w:sz w:val="15"/>
                <w:szCs w:val="15"/>
                <w:color w:val="auto"/>
              </w:rPr>
            </w:pPr>
          </w:p>
        </w:tc>
        <w:tc>
          <w:tcPr>
            <w:tcW w:w="94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2,831</w:t>
            </w:r>
          </w:p>
        </w:tc>
        <w:tc>
          <w:tcPr>
            <w:tcW w:w="8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96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3,108</w:t>
            </w:r>
          </w:p>
        </w:tc>
        <w:tc>
          <w:tcPr>
            <w:tcW w:w="120" w:type="dxa"/>
            <w:vAlign w:val="bottom"/>
            <w:shd w:val="clear" w:color="auto" w:fill="EAF9E8"/>
          </w:tcPr>
          <w:p>
            <w:pPr>
              <w:spacing w:after="0"/>
              <w:rPr>
                <w:sz w:val="15"/>
                <w:szCs w:val="15"/>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37,040</w:t>
            </w:r>
          </w:p>
        </w:tc>
        <w:tc>
          <w:tcPr>
            <w:tcW w:w="12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92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45,002</w:t>
            </w:r>
          </w:p>
        </w:tc>
        <w:tc>
          <w:tcPr>
            <w:tcW w:w="8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18,638</w:t>
            </w:r>
          </w:p>
        </w:tc>
        <w:tc>
          <w:tcPr>
            <w:tcW w:w="100" w:type="dxa"/>
            <w:vAlign w:val="bottom"/>
            <w:shd w:val="clear" w:color="auto" w:fill="EAF9E8"/>
          </w:tcPr>
          <w:p>
            <w:pPr>
              <w:spacing w:after="0"/>
              <w:rPr>
                <w:sz w:val="15"/>
                <w:szCs w:val="15"/>
                <w:color w:val="auto"/>
              </w:rPr>
            </w:pPr>
          </w:p>
        </w:tc>
        <w:tc>
          <w:tcPr>
            <w:tcW w:w="102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16,308</w:t>
            </w:r>
          </w:p>
        </w:tc>
        <w:tc>
          <w:tcPr>
            <w:tcW w:w="100" w:type="dxa"/>
            <w:vAlign w:val="bottom"/>
            <w:shd w:val="clear" w:color="auto" w:fill="EAF9E8"/>
          </w:tcPr>
          <w:p>
            <w:pPr>
              <w:spacing w:after="0"/>
              <w:rPr>
                <w:sz w:val="15"/>
                <w:szCs w:val="15"/>
                <w:color w:val="auto"/>
              </w:rPr>
            </w:pPr>
          </w:p>
        </w:tc>
        <w:tc>
          <w:tcPr>
            <w:tcW w:w="94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(16,525)</w:t>
            </w:r>
          </w:p>
        </w:tc>
        <w:tc>
          <w:tcPr>
            <w:tcW w:w="8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235,654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tcBorders>
              <w:top w:val="single" w:sz="8" w:color="EAF9E8"/>
            </w:tcBorders>
          </w:tcPr>
          <w:p>
            <w:pPr>
              <w:ind w:left="160"/>
              <w:spacing w:after="0" w:line="130" w:lineRule="exact"/>
              <w:rPr>
                <w:sz w:val="20"/>
                <w:szCs w:val="20"/>
                <w:color w:val="auto"/>
              </w:rPr>
            </w:pPr>
            <w:r>
              <w:rPr>
                <w:rFonts w:ascii="Arial" w:cs="Arial" w:eastAsia="Arial" w:hAnsi="Arial"/>
                <w:sz w:val="14"/>
                <w:szCs w:val="14"/>
                <w:color w:val="auto"/>
              </w:rPr>
              <w:t>Income (loss) from</w:t>
            </w: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EAF9E8"/>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Borders>
              <w:top w:val="single" w:sz="8" w:color="EAF9E8"/>
            </w:tcBorders>
          </w:tcPr>
          <w:p>
            <w:pPr>
              <w:spacing w:after="0"/>
              <w:rPr>
                <w:sz w:val="11"/>
                <w:szCs w:val="11"/>
                <w:color w:val="auto"/>
              </w:rPr>
            </w:pPr>
          </w:p>
        </w:tc>
        <w:tc>
          <w:tcPr>
            <w:tcW w:w="80" w:type="dxa"/>
            <w:vAlign w:val="bottom"/>
            <w:tcBorders>
              <w:top w:val="single" w:sz="8" w:color="EAF9E8"/>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Borders>
              <w:top w:val="single" w:sz="8" w:color="EAF9E8"/>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EAF9E8"/>
            </w:tcBorders>
          </w:tcPr>
          <w:p>
            <w:pPr>
              <w:spacing w:after="0"/>
              <w:rPr>
                <w:sz w:val="11"/>
                <w:szCs w:val="11"/>
                <w:color w:val="auto"/>
              </w:rPr>
            </w:pPr>
          </w:p>
        </w:tc>
        <w:tc>
          <w:tcPr>
            <w:tcW w:w="120" w:type="dxa"/>
            <w:vAlign w:val="bottom"/>
            <w:tcBorders>
              <w:top w:val="single" w:sz="8" w:color="EAF9E8"/>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Borders>
              <w:top w:val="single" w:sz="8" w:color="EAF9E8"/>
            </w:tcBorders>
          </w:tcPr>
          <w:p>
            <w:pPr>
              <w:spacing w:after="0"/>
              <w:rPr>
                <w:sz w:val="11"/>
                <w:szCs w:val="11"/>
                <w:color w:val="auto"/>
              </w:rPr>
            </w:pPr>
          </w:p>
        </w:tc>
        <w:tc>
          <w:tcPr>
            <w:tcW w:w="80" w:type="dxa"/>
            <w:vAlign w:val="bottom"/>
            <w:tcBorders>
              <w:top w:val="single" w:sz="8" w:color="EAF9E8"/>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Borders>
              <w:top w:val="single" w:sz="8" w:color="EAF9E8"/>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Borders>
              <w:top w:val="single" w:sz="8" w:color="EAF9E8"/>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EAF9E8"/>
            </w:tcBorders>
          </w:tcPr>
          <w:p>
            <w:pPr>
              <w:spacing w:after="0"/>
              <w:rPr>
                <w:sz w:val="11"/>
                <w:szCs w:val="11"/>
                <w:color w:val="auto"/>
              </w:rPr>
            </w:pPr>
          </w:p>
        </w:tc>
        <w:tc>
          <w:tcPr>
            <w:tcW w:w="80" w:type="dxa"/>
            <w:vAlign w:val="bottom"/>
            <w:tcBorders>
              <w:top w:val="single" w:sz="8" w:color="EAF9E8"/>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EAF9E8"/>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80" w:type="dxa"/>
            <w:vAlign w:val="bottom"/>
          </w:tcPr>
          <w:p>
            <w:pPr>
              <w:ind w:left="320"/>
              <w:spacing w:after="0"/>
              <w:rPr>
                <w:sz w:val="20"/>
                <w:szCs w:val="20"/>
                <w:color w:val="auto"/>
              </w:rPr>
            </w:pPr>
            <w:r>
              <w:rPr>
                <w:rFonts w:ascii="Arial" w:cs="Arial" w:eastAsia="Arial" w:hAnsi="Arial"/>
                <w:sz w:val="14"/>
                <w:szCs w:val="14"/>
                <w:color w:val="auto"/>
              </w:rPr>
              <w:t>operations</w:t>
            </w:r>
          </w:p>
        </w:tc>
        <w:tc>
          <w:tcPr>
            <w:tcW w:w="120" w:type="dxa"/>
            <w:vAlign w:val="bottom"/>
          </w:tcPr>
          <w:p>
            <w:pPr>
              <w:spacing w:after="0"/>
              <w:rPr>
                <w:sz w:val="15"/>
                <w:szCs w:val="15"/>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4"/>
                <w:szCs w:val="14"/>
                <w:color w:val="auto"/>
              </w:rPr>
              <w:t>143,473</w:t>
            </w:r>
          </w:p>
        </w:tc>
        <w:tc>
          <w:tcPr>
            <w:tcW w:w="10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(2,831)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(1,257)</w:t>
            </w:r>
          </w:p>
        </w:tc>
        <w:tc>
          <w:tcPr>
            <w:tcW w:w="12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17,012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(4,709)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9,693</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(15,242)</w:t>
            </w:r>
          </w:p>
        </w:tc>
        <w:tc>
          <w:tcPr>
            <w:tcW w:w="10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(1,065)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145,074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tcBorders>
              <w:right w:val="single" w:sz="8" w:color="EAF9E8"/>
            </w:tcBorders>
            <w:shd w:val="clear" w:color="auto" w:fill="EAF9E8"/>
          </w:tcPr>
          <w:p>
            <w:pPr>
              <w:ind w:left="160"/>
              <w:spacing w:after="0" w:line="130" w:lineRule="exact"/>
              <w:rPr>
                <w:sz w:val="20"/>
                <w:szCs w:val="20"/>
                <w:color w:val="auto"/>
              </w:rPr>
            </w:pPr>
            <w:r>
              <w:rPr>
                <w:rFonts w:ascii="Arial" w:cs="Arial" w:eastAsia="Arial" w:hAnsi="Arial"/>
                <w:sz w:val="14"/>
                <w:szCs w:val="14"/>
                <w:color w:val="auto"/>
              </w:rPr>
              <w:t>Other income</w:t>
            </w:r>
          </w:p>
        </w:tc>
        <w:tc>
          <w:tcPr>
            <w:tcW w:w="120" w:type="dxa"/>
            <w:vAlign w:val="bottom"/>
            <w:tcBorders>
              <w:top w:val="single" w:sz="8" w:color="auto"/>
            </w:tcBorders>
            <w:shd w:val="clear" w:color="auto" w:fill="EAF9E8"/>
          </w:tcPr>
          <w:p>
            <w:pPr>
              <w:spacing w:after="0"/>
              <w:rPr>
                <w:sz w:val="11"/>
                <w:szCs w:val="11"/>
                <w:color w:val="auto"/>
              </w:rPr>
            </w:pPr>
          </w:p>
        </w:tc>
        <w:tc>
          <w:tcPr>
            <w:tcW w:w="720" w:type="dxa"/>
            <w:vAlign w:val="bottom"/>
            <w:tcBorders>
              <w:top w:val="single" w:sz="8" w:color="auto"/>
            </w:tcBorders>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800" w:type="dxa"/>
            <w:vAlign w:val="bottom"/>
            <w:tcBorders>
              <w:top w:val="single" w:sz="8" w:color="auto"/>
            </w:tcBorders>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60" w:type="dxa"/>
            <w:vAlign w:val="bottom"/>
            <w:tcBorders>
              <w:top w:val="single" w:sz="8" w:color="auto"/>
            </w:tcBorders>
            <w:shd w:val="clear" w:color="auto" w:fill="EAF9E8"/>
          </w:tcPr>
          <w:p>
            <w:pPr>
              <w:spacing w:after="0"/>
              <w:rPr>
                <w:sz w:val="11"/>
                <w:szCs w:val="11"/>
                <w:color w:val="auto"/>
              </w:rPr>
            </w:pPr>
          </w:p>
        </w:tc>
        <w:tc>
          <w:tcPr>
            <w:tcW w:w="74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20" w:type="dxa"/>
            <w:vAlign w:val="bottom"/>
            <w:tcBorders>
              <w:top w:val="single" w:sz="8" w:color="auto"/>
            </w:tcBorders>
            <w:shd w:val="clear" w:color="auto" w:fill="EAF9E8"/>
          </w:tcPr>
          <w:p>
            <w:pPr>
              <w:spacing w:after="0"/>
              <w:rPr>
                <w:sz w:val="11"/>
                <w:szCs w:val="11"/>
                <w:color w:val="auto"/>
              </w:rPr>
            </w:pPr>
          </w:p>
        </w:tc>
        <w:tc>
          <w:tcPr>
            <w:tcW w:w="780" w:type="dxa"/>
            <w:vAlign w:val="bottom"/>
            <w:tcBorders>
              <w:top w:val="single" w:sz="8" w:color="auto"/>
            </w:tcBorders>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20" w:type="dxa"/>
            <w:vAlign w:val="bottom"/>
            <w:tcBorders>
              <w:top w:val="single" w:sz="8" w:color="auto"/>
            </w:tcBorders>
            <w:shd w:val="clear" w:color="auto" w:fill="EAF9E8"/>
          </w:tcPr>
          <w:p>
            <w:pPr>
              <w:spacing w:after="0"/>
              <w:rPr>
                <w:sz w:val="11"/>
                <w:szCs w:val="11"/>
                <w:color w:val="auto"/>
              </w:rPr>
            </w:pPr>
          </w:p>
        </w:tc>
        <w:tc>
          <w:tcPr>
            <w:tcW w:w="780" w:type="dxa"/>
            <w:vAlign w:val="bottom"/>
            <w:tcBorders>
              <w:top w:val="single" w:sz="8" w:color="auto"/>
            </w:tcBorders>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80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820" w:type="dxa"/>
            <w:vAlign w:val="bottom"/>
            <w:tcBorders>
              <w:top w:val="single" w:sz="8" w:color="auto"/>
            </w:tcBorders>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820" w:type="dxa"/>
            <w:vAlign w:val="bottom"/>
            <w:tcBorders>
              <w:top w:val="single" w:sz="8" w:color="auto"/>
            </w:tcBorders>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20" w:type="dxa"/>
            <w:vAlign w:val="bottom"/>
            <w:tcBorders>
              <w:top w:val="single" w:sz="8" w:color="auto"/>
            </w:tcBorders>
            <w:shd w:val="clear" w:color="auto" w:fill="EAF9E8"/>
          </w:tcPr>
          <w:p>
            <w:pPr>
              <w:spacing w:after="0"/>
              <w:rPr>
                <w:sz w:val="11"/>
                <w:szCs w:val="11"/>
                <w:color w:val="auto"/>
              </w:rPr>
            </w:pPr>
          </w:p>
        </w:tc>
        <w:tc>
          <w:tcPr>
            <w:tcW w:w="800" w:type="dxa"/>
            <w:vAlign w:val="bottom"/>
            <w:tcBorders>
              <w:top w:val="single" w:sz="8" w:color="auto"/>
            </w:tcBorders>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tcBorders>
              <w:right w:val="single" w:sz="8" w:color="EAF9E8"/>
            </w:tcBorders>
            <w:shd w:val="clear" w:color="auto" w:fill="EAF9E8"/>
          </w:tcPr>
          <w:p>
            <w:pPr>
              <w:ind w:left="320"/>
              <w:spacing w:after="0"/>
              <w:rPr>
                <w:sz w:val="20"/>
                <w:szCs w:val="20"/>
                <w:color w:val="auto"/>
              </w:rPr>
            </w:pPr>
            <w:r>
              <w:rPr>
                <w:rFonts w:ascii="Arial" w:cs="Arial" w:eastAsia="Arial" w:hAnsi="Arial"/>
                <w:sz w:val="14"/>
                <w:szCs w:val="14"/>
                <w:color w:val="auto"/>
              </w:rPr>
              <w:t>(expense):</w:t>
            </w:r>
          </w:p>
        </w:tc>
        <w:tc>
          <w:tcPr>
            <w:tcW w:w="120" w:type="dxa"/>
            <w:vAlign w:val="bottom"/>
            <w:shd w:val="clear" w:color="auto" w:fill="EAF9E8"/>
          </w:tcPr>
          <w:p>
            <w:pPr>
              <w:spacing w:after="0"/>
              <w:rPr>
                <w:sz w:val="14"/>
                <w:szCs w:val="14"/>
                <w:color w:val="auto"/>
              </w:rPr>
            </w:pPr>
          </w:p>
        </w:tc>
        <w:tc>
          <w:tcPr>
            <w:tcW w:w="72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80" w:type="dxa"/>
            <w:vAlign w:val="bottom"/>
            <w:shd w:val="clear" w:color="auto" w:fill="EAF9E8"/>
          </w:tcPr>
          <w:p>
            <w:pPr>
              <w:spacing w:after="0"/>
              <w:rPr>
                <w:sz w:val="14"/>
                <w:szCs w:val="14"/>
                <w:color w:val="auto"/>
              </w:rPr>
            </w:pPr>
          </w:p>
        </w:tc>
        <w:tc>
          <w:tcPr>
            <w:tcW w:w="160" w:type="dxa"/>
            <w:vAlign w:val="bottom"/>
            <w:shd w:val="clear" w:color="auto" w:fill="EAF9E8"/>
          </w:tcPr>
          <w:p>
            <w:pPr>
              <w:spacing w:after="0"/>
              <w:rPr>
                <w:sz w:val="14"/>
                <w:szCs w:val="14"/>
                <w:color w:val="auto"/>
              </w:rPr>
            </w:pPr>
          </w:p>
        </w:tc>
        <w:tc>
          <w:tcPr>
            <w:tcW w:w="74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78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78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8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820" w:type="dxa"/>
            <w:vAlign w:val="bottom"/>
            <w:shd w:val="clear" w:color="auto" w:fill="EAF9E8"/>
          </w:tcPr>
          <w:p>
            <w:pPr>
              <w:spacing w:after="0"/>
              <w:rPr>
                <w:sz w:val="14"/>
                <w:szCs w:val="14"/>
                <w:color w:val="auto"/>
              </w:rPr>
            </w:pPr>
          </w:p>
        </w:tc>
        <w:tc>
          <w:tcPr>
            <w:tcW w:w="2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82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8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ind w:left="320"/>
              <w:spacing w:after="0" w:line="149" w:lineRule="exact"/>
              <w:rPr>
                <w:sz w:val="20"/>
                <w:szCs w:val="20"/>
                <w:color w:val="auto"/>
              </w:rPr>
            </w:pPr>
            <w:r>
              <w:rPr>
                <w:rFonts w:ascii="Arial" w:cs="Arial" w:eastAsia="Arial" w:hAnsi="Arial"/>
                <w:sz w:val="14"/>
                <w:szCs w:val="14"/>
                <w:color w:val="auto"/>
              </w:rPr>
              <w:t>Interest income</w:t>
            </w:r>
          </w:p>
        </w:tc>
        <w:tc>
          <w:tcPr>
            <w:tcW w:w="120" w:type="dxa"/>
            <w:vAlign w:val="bottom"/>
          </w:tcPr>
          <w:p>
            <w:pPr>
              <w:spacing w:after="0"/>
              <w:rPr>
                <w:sz w:val="12"/>
                <w:szCs w:val="12"/>
                <w:color w:val="auto"/>
              </w:rPr>
            </w:pPr>
          </w:p>
        </w:tc>
        <w:tc>
          <w:tcPr>
            <w:tcW w:w="10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266</w:t>
            </w:r>
          </w:p>
        </w:tc>
        <w:tc>
          <w:tcPr>
            <w:tcW w:w="1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7,183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1,335</w:t>
            </w: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8,786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Borders>
              <w:right w:val="single" w:sz="8" w:color="EAF9E8"/>
            </w:tcBorders>
            <w:shd w:val="clear" w:color="auto" w:fill="EAF9E8"/>
          </w:tcPr>
          <w:p>
            <w:pPr>
              <w:ind w:left="320"/>
              <w:spacing w:after="0" w:line="149" w:lineRule="exact"/>
              <w:rPr>
                <w:sz w:val="20"/>
                <w:szCs w:val="20"/>
                <w:color w:val="auto"/>
              </w:rPr>
            </w:pPr>
            <w:r>
              <w:rPr>
                <w:rFonts w:ascii="Arial" w:cs="Arial" w:eastAsia="Arial" w:hAnsi="Arial"/>
                <w:sz w:val="14"/>
                <w:szCs w:val="14"/>
                <w:color w:val="auto"/>
                <w:w w:val="98"/>
              </w:rPr>
              <w:t>Interest expense</w:t>
            </w:r>
          </w:p>
        </w:tc>
        <w:tc>
          <w:tcPr>
            <w:tcW w:w="120" w:type="dxa"/>
            <w:vAlign w:val="bottom"/>
            <w:shd w:val="clear" w:color="auto" w:fill="EAF9E8"/>
          </w:tcPr>
          <w:p>
            <w:pPr>
              <w:spacing w:after="0"/>
              <w:rPr>
                <w:sz w:val="12"/>
                <w:szCs w:val="12"/>
                <w:color w:val="auto"/>
              </w:rPr>
            </w:pPr>
          </w:p>
        </w:tc>
        <w:tc>
          <w:tcPr>
            <w:tcW w:w="1040" w:type="dxa"/>
            <w:vAlign w:val="bottom"/>
            <w:gridSpan w:val="3"/>
            <w:shd w:val="clear" w:color="auto" w:fill="EAF9E8"/>
          </w:tcPr>
          <w:p>
            <w:pPr>
              <w:jc w:val="right"/>
              <w:ind w:right="180"/>
              <w:spacing w:after="0" w:line="149" w:lineRule="exact"/>
              <w:rPr>
                <w:sz w:val="20"/>
                <w:szCs w:val="20"/>
                <w:color w:val="auto"/>
              </w:rPr>
            </w:pPr>
            <w:r>
              <w:rPr>
                <w:rFonts w:ascii="Arial" w:cs="Arial" w:eastAsia="Arial" w:hAnsi="Arial"/>
                <w:sz w:val="14"/>
                <w:szCs w:val="14"/>
                <w:color w:val="auto"/>
              </w:rPr>
              <w:t>(59,458)</w:t>
            </w:r>
          </w:p>
        </w:tc>
        <w:tc>
          <w:tcPr>
            <w:tcW w:w="10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(1,447)</w:t>
            </w:r>
          </w:p>
        </w:tc>
        <w:tc>
          <w:tcPr>
            <w:tcW w:w="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2"/>
                <w:szCs w:val="12"/>
                <w:color w:val="auto"/>
              </w:rPr>
            </w:pPr>
          </w:p>
        </w:tc>
        <w:tc>
          <w:tcPr>
            <w:tcW w:w="880" w:type="dxa"/>
            <w:vAlign w:val="bottom"/>
            <w:gridSpan w:val="2"/>
            <w:shd w:val="clear" w:color="auto" w:fill="EAF9E8"/>
          </w:tcPr>
          <w:p>
            <w:pPr>
              <w:jc w:val="right"/>
              <w:ind w:right="40"/>
              <w:spacing w:after="0" w:line="149" w:lineRule="exact"/>
              <w:rPr>
                <w:sz w:val="20"/>
                <w:szCs w:val="20"/>
                <w:color w:val="auto"/>
              </w:rPr>
            </w:pPr>
            <w:r>
              <w:rPr>
                <w:rFonts w:ascii="Arial" w:cs="Arial" w:eastAsia="Arial" w:hAnsi="Arial"/>
                <w:sz w:val="14"/>
                <w:szCs w:val="14"/>
                <w:color w:val="auto"/>
              </w:rPr>
              <w:t>(28)</w:t>
            </w:r>
          </w:p>
        </w:tc>
        <w:tc>
          <w:tcPr>
            <w:tcW w:w="1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(1,285)</w:t>
            </w: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60"/>
              <w:spacing w:after="0" w:line="149" w:lineRule="exact"/>
              <w:rPr>
                <w:sz w:val="20"/>
                <w:szCs w:val="20"/>
                <w:color w:val="auto"/>
              </w:rPr>
            </w:pPr>
            <w:r>
              <w:rPr>
                <w:rFonts w:ascii="Arial" w:cs="Arial" w:eastAsia="Arial" w:hAnsi="Arial"/>
                <w:sz w:val="14"/>
                <w:szCs w:val="14"/>
                <w:color w:val="auto"/>
              </w:rPr>
              <w:t>(289)</w:t>
            </w:r>
          </w:p>
        </w:tc>
        <w:tc>
          <w:tcPr>
            <w:tcW w:w="10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60"/>
              <w:spacing w:after="0" w:line="149" w:lineRule="exact"/>
              <w:rPr>
                <w:sz w:val="20"/>
                <w:szCs w:val="20"/>
                <w:color w:val="auto"/>
              </w:rPr>
            </w:pPr>
            <w:r>
              <w:rPr>
                <w:rFonts w:ascii="Arial" w:cs="Arial" w:eastAsia="Arial" w:hAnsi="Arial"/>
                <w:sz w:val="14"/>
                <w:szCs w:val="14"/>
                <w:color w:val="auto"/>
              </w:rPr>
              <w:t>(447)</w:t>
            </w:r>
          </w:p>
        </w:tc>
        <w:tc>
          <w:tcPr>
            <w:tcW w:w="10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60"/>
              <w:spacing w:after="0" w:line="149" w:lineRule="exact"/>
              <w:rPr>
                <w:sz w:val="20"/>
                <w:szCs w:val="20"/>
                <w:color w:val="auto"/>
              </w:rPr>
            </w:pPr>
            <w:r>
              <w:rPr>
                <w:rFonts w:ascii="Arial" w:cs="Arial" w:eastAsia="Arial" w:hAnsi="Arial"/>
                <w:sz w:val="14"/>
                <w:szCs w:val="14"/>
                <w:color w:val="auto"/>
              </w:rPr>
              <w:t>(62,954)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80" w:type="dxa"/>
            <w:vAlign w:val="bottom"/>
          </w:tcPr>
          <w:p>
            <w:pPr>
              <w:ind w:left="320"/>
              <w:spacing w:after="0" w:line="149" w:lineRule="exact"/>
              <w:rPr>
                <w:sz w:val="20"/>
                <w:szCs w:val="20"/>
                <w:color w:val="auto"/>
              </w:rPr>
            </w:pPr>
            <w:r>
              <w:rPr>
                <w:rFonts w:ascii="Arial" w:cs="Arial" w:eastAsia="Arial" w:hAnsi="Arial"/>
                <w:sz w:val="14"/>
                <w:szCs w:val="14"/>
                <w:color w:val="auto"/>
              </w:rPr>
              <w:t>Other (1) (2) (6)</w:t>
            </w:r>
          </w:p>
        </w:tc>
        <w:tc>
          <w:tcPr>
            <w:tcW w:w="120" w:type="dxa"/>
            <w:vAlign w:val="bottom"/>
          </w:tcPr>
          <w:p>
            <w:pPr>
              <w:spacing w:after="0"/>
              <w:rPr>
                <w:sz w:val="13"/>
                <w:szCs w:val="13"/>
                <w:color w:val="auto"/>
              </w:rPr>
            </w:pPr>
          </w:p>
        </w:tc>
        <w:tc>
          <w:tcPr>
            <w:tcW w:w="10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3,400</w:t>
            </w:r>
          </w:p>
        </w:tc>
        <w:tc>
          <w:tcPr>
            <w:tcW w:w="100" w:type="dxa"/>
            <w:vAlign w:val="bottom"/>
          </w:tcPr>
          <w:p>
            <w:pPr>
              <w:spacing w:after="0"/>
              <w:rPr>
                <w:sz w:val="13"/>
                <w:szCs w:val="13"/>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(12,026)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(4,060)</w:t>
            </w:r>
          </w:p>
        </w:tc>
        <w:tc>
          <w:tcPr>
            <w:tcW w:w="120" w:type="dxa"/>
            <w:vAlign w:val="bottom"/>
          </w:tcPr>
          <w:p>
            <w:pPr>
              <w:spacing w:after="0"/>
              <w:rPr>
                <w:sz w:val="13"/>
                <w:szCs w:val="13"/>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829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186</w:t>
            </w:r>
          </w:p>
        </w:tc>
        <w:tc>
          <w:tcPr>
            <w:tcW w:w="100" w:type="dxa"/>
            <w:vAlign w:val="bottom"/>
          </w:tcPr>
          <w:p>
            <w:pPr>
              <w:spacing w:after="0"/>
              <w:rPr>
                <w:sz w:val="13"/>
                <w:szCs w:val="13"/>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12,936</w:t>
            </w:r>
          </w:p>
        </w:tc>
        <w:tc>
          <w:tcPr>
            <w:tcW w:w="100" w:type="dxa"/>
            <w:vAlign w:val="bottom"/>
          </w:tcPr>
          <w:p>
            <w:pPr>
              <w:spacing w:after="0"/>
              <w:rPr>
                <w:sz w:val="13"/>
                <w:szCs w:val="13"/>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1,065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2,355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tcBorders>
              <w:right w:val="single" w:sz="8" w:color="EAF9E8"/>
            </w:tcBorders>
            <w:shd w:val="clear" w:color="auto" w:fill="EAF9E8"/>
          </w:tcPr>
          <w:p>
            <w:pPr>
              <w:ind w:left="480"/>
              <w:spacing w:after="0" w:line="130" w:lineRule="exact"/>
              <w:rPr>
                <w:sz w:val="20"/>
                <w:szCs w:val="20"/>
                <w:color w:val="auto"/>
              </w:rPr>
            </w:pPr>
            <w:r>
              <w:rPr>
                <w:rFonts w:ascii="Arial" w:cs="Arial" w:eastAsia="Arial" w:hAnsi="Arial"/>
                <w:sz w:val="14"/>
                <w:szCs w:val="14"/>
                <w:color w:val="auto"/>
              </w:rPr>
              <w:t>Other</w:t>
            </w:r>
          </w:p>
        </w:tc>
        <w:tc>
          <w:tcPr>
            <w:tcW w:w="120" w:type="dxa"/>
            <w:vAlign w:val="bottom"/>
            <w:tcBorders>
              <w:top w:val="single" w:sz="8" w:color="auto"/>
            </w:tcBorders>
            <w:shd w:val="clear" w:color="auto" w:fill="EAF9E8"/>
          </w:tcPr>
          <w:p>
            <w:pPr>
              <w:spacing w:after="0"/>
              <w:rPr>
                <w:sz w:val="11"/>
                <w:szCs w:val="11"/>
                <w:color w:val="auto"/>
              </w:rPr>
            </w:pPr>
          </w:p>
        </w:tc>
        <w:tc>
          <w:tcPr>
            <w:tcW w:w="720" w:type="dxa"/>
            <w:vAlign w:val="bottom"/>
            <w:tcBorders>
              <w:top w:val="single" w:sz="8" w:color="auto"/>
            </w:tcBorders>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800" w:type="dxa"/>
            <w:vAlign w:val="bottom"/>
            <w:tcBorders>
              <w:top w:val="single" w:sz="8" w:color="auto"/>
            </w:tcBorders>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60" w:type="dxa"/>
            <w:vAlign w:val="bottom"/>
            <w:tcBorders>
              <w:top w:val="single" w:sz="8" w:color="auto"/>
            </w:tcBorders>
            <w:shd w:val="clear" w:color="auto" w:fill="EAF9E8"/>
          </w:tcPr>
          <w:p>
            <w:pPr>
              <w:spacing w:after="0"/>
              <w:rPr>
                <w:sz w:val="11"/>
                <w:szCs w:val="11"/>
                <w:color w:val="auto"/>
              </w:rPr>
            </w:pPr>
          </w:p>
        </w:tc>
        <w:tc>
          <w:tcPr>
            <w:tcW w:w="74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20" w:type="dxa"/>
            <w:vAlign w:val="bottom"/>
            <w:tcBorders>
              <w:top w:val="single" w:sz="8" w:color="auto"/>
            </w:tcBorders>
            <w:shd w:val="clear" w:color="auto" w:fill="EAF9E8"/>
          </w:tcPr>
          <w:p>
            <w:pPr>
              <w:spacing w:after="0"/>
              <w:rPr>
                <w:sz w:val="11"/>
                <w:szCs w:val="11"/>
                <w:color w:val="auto"/>
              </w:rPr>
            </w:pPr>
          </w:p>
        </w:tc>
        <w:tc>
          <w:tcPr>
            <w:tcW w:w="780" w:type="dxa"/>
            <w:vAlign w:val="bottom"/>
            <w:tcBorders>
              <w:top w:val="single" w:sz="8" w:color="auto"/>
            </w:tcBorders>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20" w:type="dxa"/>
            <w:vAlign w:val="bottom"/>
            <w:tcBorders>
              <w:top w:val="single" w:sz="8" w:color="auto"/>
            </w:tcBorders>
            <w:shd w:val="clear" w:color="auto" w:fill="EAF9E8"/>
          </w:tcPr>
          <w:p>
            <w:pPr>
              <w:spacing w:after="0"/>
              <w:rPr>
                <w:sz w:val="11"/>
                <w:szCs w:val="11"/>
                <w:color w:val="auto"/>
              </w:rPr>
            </w:pPr>
          </w:p>
        </w:tc>
        <w:tc>
          <w:tcPr>
            <w:tcW w:w="780" w:type="dxa"/>
            <w:vAlign w:val="bottom"/>
            <w:tcBorders>
              <w:top w:val="single" w:sz="8" w:color="auto"/>
            </w:tcBorders>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80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820" w:type="dxa"/>
            <w:vAlign w:val="bottom"/>
            <w:tcBorders>
              <w:top w:val="single" w:sz="8" w:color="auto"/>
            </w:tcBorders>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820" w:type="dxa"/>
            <w:vAlign w:val="bottom"/>
            <w:tcBorders>
              <w:top w:val="single" w:sz="8" w:color="auto"/>
            </w:tcBorders>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20" w:type="dxa"/>
            <w:vAlign w:val="bottom"/>
            <w:tcBorders>
              <w:top w:val="single" w:sz="8" w:color="auto"/>
            </w:tcBorders>
            <w:shd w:val="clear" w:color="auto" w:fill="EAF9E8"/>
          </w:tcPr>
          <w:p>
            <w:pPr>
              <w:spacing w:after="0"/>
              <w:rPr>
                <w:sz w:val="11"/>
                <w:szCs w:val="11"/>
                <w:color w:val="auto"/>
              </w:rPr>
            </w:pPr>
          </w:p>
        </w:tc>
        <w:tc>
          <w:tcPr>
            <w:tcW w:w="800" w:type="dxa"/>
            <w:vAlign w:val="bottom"/>
            <w:tcBorders>
              <w:top w:val="single" w:sz="8" w:color="auto"/>
            </w:tcBorders>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Borders>
              <w:right w:val="single" w:sz="8" w:color="EAF9E8"/>
            </w:tcBorders>
            <w:shd w:val="clear" w:color="auto" w:fill="EAF9E8"/>
          </w:tcPr>
          <w:p>
            <w:pPr>
              <w:ind w:left="640"/>
              <w:spacing w:after="0" w:line="149" w:lineRule="exact"/>
              <w:rPr>
                <w:sz w:val="20"/>
                <w:szCs w:val="20"/>
                <w:color w:val="auto"/>
              </w:rPr>
            </w:pPr>
            <w:r>
              <w:rPr>
                <w:rFonts w:ascii="Arial" w:cs="Arial" w:eastAsia="Arial" w:hAnsi="Arial"/>
                <w:sz w:val="14"/>
                <w:szCs w:val="14"/>
                <w:color w:val="auto"/>
              </w:rPr>
              <w:t>income</w:t>
            </w:r>
          </w:p>
        </w:tc>
        <w:tc>
          <w:tcPr>
            <w:tcW w:w="12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74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Borders>
              <w:right w:val="single" w:sz="8" w:color="EAF9E8"/>
            </w:tcBorders>
            <w:shd w:val="clear" w:color="auto" w:fill="EAF9E8"/>
          </w:tcPr>
          <w:p>
            <w:pPr>
              <w:ind w:left="640"/>
              <w:spacing w:after="0" w:line="149" w:lineRule="exact"/>
              <w:rPr>
                <w:sz w:val="20"/>
                <w:szCs w:val="20"/>
                <w:color w:val="auto"/>
              </w:rPr>
            </w:pPr>
            <w:r>
              <w:rPr>
                <w:rFonts w:ascii="Arial" w:cs="Arial" w:eastAsia="Arial" w:hAnsi="Arial"/>
                <w:sz w:val="14"/>
                <w:szCs w:val="14"/>
                <w:color w:val="auto"/>
              </w:rPr>
              <w:t>(expense),</w:t>
            </w:r>
          </w:p>
        </w:tc>
        <w:tc>
          <w:tcPr>
            <w:tcW w:w="12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74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80" w:type="dxa"/>
            <w:vAlign w:val="bottom"/>
            <w:tcBorders>
              <w:right w:val="single" w:sz="8" w:color="EAF9E8"/>
            </w:tcBorders>
            <w:shd w:val="clear" w:color="auto" w:fill="EAF9E8"/>
          </w:tcPr>
          <w:p>
            <w:pPr>
              <w:ind w:left="640"/>
              <w:spacing w:after="0"/>
              <w:rPr>
                <w:sz w:val="20"/>
                <w:szCs w:val="20"/>
                <w:color w:val="auto"/>
              </w:rPr>
            </w:pPr>
            <w:r>
              <w:rPr>
                <w:rFonts w:ascii="Arial" w:cs="Arial" w:eastAsia="Arial" w:hAnsi="Arial"/>
                <w:sz w:val="14"/>
                <w:szCs w:val="14"/>
                <w:color w:val="auto"/>
              </w:rPr>
              <w:t>net</w:t>
            </w:r>
          </w:p>
        </w:tc>
        <w:tc>
          <w:tcPr>
            <w:tcW w:w="120" w:type="dxa"/>
            <w:vAlign w:val="bottom"/>
            <w:shd w:val="clear" w:color="auto" w:fill="EAF9E8"/>
          </w:tcPr>
          <w:p>
            <w:pPr>
              <w:spacing w:after="0"/>
              <w:rPr>
                <w:sz w:val="15"/>
                <w:szCs w:val="15"/>
                <w:color w:val="auto"/>
              </w:rPr>
            </w:pPr>
          </w:p>
        </w:tc>
        <w:tc>
          <w:tcPr>
            <w:tcW w:w="1040" w:type="dxa"/>
            <w:vAlign w:val="bottom"/>
            <w:gridSpan w:val="3"/>
            <w:shd w:val="clear" w:color="auto" w:fill="EAF9E8"/>
          </w:tcPr>
          <w:p>
            <w:pPr>
              <w:jc w:val="right"/>
              <w:ind w:right="180"/>
              <w:spacing w:after="0"/>
              <w:rPr>
                <w:sz w:val="20"/>
                <w:szCs w:val="20"/>
                <w:color w:val="auto"/>
              </w:rPr>
            </w:pPr>
            <w:r>
              <w:rPr>
                <w:rFonts w:ascii="Arial" w:cs="Arial" w:eastAsia="Arial" w:hAnsi="Arial"/>
                <w:sz w:val="14"/>
                <w:szCs w:val="14"/>
                <w:color w:val="auto"/>
              </w:rPr>
              <w:t>(55,792)</w:t>
            </w:r>
          </w:p>
        </w:tc>
        <w:tc>
          <w:tcPr>
            <w:tcW w:w="100" w:type="dxa"/>
            <w:vAlign w:val="bottom"/>
            <w:shd w:val="clear" w:color="auto" w:fill="EAF9E8"/>
          </w:tcPr>
          <w:p>
            <w:pPr>
              <w:spacing w:after="0"/>
              <w:rPr>
                <w:sz w:val="15"/>
                <w:szCs w:val="15"/>
                <w:color w:val="auto"/>
              </w:rPr>
            </w:pPr>
          </w:p>
        </w:tc>
        <w:tc>
          <w:tcPr>
            <w:tcW w:w="94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(6,290)</w:t>
            </w:r>
          </w:p>
        </w:tc>
        <w:tc>
          <w:tcPr>
            <w:tcW w:w="8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960" w:type="dxa"/>
            <w:vAlign w:val="bottom"/>
            <w:gridSpan w:val="2"/>
            <w:shd w:val="clear" w:color="auto" w:fill="EAF9E8"/>
          </w:tcPr>
          <w:p>
            <w:pPr>
              <w:jc w:val="right"/>
              <w:ind w:right="160"/>
              <w:spacing w:after="0"/>
              <w:rPr>
                <w:sz w:val="20"/>
                <w:szCs w:val="20"/>
                <w:color w:val="auto"/>
              </w:rPr>
            </w:pPr>
            <w:r>
              <w:rPr>
                <w:rFonts w:ascii="Arial" w:cs="Arial" w:eastAsia="Arial" w:hAnsi="Arial"/>
                <w:sz w:val="14"/>
                <w:szCs w:val="14"/>
                <w:color w:val="auto"/>
              </w:rPr>
              <w:t>(4,060)</w:t>
            </w:r>
          </w:p>
        </w:tc>
        <w:tc>
          <w:tcPr>
            <w:tcW w:w="120" w:type="dxa"/>
            <w:vAlign w:val="bottom"/>
            <w:shd w:val="clear" w:color="auto" w:fill="EAF9E8"/>
          </w:tcPr>
          <w:p>
            <w:pPr>
              <w:spacing w:after="0"/>
              <w:rPr>
                <w:sz w:val="15"/>
                <w:szCs w:val="15"/>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803</w:t>
            </w:r>
          </w:p>
        </w:tc>
        <w:tc>
          <w:tcPr>
            <w:tcW w:w="10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92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(1,260)</w:t>
            </w:r>
          </w:p>
        </w:tc>
        <w:tc>
          <w:tcPr>
            <w:tcW w:w="8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020" w:type="dxa"/>
            <w:vAlign w:val="bottom"/>
            <w:gridSpan w:val="2"/>
            <w:shd w:val="clear" w:color="auto" w:fill="EAF9E8"/>
          </w:tcPr>
          <w:p>
            <w:pPr>
              <w:jc w:val="right"/>
              <w:ind w:right="160"/>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EAF9E8"/>
          </w:tcPr>
          <w:p>
            <w:pPr>
              <w:spacing w:after="0"/>
              <w:rPr>
                <w:sz w:val="15"/>
                <w:szCs w:val="15"/>
                <w:color w:val="auto"/>
              </w:rPr>
            </w:pPr>
          </w:p>
        </w:tc>
        <w:tc>
          <w:tcPr>
            <w:tcW w:w="102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13,824</w:t>
            </w:r>
          </w:p>
        </w:tc>
        <w:tc>
          <w:tcPr>
            <w:tcW w:w="100" w:type="dxa"/>
            <w:vAlign w:val="bottom"/>
            <w:shd w:val="clear" w:color="auto" w:fill="EAF9E8"/>
          </w:tcPr>
          <w:p>
            <w:pPr>
              <w:spacing w:after="0"/>
              <w:rPr>
                <w:sz w:val="15"/>
                <w:szCs w:val="15"/>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1,065</w:t>
            </w:r>
          </w:p>
        </w:tc>
        <w:tc>
          <w:tcPr>
            <w:tcW w:w="8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900" w:type="dxa"/>
            <w:vAlign w:val="bottom"/>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(51,813)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tcBorders>
              <w:top w:val="single" w:sz="8" w:color="EAF9E8"/>
            </w:tcBorders>
          </w:tcPr>
          <w:p>
            <w:pPr>
              <w:ind w:left="160"/>
              <w:spacing w:after="0" w:line="130" w:lineRule="exact"/>
              <w:rPr>
                <w:sz w:val="20"/>
                <w:szCs w:val="20"/>
                <w:color w:val="auto"/>
              </w:rPr>
            </w:pPr>
            <w:r>
              <w:rPr>
                <w:rFonts w:ascii="Arial" w:cs="Arial" w:eastAsia="Arial" w:hAnsi="Arial"/>
                <w:sz w:val="14"/>
                <w:szCs w:val="14"/>
                <w:color w:val="auto"/>
              </w:rPr>
              <w:t>Income (loss) from</w:t>
            </w: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EAF9E8"/>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Borders>
              <w:top w:val="single" w:sz="8" w:color="EAF9E8"/>
            </w:tcBorders>
          </w:tcPr>
          <w:p>
            <w:pPr>
              <w:spacing w:after="0"/>
              <w:rPr>
                <w:sz w:val="11"/>
                <w:szCs w:val="11"/>
                <w:color w:val="auto"/>
              </w:rPr>
            </w:pPr>
          </w:p>
        </w:tc>
        <w:tc>
          <w:tcPr>
            <w:tcW w:w="80" w:type="dxa"/>
            <w:vAlign w:val="bottom"/>
            <w:tcBorders>
              <w:top w:val="single" w:sz="8" w:color="EAF9E8"/>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Borders>
              <w:top w:val="single" w:sz="8" w:color="EAF9E8"/>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EAF9E8"/>
            </w:tcBorders>
          </w:tcPr>
          <w:p>
            <w:pPr>
              <w:spacing w:after="0"/>
              <w:rPr>
                <w:sz w:val="11"/>
                <w:szCs w:val="11"/>
                <w:color w:val="auto"/>
              </w:rPr>
            </w:pPr>
          </w:p>
        </w:tc>
        <w:tc>
          <w:tcPr>
            <w:tcW w:w="120" w:type="dxa"/>
            <w:vAlign w:val="bottom"/>
            <w:tcBorders>
              <w:top w:val="single" w:sz="8" w:color="EAF9E8"/>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Borders>
              <w:top w:val="single" w:sz="8" w:color="EAF9E8"/>
            </w:tcBorders>
          </w:tcPr>
          <w:p>
            <w:pPr>
              <w:spacing w:after="0"/>
              <w:rPr>
                <w:sz w:val="11"/>
                <w:szCs w:val="11"/>
                <w:color w:val="auto"/>
              </w:rPr>
            </w:pPr>
          </w:p>
        </w:tc>
        <w:tc>
          <w:tcPr>
            <w:tcW w:w="80" w:type="dxa"/>
            <w:vAlign w:val="bottom"/>
            <w:tcBorders>
              <w:top w:val="single" w:sz="8" w:color="EAF9E8"/>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Borders>
              <w:top w:val="single" w:sz="8" w:color="EAF9E8"/>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Borders>
              <w:top w:val="single" w:sz="8" w:color="EAF9E8"/>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EAF9E8"/>
            </w:tcBorders>
          </w:tcPr>
          <w:p>
            <w:pPr>
              <w:spacing w:after="0"/>
              <w:rPr>
                <w:sz w:val="11"/>
                <w:szCs w:val="11"/>
                <w:color w:val="auto"/>
              </w:rPr>
            </w:pPr>
          </w:p>
        </w:tc>
        <w:tc>
          <w:tcPr>
            <w:tcW w:w="80" w:type="dxa"/>
            <w:vAlign w:val="bottom"/>
            <w:tcBorders>
              <w:top w:val="single" w:sz="8" w:color="EAF9E8"/>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EAF9E8"/>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ind w:left="320"/>
              <w:spacing w:after="0" w:line="149" w:lineRule="exact"/>
              <w:rPr>
                <w:sz w:val="20"/>
                <w:szCs w:val="20"/>
                <w:color w:val="auto"/>
              </w:rPr>
            </w:pPr>
            <w:r>
              <w:rPr>
                <w:rFonts w:ascii="Arial" w:cs="Arial" w:eastAsia="Arial" w:hAnsi="Arial"/>
                <w:sz w:val="14"/>
                <w:szCs w:val="14"/>
                <w:color w:val="auto"/>
              </w:rPr>
              <w:t>continuing</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ind w:left="320"/>
              <w:spacing w:after="0" w:line="149" w:lineRule="exact"/>
              <w:rPr>
                <w:sz w:val="20"/>
                <w:szCs w:val="20"/>
                <w:color w:val="auto"/>
              </w:rPr>
            </w:pPr>
            <w:r>
              <w:rPr>
                <w:rFonts w:ascii="Arial" w:cs="Arial" w:eastAsia="Arial" w:hAnsi="Arial"/>
                <w:sz w:val="14"/>
                <w:szCs w:val="14"/>
                <w:color w:val="auto"/>
              </w:rPr>
              <w:t>operations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ind w:left="320"/>
              <w:spacing w:after="0" w:line="149" w:lineRule="exact"/>
              <w:rPr>
                <w:sz w:val="20"/>
                <w:szCs w:val="20"/>
                <w:color w:val="auto"/>
              </w:rPr>
            </w:pPr>
            <w:r>
              <w:rPr>
                <w:rFonts w:ascii="Arial" w:cs="Arial" w:eastAsia="Arial" w:hAnsi="Arial"/>
                <w:sz w:val="14"/>
                <w:szCs w:val="14"/>
                <w:color w:val="auto"/>
              </w:rPr>
              <w:t>before income</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tcPr>
          <w:p>
            <w:pPr>
              <w:ind w:left="320"/>
              <w:spacing w:after="0"/>
              <w:rPr>
                <w:sz w:val="20"/>
                <w:szCs w:val="20"/>
                <w:color w:val="auto"/>
              </w:rPr>
            </w:pPr>
            <w:r>
              <w:rPr>
                <w:rFonts w:ascii="Arial" w:cs="Arial" w:eastAsia="Arial" w:hAnsi="Arial"/>
                <w:sz w:val="14"/>
                <w:szCs w:val="14"/>
                <w:color w:val="auto"/>
              </w:rPr>
              <w:t>taxes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3"/>
          </w:tcPr>
          <w:p>
            <w:pPr>
              <w:jc w:val="right"/>
              <w:ind w:right="220"/>
              <w:spacing w:after="0"/>
              <w:rPr>
                <w:sz w:val="20"/>
                <w:szCs w:val="20"/>
                <w:color w:val="auto"/>
              </w:rPr>
            </w:pPr>
            <w:r>
              <w:rPr>
                <w:rFonts w:ascii="Arial" w:cs="Arial" w:eastAsia="Arial" w:hAnsi="Arial"/>
                <w:sz w:val="14"/>
                <w:szCs w:val="14"/>
                <w:color w:val="auto"/>
              </w:rPr>
              <w:t>87,681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(9,121)</w:t>
            </w:r>
          </w:p>
        </w:tc>
        <w:tc>
          <w:tcPr>
            <w:tcW w:w="2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(5,317)</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17,815</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(5,969)</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9,590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(1,418)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93,261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380" w:type="dxa"/>
            <w:vAlign w:val="bottom"/>
            <w:tcBorders>
              <w:right w:val="single" w:sz="8" w:color="EAF9E8"/>
            </w:tcBorders>
            <w:shd w:val="clear" w:color="auto" w:fill="EAF9E8"/>
          </w:tcPr>
          <w:p>
            <w:pPr>
              <w:spacing w:after="0"/>
              <w:rPr>
                <w:sz w:val="12"/>
                <w:szCs w:val="12"/>
                <w:color w:val="auto"/>
              </w:rPr>
            </w:pPr>
          </w:p>
        </w:tc>
        <w:tc>
          <w:tcPr>
            <w:tcW w:w="840" w:type="dxa"/>
            <w:vAlign w:val="bottom"/>
            <w:gridSpan w:val="2"/>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74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40" w:type="dxa"/>
            <w:vAlign w:val="bottom"/>
            <w:gridSpan w:val="5"/>
          </w:tcPr>
          <w:p>
            <w:pPr>
              <w:spacing w:after="0" w:line="135" w:lineRule="exact"/>
              <w:rPr>
                <w:sz w:val="20"/>
                <w:szCs w:val="20"/>
                <w:color w:val="auto"/>
              </w:rPr>
            </w:pPr>
            <w:r>
              <w:rPr>
                <w:rFonts w:ascii="Arial" w:cs="Arial" w:eastAsia="Arial" w:hAnsi="Arial"/>
                <w:sz w:val="14"/>
                <w:szCs w:val="14"/>
                <w:color w:val="auto"/>
              </w:rPr>
              <w:t>For the year ended December 31, 2008</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380" w:type="dxa"/>
            <w:vAlign w:val="bottom"/>
            <w:tcBorders>
              <w:right w:val="single" w:sz="8" w:color="EAF9E8"/>
            </w:tcBorders>
            <w:shd w:val="clear" w:color="auto" w:fill="EAF9E8"/>
          </w:tcPr>
          <w:p>
            <w:pPr>
              <w:ind w:left="160"/>
              <w:spacing w:after="0" w:line="142" w:lineRule="exact"/>
              <w:rPr>
                <w:sz w:val="20"/>
                <w:szCs w:val="20"/>
                <w:color w:val="auto"/>
              </w:rPr>
            </w:pPr>
            <w:r>
              <w:rPr>
                <w:rFonts w:ascii="Arial" w:cs="Arial" w:eastAsia="Arial" w:hAnsi="Arial"/>
                <w:sz w:val="14"/>
                <w:szCs w:val="14"/>
                <w:color w:val="auto"/>
              </w:rPr>
              <w:t>Revenue (1) (2)</w:t>
            </w:r>
          </w:p>
        </w:tc>
        <w:tc>
          <w:tcPr>
            <w:tcW w:w="120" w:type="dxa"/>
            <w:vAlign w:val="bottom"/>
            <w:shd w:val="clear" w:color="auto" w:fill="EAF9E8"/>
          </w:tcPr>
          <w:p>
            <w:pPr>
              <w:jc w:val="right"/>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gridSpan w:val="3"/>
            <w:shd w:val="clear" w:color="auto" w:fill="EAF9E8"/>
          </w:tcPr>
          <w:p>
            <w:pPr>
              <w:jc w:val="right"/>
              <w:ind w:right="220"/>
              <w:spacing w:after="0" w:line="142" w:lineRule="exact"/>
              <w:rPr>
                <w:sz w:val="20"/>
                <w:szCs w:val="20"/>
                <w:color w:val="auto"/>
              </w:rPr>
            </w:pPr>
            <w:r>
              <w:rPr>
                <w:rFonts w:ascii="Arial" w:cs="Arial" w:eastAsia="Arial" w:hAnsi="Arial"/>
                <w:sz w:val="14"/>
                <w:szCs w:val="14"/>
                <w:color w:val="auto"/>
              </w:rPr>
              <w:t>340,725</w:t>
            </w:r>
          </w:p>
        </w:tc>
        <w:tc>
          <w:tcPr>
            <w:tcW w:w="100" w:type="dxa"/>
            <w:vAlign w:val="bottom"/>
            <w:shd w:val="clear" w:color="auto" w:fill="EAF9E8"/>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EAF9E8"/>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EAF9E8"/>
          </w:tcPr>
          <w:p>
            <w:pPr>
              <w:jc w:val="right"/>
              <w:ind w:right="8"/>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EAF9E8"/>
          </w:tcPr>
          <w:p>
            <w:pPr>
              <w:jc w:val="right"/>
              <w:ind w:right="220"/>
              <w:spacing w:after="0" w:line="142" w:lineRule="exact"/>
              <w:rPr>
                <w:sz w:val="20"/>
                <w:szCs w:val="20"/>
                <w:color w:val="auto"/>
              </w:rPr>
            </w:pPr>
            <w:r>
              <w:rPr>
                <w:rFonts w:ascii="Arial" w:cs="Arial" w:eastAsia="Arial" w:hAnsi="Arial"/>
                <w:sz w:val="14"/>
                <w:szCs w:val="14"/>
                <w:color w:val="auto"/>
              </w:rPr>
              <w:t>3,664</w:t>
            </w:r>
          </w:p>
        </w:tc>
        <w:tc>
          <w:tcPr>
            <w:tcW w:w="120" w:type="dxa"/>
            <w:vAlign w:val="bottom"/>
            <w:shd w:val="clear" w:color="auto" w:fill="EAF9E8"/>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EAF9E8"/>
          </w:tcPr>
          <w:p>
            <w:pPr>
              <w:jc w:val="right"/>
              <w:ind w:right="100"/>
              <w:spacing w:after="0" w:line="142" w:lineRule="exact"/>
              <w:rPr>
                <w:sz w:val="20"/>
                <w:szCs w:val="20"/>
                <w:color w:val="auto"/>
              </w:rPr>
            </w:pPr>
            <w:r>
              <w:rPr>
                <w:rFonts w:ascii="Arial" w:cs="Arial" w:eastAsia="Arial" w:hAnsi="Arial"/>
                <w:sz w:val="14"/>
                <w:szCs w:val="14"/>
                <w:color w:val="auto"/>
              </w:rPr>
              <w:t>58,733</w:t>
            </w:r>
          </w:p>
        </w:tc>
        <w:tc>
          <w:tcPr>
            <w:tcW w:w="240" w:type="dxa"/>
            <w:vAlign w:val="bottom"/>
            <w:gridSpan w:val="2"/>
            <w:shd w:val="clear" w:color="auto" w:fill="EAF9E8"/>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EAF9E8"/>
          </w:tcPr>
          <w:p>
            <w:pPr>
              <w:jc w:val="right"/>
              <w:ind w:right="140"/>
              <w:spacing w:after="0" w:line="142" w:lineRule="exact"/>
              <w:rPr>
                <w:sz w:val="20"/>
                <w:szCs w:val="20"/>
                <w:color w:val="auto"/>
              </w:rPr>
            </w:pPr>
            <w:r>
              <w:rPr>
                <w:rFonts w:ascii="Arial" w:cs="Arial" w:eastAsia="Arial" w:hAnsi="Arial"/>
                <w:sz w:val="14"/>
                <w:szCs w:val="14"/>
                <w:color w:val="auto"/>
              </w:rPr>
              <w:t>73,835</w:t>
            </w:r>
          </w:p>
        </w:tc>
        <w:tc>
          <w:tcPr>
            <w:tcW w:w="180" w:type="dxa"/>
            <w:vAlign w:val="bottom"/>
            <w:gridSpan w:val="2"/>
            <w:shd w:val="clear" w:color="auto" w:fill="EAF9E8"/>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EAF9E8"/>
          </w:tcPr>
          <w:p>
            <w:pPr>
              <w:jc w:val="right"/>
              <w:ind w:right="220"/>
              <w:spacing w:after="0" w:line="142" w:lineRule="exact"/>
              <w:rPr>
                <w:sz w:val="20"/>
                <w:szCs w:val="20"/>
                <w:color w:val="auto"/>
              </w:rPr>
            </w:pPr>
            <w:r>
              <w:rPr>
                <w:rFonts w:ascii="Arial" w:cs="Arial" w:eastAsia="Arial" w:hAnsi="Arial"/>
                <w:sz w:val="14"/>
                <w:szCs w:val="14"/>
                <w:color w:val="auto"/>
              </w:rPr>
              <w:t>45,283</w:t>
            </w:r>
          </w:p>
        </w:tc>
        <w:tc>
          <w:tcPr>
            <w:tcW w:w="100" w:type="dxa"/>
            <w:vAlign w:val="bottom"/>
            <w:shd w:val="clear" w:color="auto" w:fill="EAF9E8"/>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EAF9E8"/>
          </w:tcPr>
          <w:p>
            <w:pPr>
              <w:jc w:val="right"/>
              <w:spacing w:after="0" w:line="142" w:lineRule="exact"/>
              <w:rPr>
                <w:sz w:val="20"/>
                <w:szCs w:val="20"/>
                <w:color w:val="auto"/>
              </w:rPr>
            </w:pPr>
            <w:r>
              <w:rPr>
                <w:rFonts w:ascii="Arial" w:cs="Arial" w:eastAsia="Arial" w:hAnsi="Arial"/>
                <w:sz w:val="14"/>
                <w:szCs w:val="14"/>
                <w:color w:val="auto"/>
              </w:rPr>
              <w:t>156</w:t>
            </w:r>
          </w:p>
        </w:tc>
        <w:tc>
          <w:tcPr>
            <w:tcW w:w="200" w:type="dxa"/>
            <w:vAlign w:val="bottom"/>
            <w:shd w:val="clear" w:color="auto" w:fill="EAF9E8"/>
          </w:tcPr>
          <w:p>
            <w:pPr>
              <w:spacing w:after="0"/>
              <w:rPr>
                <w:sz w:val="12"/>
                <w:szCs w:val="12"/>
                <w:color w:val="auto"/>
              </w:rPr>
            </w:pPr>
          </w:p>
        </w:tc>
        <w:tc>
          <w:tcPr>
            <w:tcW w:w="100" w:type="dxa"/>
            <w:vAlign w:val="bottom"/>
            <w:shd w:val="clear" w:color="auto" w:fill="EAF9E8"/>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EAF9E8"/>
          </w:tcPr>
          <w:p>
            <w:pPr>
              <w:jc w:val="right"/>
              <w:ind w:right="80"/>
              <w:spacing w:after="0" w:line="142" w:lineRule="exact"/>
              <w:rPr>
                <w:sz w:val="20"/>
                <w:szCs w:val="20"/>
                <w:color w:val="auto"/>
              </w:rPr>
            </w:pPr>
            <w:r>
              <w:rPr>
                <w:rFonts w:ascii="Arial" w:cs="Arial" w:eastAsia="Arial" w:hAnsi="Arial"/>
                <w:sz w:val="14"/>
                <w:szCs w:val="14"/>
                <w:color w:val="auto"/>
              </w:rPr>
              <w:t>(30,268)</w:t>
            </w:r>
          </w:p>
        </w:tc>
        <w:tc>
          <w:tcPr>
            <w:tcW w:w="200" w:type="dxa"/>
            <w:vAlign w:val="bottom"/>
            <w:gridSpan w:val="2"/>
            <w:shd w:val="clear" w:color="auto" w:fill="EAF9E8"/>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EAF9E8"/>
          </w:tcPr>
          <w:p>
            <w:pPr>
              <w:jc w:val="right"/>
              <w:ind w:right="100"/>
              <w:spacing w:after="0" w:line="142" w:lineRule="exact"/>
              <w:rPr>
                <w:sz w:val="20"/>
                <w:szCs w:val="20"/>
                <w:color w:val="auto"/>
              </w:rPr>
            </w:pPr>
            <w:r>
              <w:rPr>
                <w:rFonts w:ascii="Arial" w:cs="Arial" w:eastAsia="Arial" w:hAnsi="Arial"/>
                <w:sz w:val="14"/>
                <w:szCs w:val="14"/>
                <w:color w:val="auto"/>
              </w:rPr>
              <w:t>492,128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tcPr>
          <w:p>
            <w:pPr>
              <w:ind w:left="160"/>
              <w:spacing w:after="0" w:line="130" w:lineRule="exact"/>
              <w:rPr>
                <w:sz w:val="20"/>
                <w:szCs w:val="20"/>
                <w:color w:val="auto"/>
              </w:rPr>
            </w:pPr>
            <w:r>
              <w:rPr>
                <w:rFonts w:ascii="Arial" w:cs="Arial" w:eastAsia="Arial" w:hAnsi="Arial"/>
                <w:sz w:val="14"/>
                <w:szCs w:val="14"/>
                <w:color w:val="auto"/>
              </w:rPr>
              <w:t>Operating</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ind w:left="320"/>
              <w:spacing w:after="0" w:line="149" w:lineRule="exact"/>
              <w:rPr>
                <w:sz w:val="20"/>
                <w:szCs w:val="20"/>
                <w:color w:val="auto"/>
              </w:rPr>
            </w:pPr>
            <w:r>
              <w:rPr>
                <w:rFonts w:ascii="Arial" w:cs="Arial" w:eastAsia="Arial" w:hAnsi="Arial"/>
                <w:sz w:val="14"/>
                <w:szCs w:val="14"/>
                <w:color w:val="auto"/>
              </w:rPr>
              <w:t>expenses (1) (3)</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400" w:type="dxa"/>
            <w:vAlign w:val="bottom"/>
            <w:gridSpan w:val="2"/>
          </w:tcPr>
          <w:p>
            <w:pPr>
              <w:ind w:left="340"/>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5"/>
                <w:szCs w:val="15"/>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4"/>
                <w:szCs w:val="14"/>
                <w:color w:val="auto"/>
              </w:rPr>
              <w:t>164,292</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3,025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4,113</w:t>
            </w:r>
          </w:p>
        </w:tc>
        <w:tc>
          <w:tcPr>
            <w:tcW w:w="12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46,299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79,757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35,895</w:t>
            </w:r>
          </w:p>
        </w:tc>
        <w:tc>
          <w:tcPr>
            <w:tcW w:w="10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18,743</w:t>
            </w:r>
          </w:p>
        </w:tc>
        <w:tc>
          <w:tcPr>
            <w:tcW w:w="10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(28,769)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323,355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tcBorders>
              <w:right w:val="single" w:sz="8" w:color="EAF9E8"/>
            </w:tcBorders>
            <w:shd w:val="clear" w:color="auto" w:fill="EAF9E8"/>
          </w:tcPr>
          <w:p>
            <w:pPr>
              <w:ind w:left="160"/>
              <w:spacing w:after="0" w:line="130" w:lineRule="exact"/>
              <w:rPr>
                <w:sz w:val="20"/>
                <w:szCs w:val="20"/>
                <w:color w:val="auto"/>
              </w:rPr>
            </w:pPr>
            <w:r>
              <w:rPr>
                <w:rFonts w:ascii="Arial" w:cs="Arial" w:eastAsia="Arial" w:hAnsi="Arial"/>
                <w:sz w:val="14"/>
                <w:szCs w:val="14"/>
                <w:color w:val="auto"/>
              </w:rPr>
              <w:t>Income (loss) from</w:t>
            </w:r>
          </w:p>
        </w:tc>
        <w:tc>
          <w:tcPr>
            <w:tcW w:w="120" w:type="dxa"/>
            <w:vAlign w:val="bottom"/>
            <w:tcBorders>
              <w:top w:val="single" w:sz="8" w:color="auto"/>
            </w:tcBorders>
            <w:shd w:val="clear" w:color="auto" w:fill="EAF9E8"/>
          </w:tcPr>
          <w:p>
            <w:pPr>
              <w:spacing w:after="0"/>
              <w:rPr>
                <w:sz w:val="11"/>
                <w:szCs w:val="11"/>
                <w:color w:val="auto"/>
              </w:rPr>
            </w:pPr>
          </w:p>
        </w:tc>
        <w:tc>
          <w:tcPr>
            <w:tcW w:w="720" w:type="dxa"/>
            <w:vAlign w:val="bottom"/>
            <w:tcBorders>
              <w:top w:val="single" w:sz="8" w:color="auto"/>
            </w:tcBorders>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800" w:type="dxa"/>
            <w:vAlign w:val="bottom"/>
            <w:tcBorders>
              <w:top w:val="single" w:sz="8" w:color="auto"/>
            </w:tcBorders>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60" w:type="dxa"/>
            <w:vAlign w:val="bottom"/>
            <w:tcBorders>
              <w:top w:val="single" w:sz="8" w:color="auto"/>
            </w:tcBorders>
            <w:shd w:val="clear" w:color="auto" w:fill="EAF9E8"/>
          </w:tcPr>
          <w:p>
            <w:pPr>
              <w:spacing w:after="0"/>
              <w:rPr>
                <w:sz w:val="11"/>
                <w:szCs w:val="11"/>
                <w:color w:val="auto"/>
              </w:rPr>
            </w:pPr>
          </w:p>
        </w:tc>
        <w:tc>
          <w:tcPr>
            <w:tcW w:w="74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20" w:type="dxa"/>
            <w:vAlign w:val="bottom"/>
            <w:tcBorders>
              <w:top w:val="single" w:sz="8" w:color="auto"/>
            </w:tcBorders>
            <w:shd w:val="clear" w:color="auto" w:fill="EAF9E8"/>
          </w:tcPr>
          <w:p>
            <w:pPr>
              <w:spacing w:after="0"/>
              <w:rPr>
                <w:sz w:val="11"/>
                <w:szCs w:val="11"/>
                <w:color w:val="auto"/>
              </w:rPr>
            </w:pPr>
          </w:p>
        </w:tc>
        <w:tc>
          <w:tcPr>
            <w:tcW w:w="780" w:type="dxa"/>
            <w:vAlign w:val="bottom"/>
            <w:tcBorders>
              <w:top w:val="single" w:sz="8" w:color="auto"/>
            </w:tcBorders>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20" w:type="dxa"/>
            <w:vAlign w:val="bottom"/>
            <w:tcBorders>
              <w:top w:val="single" w:sz="8" w:color="auto"/>
            </w:tcBorders>
            <w:shd w:val="clear" w:color="auto" w:fill="EAF9E8"/>
          </w:tcPr>
          <w:p>
            <w:pPr>
              <w:spacing w:after="0"/>
              <w:rPr>
                <w:sz w:val="11"/>
                <w:szCs w:val="11"/>
                <w:color w:val="auto"/>
              </w:rPr>
            </w:pPr>
          </w:p>
        </w:tc>
        <w:tc>
          <w:tcPr>
            <w:tcW w:w="780" w:type="dxa"/>
            <w:vAlign w:val="bottom"/>
            <w:tcBorders>
              <w:top w:val="single" w:sz="8" w:color="auto"/>
            </w:tcBorders>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80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820" w:type="dxa"/>
            <w:vAlign w:val="bottom"/>
            <w:tcBorders>
              <w:top w:val="single" w:sz="8" w:color="auto"/>
            </w:tcBorders>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820" w:type="dxa"/>
            <w:vAlign w:val="bottom"/>
            <w:tcBorders>
              <w:top w:val="single" w:sz="8" w:color="auto"/>
            </w:tcBorders>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20" w:type="dxa"/>
            <w:vAlign w:val="bottom"/>
            <w:tcBorders>
              <w:top w:val="single" w:sz="8" w:color="auto"/>
            </w:tcBorders>
            <w:shd w:val="clear" w:color="auto" w:fill="EAF9E8"/>
          </w:tcPr>
          <w:p>
            <w:pPr>
              <w:spacing w:after="0"/>
              <w:rPr>
                <w:sz w:val="11"/>
                <w:szCs w:val="11"/>
                <w:color w:val="auto"/>
              </w:rPr>
            </w:pPr>
          </w:p>
        </w:tc>
        <w:tc>
          <w:tcPr>
            <w:tcW w:w="800" w:type="dxa"/>
            <w:vAlign w:val="bottom"/>
            <w:tcBorders>
              <w:top w:val="single" w:sz="8" w:color="auto"/>
            </w:tcBorders>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80" w:type="dxa"/>
            <w:vAlign w:val="bottom"/>
            <w:tcBorders>
              <w:right w:val="single" w:sz="8" w:color="EAF9E8"/>
            </w:tcBorders>
            <w:shd w:val="clear" w:color="auto" w:fill="EAF9E8"/>
          </w:tcPr>
          <w:p>
            <w:pPr>
              <w:ind w:left="320"/>
              <w:spacing w:after="0"/>
              <w:rPr>
                <w:sz w:val="20"/>
                <w:szCs w:val="20"/>
                <w:color w:val="auto"/>
              </w:rPr>
            </w:pPr>
            <w:r>
              <w:rPr>
                <w:rFonts w:ascii="Arial" w:cs="Arial" w:eastAsia="Arial" w:hAnsi="Arial"/>
                <w:sz w:val="14"/>
                <w:szCs w:val="14"/>
                <w:color w:val="auto"/>
              </w:rPr>
              <w:t>operations</w:t>
            </w:r>
          </w:p>
        </w:tc>
        <w:tc>
          <w:tcPr>
            <w:tcW w:w="120" w:type="dxa"/>
            <w:vAlign w:val="bottom"/>
            <w:shd w:val="clear" w:color="auto" w:fill="EAF9E8"/>
          </w:tcPr>
          <w:p>
            <w:pPr>
              <w:spacing w:after="0"/>
              <w:rPr>
                <w:sz w:val="15"/>
                <w:szCs w:val="15"/>
                <w:color w:val="auto"/>
              </w:rPr>
            </w:pPr>
          </w:p>
        </w:tc>
        <w:tc>
          <w:tcPr>
            <w:tcW w:w="1040" w:type="dxa"/>
            <w:vAlign w:val="bottom"/>
            <w:gridSpan w:val="3"/>
            <w:shd w:val="clear" w:color="auto" w:fill="EAF9E8"/>
          </w:tcPr>
          <w:p>
            <w:pPr>
              <w:jc w:val="right"/>
              <w:ind w:right="220"/>
              <w:spacing w:after="0"/>
              <w:rPr>
                <w:sz w:val="20"/>
                <w:szCs w:val="20"/>
                <w:color w:val="auto"/>
              </w:rPr>
            </w:pPr>
            <w:r>
              <w:rPr>
                <w:rFonts w:ascii="Arial" w:cs="Arial" w:eastAsia="Arial" w:hAnsi="Arial"/>
                <w:sz w:val="14"/>
                <w:szCs w:val="14"/>
                <w:color w:val="auto"/>
              </w:rPr>
              <w:t>176,433</w:t>
            </w:r>
          </w:p>
        </w:tc>
        <w:tc>
          <w:tcPr>
            <w:tcW w:w="100" w:type="dxa"/>
            <w:vAlign w:val="bottom"/>
            <w:shd w:val="clear" w:color="auto" w:fill="EAF9E8"/>
          </w:tcPr>
          <w:p>
            <w:pPr>
              <w:spacing w:after="0"/>
              <w:rPr>
                <w:sz w:val="15"/>
                <w:szCs w:val="15"/>
                <w:color w:val="auto"/>
              </w:rPr>
            </w:pPr>
          </w:p>
        </w:tc>
        <w:tc>
          <w:tcPr>
            <w:tcW w:w="94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(3,025)</w:t>
            </w:r>
          </w:p>
        </w:tc>
        <w:tc>
          <w:tcPr>
            <w:tcW w:w="8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960" w:type="dxa"/>
            <w:vAlign w:val="bottom"/>
            <w:gridSpan w:val="2"/>
            <w:shd w:val="clear" w:color="auto" w:fill="EAF9E8"/>
          </w:tcPr>
          <w:p>
            <w:pPr>
              <w:jc w:val="right"/>
              <w:ind w:right="160"/>
              <w:spacing w:after="0"/>
              <w:rPr>
                <w:sz w:val="20"/>
                <w:szCs w:val="20"/>
                <w:color w:val="auto"/>
              </w:rPr>
            </w:pPr>
            <w:r>
              <w:rPr>
                <w:rFonts w:ascii="Arial" w:cs="Arial" w:eastAsia="Arial" w:hAnsi="Arial"/>
                <w:sz w:val="14"/>
                <w:szCs w:val="14"/>
                <w:color w:val="auto"/>
              </w:rPr>
              <w:t>(449)</w:t>
            </w:r>
          </w:p>
        </w:tc>
        <w:tc>
          <w:tcPr>
            <w:tcW w:w="120" w:type="dxa"/>
            <w:vAlign w:val="bottom"/>
            <w:shd w:val="clear" w:color="auto" w:fill="EAF9E8"/>
          </w:tcPr>
          <w:p>
            <w:pPr>
              <w:spacing w:after="0"/>
              <w:rPr>
                <w:sz w:val="15"/>
                <w:szCs w:val="15"/>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12,434</w:t>
            </w:r>
          </w:p>
        </w:tc>
        <w:tc>
          <w:tcPr>
            <w:tcW w:w="12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92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(5,922)</w:t>
            </w:r>
          </w:p>
        </w:tc>
        <w:tc>
          <w:tcPr>
            <w:tcW w:w="8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9,388</w:t>
            </w:r>
          </w:p>
        </w:tc>
        <w:tc>
          <w:tcPr>
            <w:tcW w:w="100" w:type="dxa"/>
            <w:vAlign w:val="bottom"/>
            <w:shd w:val="clear" w:color="auto" w:fill="EAF9E8"/>
          </w:tcPr>
          <w:p>
            <w:pPr>
              <w:spacing w:after="0"/>
              <w:rPr>
                <w:sz w:val="15"/>
                <w:szCs w:val="15"/>
                <w:color w:val="auto"/>
              </w:rPr>
            </w:pPr>
          </w:p>
        </w:tc>
        <w:tc>
          <w:tcPr>
            <w:tcW w:w="1020" w:type="dxa"/>
            <w:vAlign w:val="bottom"/>
            <w:gridSpan w:val="2"/>
            <w:shd w:val="clear" w:color="auto" w:fill="EAF9E8"/>
          </w:tcPr>
          <w:p>
            <w:pPr>
              <w:jc w:val="right"/>
              <w:ind w:right="160"/>
              <w:spacing w:after="0"/>
              <w:rPr>
                <w:sz w:val="20"/>
                <w:szCs w:val="20"/>
                <w:color w:val="auto"/>
              </w:rPr>
            </w:pPr>
            <w:r>
              <w:rPr>
                <w:rFonts w:ascii="Arial" w:cs="Arial" w:eastAsia="Arial" w:hAnsi="Arial"/>
                <w:sz w:val="14"/>
                <w:szCs w:val="14"/>
                <w:color w:val="auto"/>
              </w:rPr>
              <w:t>(18,587)</w:t>
            </w:r>
          </w:p>
        </w:tc>
        <w:tc>
          <w:tcPr>
            <w:tcW w:w="100" w:type="dxa"/>
            <w:vAlign w:val="bottom"/>
            <w:shd w:val="clear" w:color="auto" w:fill="EAF9E8"/>
          </w:tcPr>
          <w:p>
            <w:pPr>
              <w:spacing w:after="0"/>
              <w:rPr>
                <w:sz w:val="15"/>
                <w:szCs w:val="15"/>
                <w:color w:val="auto"/>
              </w:rPr>
            </w:pPr>
          </w:p>
        </w:tc>
        <w:tc>
          <w:tcPr>
            <w:tcW w:w="94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(1,499)</w:t>
            </w:r>
          </w:p>
        </w:tc>
        <w:tc>
          <w:tcPr>
            <w:tcW w:w="8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168,773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tcBorders>
              <w:top w:val="single" w:sz="8" w:color="EAF9E8"/>
            </w:tcBorders>
          </w:tcPr>
          <w:p>
            <w:pPr>
              <w:ind w:left="160"/>
              <w:spacing w:after="0" w:line="130" w:lineRule="exact"/>
              <w:rPr>
                <w:sz w:val="20"/>
                <w:szCs w:val="20"/>
                <w:color w:val="auto"/>
              </w:rPr>
            </w:pPr>
            <w:r>
              <w:rPr>
                <w:rFonts w:ascii="Arial" w:cs="Arial" w:eastAsia="Arial" w:hAnsi="Arial"/>
                <w:sz w:val="14"/>
                <w:szCs w:val="14"/>
                <w:color w:val="auto"/>
              </w:rPr>
              <w:t>Other income</w:t>
            </w: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EAF9E8"/>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Borders>
              <w:top w:val="single" w:sz="8" w:color="EAF9E8"/>
            </w:tcBorders>
          </w:tcPr>
          <w:p>
            <w:pPr>
              <w:spacing w:after="0"/>
              <w:rPr>
                <w:sz w:val="11"/>
                <w:szCs w:val="11"/>
                <w:color w:val="auto"/>
              </w:rPr>
            </w:pPr>
          </w:p>
        </w:tc>
        <w:tc>
          <w:tcPr>
            <w:tcW w:w="80" w:type="dxa"/>
            <w:vAlign w:val="bottom"/>
            <w:tcBorders>
              <w:top w:val="single" w:sz="8" w:color="EAF9E8"/>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Borders>
              <w:top w:val="single" w:sz="8" w:color="EAF9E8"/>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EAF9E8"/>
            </w:tcBorders>
          </w:tcPr>
          <w:p>
            <w:pPr>
              <w:spacing w:after="0"/>
              <w:rPr>
                <w:sz w:val="11"/>
                <w:szCs w:val="11"/>
                <w:color w:val="auto"/>
              </w:rPr>
            </w:pPr>
          </w:p>
        </w:tc>
        <w:tc>
          <w:tcPr>
            <w:tcW w:w="120" w:type="dxa"/>
            <w:vAlign w:val="bottom"/>
            <w:tcBorders>
              <w:top w:val="single" w:sz="8" w:color="EAF9E8"/>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Borders>
              <w:top w:val="single" w:sz="8" w:color="EAF9E8"/>
            </w:tcBorders>
          </w:tcPr>
          <w:p>
            <w:pPr>
              <w:spacing w:after="0"/>
              <w:rPr>
                <w:sz w:val="11"/>
                <w:szCs w:val="11"/>
                <w:color w:val="auto"/>
              </w:rPr>
            </w:pPr>
          </w:p>
        </w:tc>
        <w:tc>
          <w:tcPr>
            <w:tcW w:w="80" w:type="dxa"/>
            <w:vAlign w:val="bottom"/>
            <w:tcBorders>
              <w:top w:val="single" w:sz="8" w:color="EAF9E8"/>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Borders>
              <w:top w:val="single" w:sz="8" w:color="EAF9E8"/>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Borders>
              <w:top w:val="single" w:sz="8" w:color="EAF9E8"/>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EAF9E8"/>
            </w:tcBorders>
          </w:tcPr>
          <w:p>
            <w:pPr>
              <w:spacing w:after="0"/>
              <w:rPr>
                <w:sz w:val="11"/>
                <w:szCs w:val="11"/>
                <w:color w:val="auto"/>
              </w:rPr>
            </w:pPr>
          </w:p>
        </w:tc>
        <w:tc>
          <w:tcPr>
            <w:tcW w:w="80" w:type="dxa"/>
            <w:vAlign w:val="bottom"/>
            <w:tcBorders>
              <w:top w:val="single" w:sz="8" w:color="EAF9E8"/>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EAF9E8"/>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tcPr>
          <w:p>
            <w:pPr>
              <w:ind w:left="320"/>
              <w:spacing w:after="0"/>
              <w:rPr>
                <w:sz w:val="20"/>
                <w:szCs w:val="20"/>
                <w:color w:val="auto"/>
              </w:rPr>
            </w:pPr>
            <w:r>
              <w:rPr>
                <w:rFonts w:ascii="Arial" w:cs="Arial" w:eastAsia="Arial" w:hAnsi="Arial"/>
                <w:sz w:val="14"/>
                <w:szCs w:val="14"/>
                <w:color w:val="auto"/>
              </w:rPr>
              <w:t>(expense):</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Borders>
              <w:right w:val="single" w:sz="8" w:color="EAF9E8"/>
            </w:tcBorders>
            <w:shd w:val="clear" w:color="auto" w:fill="EAF9E8"/>
          </w:tcPr>
          <w:p>
            <w:pPr>
              <w:ind w:left="320"/>
              <w:spacing w:after="0" w:line="149" w:lineRule="exact"/>
              <w:rPr>
                <w:sz w:val="20"/>
                <w:szCs w:val="20"/>
                <w:color w:val="auto"/>
              </w:rPr>
            </w:pPr>
            <w:r>
              <w:rPr>
                <w:rFonts w:ascii="Arial" w:cs="Arial" w:eastAsia="Arial" w:hAnsi="Arial"/>
                <w:sz w:val="14"/>
                <w:szCs w:val="14"/>
                <w:color w:val="auto"/>
              </w:rPr>
              <w:t>Interest income</w:t>
            </w:r>
          </w:p>
        </w:tc>
        <w:tc>
          <w:tcPr>
            <w:tcW w:w="120" w:type="dxa"/>
            <w:vAlign w:val="bottom"/>
            <w:shd w:val="clear" w:color="auto" w:fill="EAF9E8"/>
          </w:tcPr>
          <w:p>
            <w:pPr>
              <w:spacing w:after="0"/>
              <w:rPr>
                <w:sz w:val="12"/>
                <w:szCs w:val="12"/>
                <w:color w:val="auto"/>
              </w:rPr>
            </w:pPr>
          </w:p>
        </w:tc>
        <w:tc>
          <w:tcPr>
            <w:tcW w:w="1040" w:type="dxa"/>
            <w:vAlign w:val="bottom"/>
            <w:gridSpan w:val="3"/>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1,004</w:t>
            </w:r>
          </w:p>
        </w:tc>
        <w:tc>
          <w:tcPr>
            <w:tcW w:w="10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11,361</w:t>
            </w:r>
          </w:p>
        </w:tc>
        <w:tc>
          <w:tcPr>
            <w:tcW w:w="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2"/>
                <w:szCs w:val="12"/>
                <w:color w:val="auto"/>
              </w:rPr>
            </w:pPr>
          </w:p>
        </w:tc>
        <w:tc>
          <w:tcPr>
            <w:tcW w:w="7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147</w:t>
            </w: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16</w:t>
            </w: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200"/>
              <w:spacing w:after="0" w:line="149" w:lineRule="exact"/>
              <w:rPr>
                <w:sz w:val="20"/>
                <w:szCs w:val="20"/>
                <w:color w:val="auto"/>
              </w:rPr>
            </w:pPr>
            <w:r>
              <w:rPr>
                <w:rFonts w:ascii="Arial" w:cs="Arial" w:eastAsia="Arial" w:hAnsi="Arial"/>
                <w:sz w:val="14"/>
                <w:szCs w:val="14"/>
                <w:color w:val="auto"/>
              </w:rPr>
              <w:t>2,168</w:t>
            </w:r>
          </w:p>
        </w:tc>
        <w:tc>
          <w:tcPr>
            <w:tcW w:w="10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14,696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ind w:left="320"/>
              <w:spacing w:after="0" w:line="149" w:lineRule="exact"/>
              <w:rPr>
                <w:sz w:val="20"/>
                <w:szCs w:val="20"/>
                <w:color w:val="auto"/>
              </w:rPr>
            </w:pPr>
            <w:r>
              <w:rPr>
                <w:rFonts w:ascii="Arial" w:cs="Arial" w:eastAsia="Arial" w:hAnsi="Arial"/>
                <w:sz w:val="14"/>
                <w:szCs w:val="14"/>
                <w:color w:val="auto"/>
                <w:w w:val="98"/>
              </w:rPr>
              <w:t>Interest expense</w:t>
            </w:r>
          </w:p>
        </w:tc>
        <w:tc>
          <w:tcPr>
            <w:tcW w:w="120" w:type="dxa"/>
            <w:vAlign w:val="bottom"/>
          </w:tcPr>
          <w:p>
            <w:pPr>
              <w:spacing w:after="0"/>
              <w:rPr>
                <w:sz w:val="12"/>
                <w:szCs w:val="12"/>
                <w:color w:val="auto"/>
              </w:rPr>
            </w:pPr>
          </w:p>
        </w:tc>
        <w:tc>
          <w:tcPr>
            <w:tcW w:w="10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(75,835)</w:t>
            </w:r>
          </w:p>
        </w:tc>
        <w:tc>
          <w:tcPr>
            <w:tcW w:w="10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(3,177)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(1,977)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(573)</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(4,812)</w:t>
            </w: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(86,574)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80" w:type="dxa"/>
            <w:vAlign w:val="bottom"/>
            <w:tcBorders>
              <w:right w:val="single" w:sz="8" w:color="EAF9E8"/>
            </w:tcBorders>
            <w:shd w:val="clear" w:color="auto" w:fill="EAF9E8"/>
          </w:tcPr>
          <w:p>
            <w:pPr>
              <w:ind w:left="320"/>
              <w:spacing w:after="0" w:line="149" w:lineRule="exact"/>
              <w:rPr>
                <w:sz w:val="20"/>
                <w:szCs w:val="20"/>
                <w:color w:val="auto"/>
              </w:rPr>
            </w:pPr>
            <w:r>
              <w:rPr>
                <w:rFonts w:ascii="Arial" w:cs="Arial" w:eastAsia="Arial" w:hAnsi="Arial"/>
                <w:sz w:val="14"/>
                <w:szCs w:val="14"/>
                <w:color w:val="auto"/>
              </w:rPr>
              <w:t>Other (1) (2) (6)</w:t>
            </w:r>
          </w:p>
        </w:tc>
        <w:tc>
          <w:tcPr>
            <w:tcW w:w="120" w:type="dxa"/>
            <w:vAlign w:val="bottom"/>
            <w:shd w:val="clear" w:color="auto" w:fill="EAF9E8"/>
          </w:tcPr>
          <w:p>
            <w:pPr>
              <w:spacing w:after="0"/>
              <w:rPr>
                <w:sz w:val="13"/>
                <w:szCs w:val="13"/>
                <w:color w:val="auto"/>
              </w:rPr>
            </w:pPr>
          </w:p>
        </w:tc>
        <w:tc>
          <w:tcPr>
            <w:tcW w:w="1040" w:type="dxa"/>
            <w:vAlign w:val="bottom"/>
            <w:gridSpan w:val="3"/>
            <w:shd w:val="clear" w:color="auto" w:fill="EAF9E8"/>
          </w:tcPr>
          <w:p>
            <w:pPr>
              <w:jc w:val="right"/>
              <w:ind w:right="180"/>
              <w:spacing w:after="0" w:line="149" w:lineRule="exact"/>
              <w:rPr>
                <w:sz w:val="20"/>
                <w:szCs w:val="20"/>
                <w:color w:val="auto"/>
              </w:rPr>
            </w:pPr>
            <w:r>
              <w:rPr>
                <w:rFonts w:ascii="Arial" w:cs="Arial" w:eastAsia="Arial" w:hAnsi="Arial"/>
                <w:sz w:val="14"/>
                <w:szCs w:val="14"/>
                <w:color w:val="auto"/>
              </w:rPr>
              <w:t>(832)</w:t>
            </w:r>
          </w:p>
        </w:tc>
        <w:tc>
          <w:tcPr>
            <w:tcW w:w="100" w:type="dxa"/>
            <w:vAlign w:val="bottom"/>
            <w:shd w:val="clear" w:color="auto" w:fill="EAF9E8"/>
          </w:tcPr>
          <w:p>
            <w:pPr>
              <w:spacing w:after="0"/>
              <w:rPr>
                <w:sz w:val="13"/>
                <w:szCs w:val="13"/>
                <w:color w:val="auto"/>
              </w:rPr>
            </w:pPr>
          </w:p>
        </w:tc>
        <w:tc>
          <w:tcPr>
            <w:tcW w:w="94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(19,841)</w:t>
            </w:r>
          </w:p>
        </w:tc>
        <w:tc>
          <w:tcPr>
            <w:tcW w:w="80" w:type="dxa"/>
            <w:vAlign w:val="bottom"/>
            <w:shd w:val="clear" w:color="auto" w:fill="EAF9E8"/>
          </w:tcPr>
          <w:p>
            <w:pPr>
              <w:spacing w:after="0"/>
              <w:rPr>
                <w:sz w:val="13"/>
                <w:szCs w:val="13"/>
                <w:color w:val="auto"/>
              </w:rPr>
            </w:pPr>
          </w:p>
        </w:tc>
        <w:tc>
          <w:tcPr>
            <w:tcW w:w="160" w:type="dxa"/>
            <w:vAlign w:val="bottom"/>
            <w:shd w:val="clear" w:color="auto" w:fill="EAF9E8"/>
          </w:tcPr>
          <w:p>
            <w:pPr>
              <w:spacing w:after="0"/>
              <w:rPr>
                <w:sz w:val="13"/>
                <w:szCs w:val="13"/>
                <w:color w:val="auto"/>
              </w:rPr>
            </w:pPr>
          </w:p>
        </w:tc>
        <w:tc>
          <w:tcPr>
            <w:tcW w:w="960" w:type="dxa"/>
            <w:vAlign w:val="bottom"/>
            <w:gridSpan w:val="2"/>
            <w:shd w:val="clear" w:color="auto" w:fill="EAF9E8"/>
          </w:tcPr>
          <w:p>
            <w:pPr>
              <w:jc w:val="right"/>
              <w:ind w:right="160"/>
              <w:spacing w:after="0" w:line="149" w:lineRule="exact"/>
              <w:rPr>
                <w:sz w:val="20"/>
                <w:szCs w:val="20"/>
                <w:color w:val="auto"/>
              </w:rPr>
            </w:pPr>
            <w:r>
              <w:rPr>
                <w:rFonts w:ascii="Arial" w:cs="Arial" w:eastAsia="Arial" w:hAnsi="Arial"/>
                <w:sz w:val="14"/>
                <w:szCs w:val="14"/>
                <w:color w:val="auto"/>
              </w:rPr>
              <w:t>(9,364)</w:t>
            </w:r>
          </w:p>
        </w:tc>
        <w:tc>
          <w:tcPr>
            <w:tcW w:w="120" w:type="dxa"/>
            <w:vAlign w:val="bottom"/>
            <w:shd w:val="clear" w:color="auto" w:fill="EAF9E8"/>
          </w:tcPr>
          <w:p>
            <w:pPr>
              <w:spacing w:after="0"/>
              <w:rPr>
                <w:sz w:val="13"/>
                <w:szCs w:val="13"/>
                <w:color w:val="auto"/>
              </w:rPr>
            </w:pPr>
          </w:p>
        </w:tc>
        <w:tc>
          <w:tcPr>
            <w:tcW w:w="7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881</w:t>
            </w:r>
          </w:p>
        </w:tc>
        <w:tc>
          <w:tcPr>
            <w:tcW w:w="10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92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8</w:t>
            </w:r>
          </w:p>
        </w:tc>
        <w:tc>
          <w:tcPr>
            <w:tcW w:w="8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020" w:type="dxa"/>
            <w:vAlign w:val="bottom"/>
            <w:gridSpan w:val="2"/>
            <w:shd w:val="clear" w:color="auto" w:fill="EAF9E8"/>
          </w:tcPr>
          <w:p>
            <w:pPr>
              <w:jc w:val="right"/>
              <w:ind w:right="160"/>
              <w:spacing w:after="0" w:line="149" w:lineRule="exact"/>
              <w:rPr>
                <w:sz w:val="20"/>
                <w:szCs w:val="20"/>
                <w:color w:val="auto"/>
              </w:rPr>
            </w:pPr>
            <w:r>
              <w:rPr>
                <w:rFonts w:ascii="Arial" w:cs="Arial" w:eastAsia="Arial" w:hAnsi="Arial"/>
                <w:sz w:val="14"/>
                <w:szCs w:val="14"/>
                <w:color w:val="auto"/>
              </w:rPr>
              <w:t>(5,235)</w:t>
            </w:r>
          </w:p>
        </w:tc>
        <w:tc>
          <w:tcPr>
            <w:tcW w:w="100" w:type="dxa"/>
            <w:vAlign w:val="bottom"/>
            <w:shd w:val="clear" w:color="auto" w:fill="EAF9E8"/>
          </w:tcPr>
          <w:p>
            <w:pPr>
              <w:spacing w:after="0"/>
              <w:rPr>
                <w:sz w:val="13"/>
                <w:szCs w:val="13"/>
                <w:color w:val="auto"/>
              </w:rPr>
            </w:pPr>
          </w:p>
        </w:tc>
        <w:tc>
          <w:tcPr>
            <w:tcW w:w="1020" w:type="dxa"/>
            <w:vAlign w:val="bottom"/>
            <w:gridSpan w:val="2"/>
            <w:shd w:val="clear" w:color="auto" w:fill="EAF9E8"/>
          </w:tcPr>
          <w:p>
            <w:pPr>
              <w:jc w:val="right"/>
              <w:ind w:right="160"/>
              <w:spacing w:after="0" w:line="149" w:lineRule="exact"/>
              <w:rPr>
                <w:sz w:val="20"/>
                <w:szCs w:val="20"/>
                <w:color w:val="auto"/>
              </w:rPr>
            </w:pPr>
            <w:r>
              <w:rPr>
                <w:rFonts w:ascii="Arial" w:cs="Arial" w:eastAsia="Arial" w:hAnsi="Arial"/>
                <w:sz w:val="14"/>
                <w:szCs w:val="14"/>
                <w:color w:val="auto"/>
              </w:rPr>
              <w:t>(33,029)</w:t>
            </w:r>
          </w:p>
        </w:tc>
        <w:tc>
          <w:tcPr>
            <w:tcW w:w="100" w:type="dxa"/>
            <w:vAlign w:val="bottom"/>
            <w:shd w:val="clear" w:color="auto" w:fill="EAF9E8"/>
          </w:tcPr>
          <w:p>
            <w:pPr>
              <w:spacing w:after="0"/>
              <w:rPr>
                <w:sz w:val="13"/>
                <w:szCs w:val="13"/>
                <w:color w:val="auto"/>
              </w:rPr>
            </w:pPr>
          </w:p>
        </w:tc>
        <w:tc>
          <w:tcPr>
            <w:tcW w:w="94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1,499</w:t>
            </w:r>
          </w:p>
        </w:tc>
        <w:tc>
          <w:tcPr>
            <w:tcW w:w="8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900" w:type="dxa"/>
            <w:vAlign w:val="bottom"/>
            <w:gridSpan w:val="2"/>
            <w:shd w:val="clear" w:color="auto" w:fill="EAF9E8"/>
          </w:tcPr>
          <w:p>
            <w:pPr>
              <w:jc w:val="right"/>
              <w:ind w:right="60"/>
              <w:spacing w:after="0" w:line="149" w:lineRule="exact"/>
              <w:rPr>
                <w:sz w:val="20"/>
                <w:szCs w:val="20"/>
                <w:color w:val="auto"/>
              </w:rPr>
            </w:pPr>
            <w:r>
              <w:rPr>
                <w:rFonts w:ascii="Arial" w:cs="Arial" w:eastAsia="Arial" w:hAnsi="Arial"/>
                <w:sz w:val="14"/>
                <w:szCs w:val="14"/>
                <w:color w:val="auto"/>
              </w:rPr>
              <w:t>(65,913)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tcBorders>
              <w:top w:val="single" w:sz="8" w:color="EAF9E8"/>
            </w:tcBorders>
          </w:tcPr>
          <w:p>
            <w:pPr>
              <w:ind w:left="480"/>
              <w:spacing w:after="0" w:line="130" w:lineRule="exact"/>
              <w:rPr>
                <w:sz w:val="20"/>
                <w:szCs w:val="20"/>
                <w:color w:val="auto"/>
              </w:rPr>
            </w:pPr>
            <w:r>
              <w:rPr>
                <w:rFonts w:ascii="Arial" w:cs="Arial" w:eastAsia="Arial" w:hAnsi="Arial"/>
                <w:sz w:val="14"/>
                <w:szCs w:val="14"/>
                <w:color w:val="auto"/>
              </w:rPr>
              <w:t>Other</w:t>
            </w: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EAF9E8"/>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Borders>
              <w:top w:val="single" w:sz="8" w:color="EAF9E8"/>
            </w:tcBorders>
          </w:tcPr>
          <w:p>
            <w:pPr>
              <w:spacing w:after="0"/>
              <w:rPr>
                <w:sz w:val="11"/>
                <w:szCs w:val="11"/>
                <w:color w:val="auto"/>
              </w:rPr>
            </w:pPr>
          </w:p>
        </w:tc>
        <w:tc>
          <w:tcPr>
            <w:tcW w:w="80" w:type="dxa"/>
            <w:vAlign w:val="bottom"/>
            <w:tcBorders>
              <w:top w:val="single" w:sz="8" w:color="EAF9E8"/>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Borders>
              <w:top w:val="single" w:sz="8" w:color="EAF9E8"/>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EAF9E8"/>
            </w:tcBorders>
          </w:tcPr>
          <w:p>
            <w:pPr>
              <w:spacing w:after="0"/>
              <w:rPr>
                <w:sz w:val="11"/>
                <w:szCs w:val="11"/>
                <w:color w:val="auto"/>
              </w:rPr>
            </w:pPr>
          </w:p>
        </w:tc>
        <w:tc>
          <w:tcPr>
            <w:tcW w:w="120" w:type="dxa"/>
            <w:vAlign w:val="bottom"/>
            <w:tcBorders>
              <w:top w:val="single" w:sz="8" w:color="EAF9E8"/>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Borders>
              <w:top w:val="single" w:sz="8" w:color="EAF9E8"/>
            </w:tcBorders>
          </w:tcPr>
          <w:p>
            <w:pPr>
              <w:spacing w:after="0"/>
              <w:rPr>
                <w:sz w:val="11"/>
                <w:szCs w:val="11"/>
                <w:color w:val="auto"/>
              </w:rPr>
            </w:pPr>
          </w:p>
        </w:tc>
        <w:tc>
          <w:tcPr>
            <w:tcW w:w="80" w:type="dxa"/>
            <w:vAlign w:val="bottom"/>
            <w:tcBorders>
              <w:top w:val="single" w:sz="8" w:color="EAF9E8"/>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Borders>
              <w:top w:val="single" w:sz="8" w:color="EAF9E8"/>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Borders>
              <w:top w:val="single" w:sz="8" w:color="EAF9E8"/>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EAF9E8"/>
            </w:tcBorders>
          </w:tcPr>
          <w:p>
            <w:pPr>
              <w:spacing w:after="0"/>
              <w:rPr>
                <w:sz w:val="11"/>
                <w:szCs w:val="11"/>
                <w:color w:val="auto"/>
              </w:rPr>
            </w:pPr>
          </w:p>
        </w:tc>
        <w:tc>
          <w:tcPr>
            <w:tcW w:w="80" w:type="dxa"/>
            <w:vAlign w:val="bottom"/>
            <w:tcBorders>
              <w:top w:val="single" w:sz="8" w:color="EAF9E8"/>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EAF9E8"/>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ind w:left="640"/>
              <w:spacing w:after="0" w:line="149" w:lineRule="exact"/>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ind w:left="640"/>
              <w:spacing w:after="0" w:line="149" w:lineRule="exact"/>
              <w:rPr>
                <w:sz w:val="20"/>
                <w:szCs w:val="20"/>
                <w:color w:val="auto"/>
              </w:rPr>
            </w:pPr>
            <w:r>
              <w:rPr>
                <w:rFonts w:ascii="Arial" w:cs="Arial" w:eastAsia="Arial" w:hAnsi="Arial"/>
                <w:sz w:val="14"/>
                <w:szCs w:val="14"/>
                <w:color w:val="auto"/>
              </w:rPr>
              <w:t>(expense),</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80" w:type="dxa"/>
            <w:vAlign w:val="bottom"/>
          </w:tcPr>
          <w:p>
            <w:pPr>
              <w:ind w:left="640"/>
              <w:spacing w:after="0"/>
              <w:rPr>
                <w:sz w:val="20"/>
                <w:szCs w:val="20"/>
                <w:color w:val="auto"/>
              </w:rPr>
            </w:pPr>
            <w:r>
              <w:rPr>
                <w:rFonts w:ascii="Arial" w:cs="Arial" w:eastAsia="Arial" w:hAnsi="Arial"/>
                <w:sz w:val="14"/>
                <w:szCs w:val="14"/>
                <w:color w:val="auto"/>
              </w:rPr>
              <w:t>net</w:t>
            </w:r>
          </w:p>
        </w:tc>
        <w:tc>
          <w:tcPr>
            <w:tcW w:w="120" w:type="dxa"/>
            <w:vAlign w:val="bottom"/>
          </w:tcPr>
          <w:p>
            <w:pPr>
              <w:spacing w:after="0"/>
              <w:rPr>
                <w:sz w:val="15"/>
                <w:szCs w:val="15"/>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rPr>
              <w:t>(75,663)</w:t>
            </w:r>
          </w:p>
        </w:tc>
        <w:tc>
          <w:tcPr>
            <w:tcW w:w="10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(11,657)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(9,364)</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(1,953)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(5,808)</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(35,673)</w:t>
            </w: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1,499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(137,791)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tcBorders>
              <w:right w:val="single" w:sz="8" w:color="EAF9E8"/>
            </w:tcBorders>
            <w:shd w:val="clear" w:color="auto" w:fill="EAF9E8"/>
          </w:tcPr>
          <w:p>
            <w:pPr>
              <w:ind w:left="160"/>
              <w:spacing w:after="0" w:line="130" w:lineRule="exact"/>
              <w:rPr>
                <w:sz w:val="20"/>
                <w:szCs w:val="20"/>
                <w:color w:val="auto"/>
              </w:rPr>
            </w:pPr>
            <w:r>
              <w:rPr>
                <w:rFonts w:ascii="Arial" w:cs="Arial" w:eastAsia="Arial" w:hAnsi="Arial"/>
                <w:sz w:val="14"/>
                <w:szCs w:val="14"/>
                <w:color w:val="auto"/>
              </w:rPr>
              <w:t>Income (loss) from</w:t>
            </w:r>
          </w:p>
        </w:tc>
        <w:tc>
          <w:tcPr>
            <w:tcW w:w="120" w:type="dxa"/>
            <w:vAlign w:val="bottom"/>
            <w:tcBorders>
              <w:top w:val="single" w:sz="8" w:color="auto"/>
            </w:tcBorders>
            <w:shd w:val="clear" w:color="auto" w:fill="EAF9E8"/>
          </w:tcPr>
          <w:p>
            <w:pPr>
              <w:spacing w:after="0"/>
              <w:rPr>
                <w:sz w:val="11"/>
                <w:szCs w:val="11"/>
                <w:color w:val="auto"/>
              </w:rPr>
            </w:pPr>
          </w:p>
        </w:tc>
        <w:tc>
          <w:tcPr>
            <w:tcW w:w="720" w:type="dxa"/>
            <w:vAlign w:val="bottom"/>
            <w:tcBorders>
              <w:top w:val="single" w:sz="8" w:color="auto"/>
            </w:tcBorders>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800" w:type="dxa"/>
            <w:vAlign w:val="bottom"/>
            <w:tcBorders>
              <w:top w:val="single" w:sz="8" w:color="auto"/>
            </w:tcBorders>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60" w:type="dxa"/>
            <w:vAlign w:val="bottom"/>
            <w:tcBorders>
              <w:top w:val="single" w:sz="8" w:color="auto"/>
            </w:tcBorders>
            <w:shd w:val="clear" w:color="auto" w:fill="EAF9E8"/>
          </w:tcPr>
          <w:p>
            <w:pPr>
              <w:spacing w:after="0"/>
              <w:rPr>
                <w:sz w:val="11"/>
                <w:szCs w:val="11"/>
                <w:color w:val="auto"/>
              </w:rPr>
            </w:pPr>
          </w:p>
        </w:tc>
        <w:tc>
          <w:tcPr>
            <w:tcW w:w="74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20" w:type="dxa"/>
            <w:vAlign w:val="bottom"/>
            <w:tcBorders>
              <w:top w:val="single" w:sz="8" w:color="auto"/>
            </w:tcBorders>
            <w:shd w:val="clear" w:color="auto" w:fill="EAF9E8"/>
          </w:tcPr>
          <w:p>
            <w:pPr>
              <w:spacing w:after="0"/>
              <w:rPr>
                <w:sz w:val="11"/>
                <w:szCs w:val="11"/>
                <w:color w:val="auto"/>
              </w:rPr>
            </w:pPr>
          </w:p>
        </w:tc>
        <w:tc>
          <w:tcPr>
            <w:tcW w:w="780" w:type="dxa"/>
            <w:vAlign w:val="bottom"/>
            <w:tcBorders>
              <w:top w:val="single" w:sz="8" w:color="auto"/>
            </w:tcBorders>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20" w:type="dxa"/>
            <w:vAlign w:val="bottom"/>
            <w:tcBorders>
              <w:top w:val="single" w:sz="8" w:color="auto"/>
            </w:tcBorders>
            <w:shd w:val="clear" w:color="auto" w:fill="EAF9E8"/>
          </w:tcPr>
          <w:p>
            <w:pPr>
              <w:spacing w:after="0"/>
              <w:rPr>
                <w:sz w:val="11"/>
                <w:szCs w:val="11"/>
                <w:color w:val="auto"/>
              </w:rPr>
            </w:pPr>
          </w:p>
        </w:tc>
        <w:tc>
          <w:tcPr>
            <w:tcW w:w="780" w:type="dxa"/>
            <w:vAlign w:val="bottom"/>
            <w:tcBorders>
              <w:top w:val="single" w:sz="8" w:color="auto"/>
            </w:tcBorders>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80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820" w:type="dxa"/>
            <w:vAlign w:val="bottom"/>
            <w:tcBorders>
              <w:top w:val="single" w:sz="8" w:color="auto"/>
            </w:tcBorders>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100" w:type="dxa"/>
            <w:vAlign w:val="bottom"/>
            <w:tcBorders>
              <w:top w:val="single" w:sz="8" w:color="auto"/>
            </w:tcBorders>
            <w:shd w:val="clear" w:color="auto" w:fill="EAF9E8"/>
          </w:tcPr>
          <w:p>
            <w:pPr>
              <w:spacing w:after="0"/>
              <w:rPr>
                <w:sz w:val="11"/>
                <w:szCs w:val="11"/>
                <w:color w:val="auto"/>
              </w:rPr>
            </w:pPr>
          </w:p>
        </w:tc>
        <w:tc>
          <w:tcPr>
            <w:tcW w:w="820" w:type="dxa"/>
            <w:vAlign w:val="bottom"/>
            <w:tcBorders>
              <w:top w:val="single" w:sz="8" w:color="auto"/>
            </w:tcBorders>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20" w:type="dxa"/>
            <w:vAlign w:val="bottom"/>
            <w:tcBorders>
              <w:top w:val="single" w:sz="8" w:color="auto"/>
            </w:tcBorders>
            <w:shd w:val="clear" w:color="auto" w:fill="EAF9E8"/>
          </w:tcPr>
          <w:p>
            <w:pPr>
              <w:spacing w:after="0"/>
              <w:rPr>
                <w:sz w:val="11"/>
                <w:szCs w:val="11"/>
                <w:color w:val="auto"/>
              </w:rPr>
            </w:pPr>
          </w:p>
        </w:tc>
        <w:tc>
          <w:tcPr>
            <w:tcW w:w="800" w:type="dxa"/>
            <w:vAlign w:val="bottom"/>
            <w:tcBorders>
              <w:top w:val="single" w:sz="8" w:color="auto"/>
            </w:tcBorders>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Borders>
              <w:right w:val="single" w:sz="8" w:color="EAF9E8"/>
            </w:tcBorders>
            <w:shd w:val="clear" w:color="auto" w:fill="EAF9E8"/>
          </w:tcPr>
          <w:p>
            <w:pPr>
              <w:ind w:left="320"/>
              <w:spacing w:after="0" w:line="149" w:lineRule="exact"/>
              <w:rPr>
                <w:sz w:val="20"/>
                <w:szCs w:val="20"/>
                <w:color w:val="auto"/>
              </w:rPr>
            </w:pPr>
            <w:r>
              <w:rPr>
                <w:rFonts w:ascii="Arial" w:cs="Arial" w:eastAsia="Arial" w:hAnsi="Arial"/>
                <w:sz w:val="14"/>
                <w:szCs w:val="14"/>
                <w:color w:val="auto"/>
              </w:rPr>
              <w:t>continuing</w:t>
            </w:r>
          </w:p>
        </w:tc>
        <w:tc>
          <w:tcPr>
            <w:tcW w:w="12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74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Borders>
              <w:right w:val="single" w:sz="8" w:color="EAF9E8"/>
            </w:tcBorders>
            <w:shd w:val="clear" w:color="auto" w:fill="EAF9E8"/>
          </w:tcPr>
          <w:p>
            <w:pPr>
              <w:ind w:left="320"/>
              <w:spacing w:after="0" w:line="149" w:lineRule="exact"/>
              <w:rPr>
                <w:sz w:val="20"/>
                <w:szCs w:val="20"/>
                <w:color w:val="auto"/>
              </w:rPr>
            </w:pPr>
            <w:r>
              <w:rPr>
                <w:rFonts w:ascii="Arial" w:cs="Arial" w:eastAsia="Arial" w:hAnsi="Arial"/>
                <w:sz w:val="14"/>
                <w:szCs w:val="14"/>
                <w:color w:val="auto"/>
              </w:rPr>
              <w:t>operations</w:t>
            </w:r>
          </w:p>
        </w:tc>
        <w:tc>
          <w:tcPr>
            <w:tcW w:w="12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74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Borders>
              <w:right w:val="single" w:sz="8" w:color="EAF9E8"/>
            </w:tcBorders>
            <w:shd w:val="clear" w:color="auto" w:fill="EAF9E8"/>
          </w:tcPr>
          <w:p>
            <w:pPr>
              <w:ind w:left="320"/>
              <w:spacing w:after="0" w:line="149" w:lineRule="exact"/>
              <w:rPr>
                <w:sz w:val="20"/>
                <w:szCs w:val="20"/>
                <w:color w:val="auto"/>
              </w:rPr>
            </w:pPr>
            <w:r>
              <w:rPr>
                <w:rFonts w:ascii="Arial" w:cs="Arial" w:eastAsia="Arial" w:hAnsi="Arial"/>
                <w:sz w:val="14"/>
                <w:szCs w:val="14"/>
                <w:color w:val="auto"/>
              </w:rPr>
              <w:t>before income</w:t>
            </w:r>
          </w:p>
        </w:tc>
        <w:tc>
          <w:tcPr>
            <w:tcW w:w="12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74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80" w:type="dxa"/>
            <w:vAlign w:val="bottom"/>
            <w:tcBorders>
              <w:right w:val="single" w:sz="8" w:color="EAF9E8"/>
            </w:tcBorders>
            <w:shd w:val="clear" w:color="auto" w:fill="EAF9E8"/>
          </w:tcPr>
          <w:p>
            <w:pPr>
              <w:ind w:left="320"/>
              <w:spacing w:after="0"/>
              <w:rPr>
                <w:sz w:val="20"/>
                <w:szCs w:val="20"/>
                <w:color w:val="auto"/>
              </w:rPr>
            </w:pPr>
            <w:r>
              <w:rPr>
                <w:rFonts w:ascii="Arial" w:cs="Arial" w:eastAsia="Arial" w:hAnsi="Arial"/>
                <w:sz w:val="14"/>
                <w:szCs w:val="14"/>
                <w:color w:val="auto"/>
              </w:rPr>
              <w:t>taxes</w:t>
            </w: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3"/>
            <w:shd w:val="clear" w:color="auto" w:fill="EAF9E8"/>
          </w:tcPr>
          <w:p>
            <w:pPr>
              <w:jc w:val="right"/>
              <w:ind w:right="220"/>
              <w:spacing w:after="0"/>
              <w:rPr>
                <w:sz w:val="20"/>
                <w:szCs w:val="20"/>
                <w:color w:val="auto"/>
              </w:rPr>
            </w:pPr>
            <w:r>
              <w:rPr>
                <w:rFonts w:ascii="Arial" w:cs="Arial" w:eastAsia="Arial" w:hAnsi="Arial"/>
                <w:sz w:val="14"/>
                <w:szCs w:val="14"/>
                <w:color w:val="auto"/>
              </w:rPr>
              <w:t>100,770</w:t>
            </w:r>
          </w:p>
        </w:tc>
        <w:tc>
          <w:tcPr>
            <w:tcW w:w="10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(14,682)</w:t>
            </w:r>
          </w:p>
        </w:tc>
        <w:tc>
          <w:tcPr>
            <w:tcW w:w="240" w:type="dxa"/>
            <w:vAlign w:val="bottom"/>
            <w:gridSpan w:val="2"/>
            <w:shd w:val="clear" w:color="auto" w:fill="EAF9E8"/>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EAF9E8"/>
          </w:tcPr>
          <w:p>
            <w:pPr>
              <w:jc w:val="right"/>
              <w:ind w:right="160"/>
              <w:spacing w:after="0"/>
              <w:rPr>
                <w:sz w:val="20"/>
                <w:szCs w:val="20"/>
                <w:color w:val="auto"/>
              </w:rPr>
            </w:pPr>
            <w:r>
              <w:rPr>
                <w:rFonts w:ascii="Arial" w:cs="Arial" w:eastAsia="Arial" w:hAnsi="Arial"/>
                <w:sz w:val="14"/>
                <w:szCs w:val="14"/>
                <w:color w:val="auto"/>
              </w:rPr>
              <w:t>(9,813)</w:t>
            </w: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13,262</w:t>
            </w:r>
          </w:p>
        </w:tc>
        <w:tc>
          <w:tcPr>
            <w:tcW w:w="240" w:type="dxa"/>
            <w:vAlign w:val="bottom"/>
            <w:gridSpan w:val="2"/>
            <w:shd w:val="clear" w:color="auto" w:fill="EAF9E8"/>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(7,875)</w:t>
            </w:r>
          </w:p>
        </w:tc>
        <w:tc>
          <w:tcPr>
            <w:tcW w:w="18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3,580</w:t>
            </w:r>
          </w:p>
        </w:tc>
        <w:tc>
          <w:tcPr>
            <w:tcW w:w="10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EAF9E8"/>
          </w:tcPr>
          <w:p>
            <w:pPr>
              <w:jc w:val="right"/>
              <w:ind w:right="160"/>
              <w:spacing w:after="0"/>
              <w:rPr>
                <w:sz w:val="20"/>
                <w:szCs w:val="20"/>
                <w:color w:val="auto"/>
              </w:rPr>
            </w:pPr>
            <w:r>
              <w:rPr>
                <w:rFonts w:ascii="Arial" w:cs="Arial" w:eastAsia="Arial" w:hAnsi="Arial"/>
                <w:sz w:val="14"/>
                <w:szCs w:val="14"/>
                <w:color w:val="auto"/>
              </w:rPr>
              <w:t>(54,260)</w:t>
            </w:r>
          </w:p>
        </w:tc>
        <w:tc>
          <w:tcPr>
            <w:tcW w:w="10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30,982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top w:val="single" w:sz="8" w:color="EAF9E8"/>
              <w:right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8"/>
          </w:tcPr>
          <w:p>
            <w:pPr>
              <w:jc w:val="center"/>
              <w:ind w:left="588"/>
              <w:spacing w:after="0"/>
              <w:rPr>
                <w:sz w:val="20"/>
                <w:szCs w:val="20"/>
                <w:color w:val="auto"/>
              </w:rPr>
            </w:pPr>
            <w:r>
              <w:rPr>
                <w:rFonts w:ascii="Arial" w:cs="Arial" w:eastAsia="Arial" w:hAnsi="Arial"/>
                <w:sz w:val="14"/>
                <w:szCs w:val="14"/>
                <w:b w:val="1"/>
                <w:bCs w:val="1"/>
                <w:color w:val="auto"/>
                <w:w w:val="92"/>
              </w:rPr>
              <w:t>Ocwen Asset Management</w:t>
            </w: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89"/>
              </w:rPr>
              <w:t>Ocwen Solutions</w:t>
            </w: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3"/>
              </w:rPr>
              <w:t>Business</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Loans and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center"/>
              <w:ind w:right="88"/>
              <w:spacing w:after="0" w:line="126" w:lineRule="exact"/>
              <w:rPr>
                <w:sz w:val="20"/>
                <w:szCs w:val="20"/>
                <w:color w:val="auto"/>
              </w:rPr>
            </w:pPr>
            <w:r>
              <w:rPr>
                <w:rFonts w:ascii="Arial" w:cs="Arial" w:eastAsia="Arial" w:hAnsi="Arial"/>
                <w:sz w:val="14"/>
                <w:szCs w:val="14"/>
                <w:b w:val="1"/>
                <w:bCs w:val="1"/>
                <w:color w:val="auto"/>
                <w:w w:val="89"/>
              </w:rPr>
              <w:t>Asset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8"/>
              </w:rPr>
              <w:t>Mortgage</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5"/>
              </w:rPr>
              <w:t>Financial</w:t>
            </w: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6"/>
              </w:rPr>
              <w:t>Technology</w:t>
            </w: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8"/>
              </w:rPr>
              <w:t>Corporate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8"/>
              </w:rPr>
              <w:t>Servicing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Management</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Items and</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Segments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Residuals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Vehicles</w:t>
            </w:r>
          </w:p>
        </w:tc>
        <w:tc>
          <w:tcPr>
            <w:tcW w:w="12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Services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6"/>
              </w:rPr>
              <w:t>Services</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Products</w:t>
            </w:r>
          </w:p>
        </w:tc>
        <w:tc>
          <w:tcPr>
            <w:tcW w:w="10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10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5"/>
                <w:szCs w:val="15"/>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EAF9E8"/>
          </w:tcPr>
          <w:p>
            <w:pPr>
              <w:jc w:val="right"/>
              <w:ind w:right="468"/>
              <w:spacing w:after="0" w:line="149" w:lineRule="exact"/>
              <w:rPr>
                <w:sz w:val="20"/>
                <w:szCs w:val="20"/>
                <w:color w:val="auto"/>
              </w:rPr>
            </w:pPr>
            <w:r>
              <w:rPr>
                <w:rFonts w:ascii="Arial" w:cs="Arial" w:eastAsia="Arial" w:hAnsi="Arial"/>
                <w:sz w:val="14"/>
                <w:szCs w:val="14"/>
                <w:b w:val="1"/>
                <w:bCs w:val="1"/>
                <w:color w:val="auto"/>
                <w:w w:val="84"/>
              </w:rPr>
              <w:t>Total Assets</w:t>
            </w:r>
          </w:p>
        </w:tc>
        <w:tc>
          <w:tcPr>
            <w:tcW w:w="120" w:type="dxa"/>
            <w:vAlign w:val="bottom"/>
            <w:tcBorders>
              <w:top w:val="single" w:sz="8" w:color="auto"/>
            </w:tcBorders>
            <w:shd w:val="clear" w:color="auto" w:fill="EAF9E8"/>
          </w:tcPr>
          <w:p>
            <w:pPr>
              <w:spacing w:after="0"/>
              <w:rPr>
                <w:sz w:val="12"/>
                <w:szCs w:val="12"/>
                <w:color w:val="auto"/>
              </w:rPr>
            </w:pPr>
          </w:p>
        </w:tc>
        <w:tc>
          <w:tcPr>
            <w:tcW w:w="800" w:type="dxa"/>
            <w:vAlign w:val="bottom"/>
            <w:tcBorders>
              <w:top w:val="single" w:sz="8" w:color="auto"/>
            </w:tcBorders>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00" w:type="dxa"/>
            <w:vAlign w:val="bottom"/>
            <w:tcBorders>
              <w:top w:val="single" w:sz="8" w:color="auto"/>
            </w:tcBorders>
            <w:shd w:val="clear" w:color="auto" w:fill="EAF9E8"/>
          </w:tcPr>
          <w:p>
            <w:pPr>
              <w:spacing w:after="0"/>
              <w:rPr>
                <w:sz w:val="12"/>
                <w:szCs w:val="12"/>
                <w:color w:val="auto"/>
              </w:rPr>
            </w:pPr>
          </w:p>
        </w:tc>
        <w:tc>
          <w:tcPr>
            <w:tcW w:w="820" w:type="dxa"/>
            <w:vAlign w:val="bottom"/>
            <w:tcBorders>
              <w:top w:val="single" w:sz="8" w:color="auto"/>
            </w:tcBorders>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60" w:type="dxa"/>
            <w:vAlign w:val="bottom"/>
            <w:tcBorders>
              <w:top w:val="single" w:sz="8" w:color="auto"/>
            </w:tcBorders>
            <w:shd w:val="clear" w:color="auto" w:fill="EAF9E8"/>
          </w:tcPr>
          <w:p>
            <w:pPr>
              <w:spacing w:after="0"/>
              <w:rPr>
                <w:sz w:val="12"/>
                <w:szCs w:val="12"/>
                <w:color w:val="auto"/>
              </w:rPr>
            </w:pPr>
          </w:p>
        </w:tc>
        <w:tc>
          <w:tcPr>
            <w:tcW w:w="780" w:type="dxa"/>
            <w:vAlign w:val="bottom"/>
            <w:tcBorders>
              <w:top w:val="single" w:sz="8" w:color="auto"/>
            </w:tcBorders>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20" w:type="dxa"/>
            <w:vAlign w:val="bottom"/>
            <w:tcBorders>
              <w:top w:val="single" w:sz="8" w:color="auto"/>
            </w:tcBorders>
            <w:shd w:val="clear" w:color="auto" w:fill="EAF9E8"/>
          </w:tcPr>
          <w:p>
            <w:pPr>
              <w:spacing w:after="0"/>
              <w:rPr>
                <w:sz w:val="12"/>
                <w:szCs w:val="12"/>
                <w:color w:val="auto"/>
              </w:rPr>
            </w:pPr>
          </w:p>
        </w:tc>
        <w:tc>
          <w:tcPr>
            <w:tcW w:w="780" w:type="dxa"/>
            <w:vAlign w:val="bottom"/>
            <w:tcBorders>
              <w:top w:val="single" w:sz="8" w:color="auto"/>
            </w:tcBorders>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120" w:type="dxa"/>
            <w:vAlign w:val="bottom"/>
            <w:tcBorders>
              <w:top w:val="single" w:sz="8" w:color="auto"/>
            </w:tcBorders>
            <w:shd w:val="clear" w:color="auto" w:fill="EAF9E8"/>
          </w:tcPr>
          <w:p>
            <w:pPr>
              <w:spacing w:after="0"/>
              <w:rPr>
                <w:sz w:val="12"/>
                <w:szCs w:val="12"/>
                <w:color w:val="auto"/>
              </w:rPr>
            </w:pPr>
          </w:p>
        </w:tc>
        <w:tc>
          <w:tcPr>
            <w:tcW w:w="780" w:type="dxa"/>
            <w:vAlign w:val="bottom"/>
            <w:tcBorders>
              <w:top w:val="single" w:sz="8" w:color="auto"/>
            </w:tcBorders>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00" w:type="dxa"/>
            <w:vAlign w:val="bottom"/>
            <w:tcBorders>
              <w:top w:val="single" w:sz="8" w:color="auto"/>
            </w:tcBorders>
            <w:shd w:val="clear" w:color="auto" w:fill="EAF9E8"/>
          </w:tcPr>
          <w:p>
            <w:pPr>
              <w:spacing w:after="0"/>
              <w:rPr>
                <w:sz w:val="12"/>
                <w:szCs w:val="12"/>
                <w:color w:val="auto"/>
              </w:rPr>
            </w:pPr>
          </w:p>
        </w:tc>
        <w:tc>
          <w:tcPr>
            <w:tcW w:w="800" w:type="dxa"/>
            <w:vAlign w:val="bottom"/>
            <w:tcBorders>
              <w:top w:val="single" w:sz="8" w:color="auto"/>
            </w:tcBorders>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00" w:type="dxa"/>
            <w:vAlign w:val="bottom"/>
            <w:tcBorders>
              <w:top w:val="single" w:sz="8" w:color="auto"/>
            </w:tcBorders>
            <w:shd w:val="clear" w:color="auto" w:fill="EAF9E8"/>
          </w:tcPr>
          <w:p>
            <w:pPr>
              <w:spacing w:after="0"/>
              <w:rPr>
                <w:sz w:val="12"/>
                <w:szCs w:val="12"/>
                <w:color w:val="auto"/>
              </w:rPr>
            </w:pPr>
          </w:p>
        </w:tc>
        <w:tc>
          <w:tcPr>
            <w:tcW w:w="820" w:type="dxa"/>
            <w:vAlign w:val="bottom"/>
            <w:tcBorders>
              <w:top w:val="single" w:sz="8" w:color="auto"/>
            </w:tcBorders>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100" w:type="dxa"/>
            <w:vAlign w:val="bottom"/>
            <w:tcBorders>
              <w:top w:val="single" w:sz="8" w:color="auto"/>
            </w:tcBorders>
            <w:shd w:val="clear" w:color="auto" w:fill="EAF9E8"/>
          </w:tcPr>
          <w:p>
            <w:pPr>
              <w:spacing w:after="0"/>
              <w:rPr>
                <w:sz w:val="12"/>
                <w:szCs w:val="12"/>
                <w:color w:val="auto"/>
              </w:rPr>
            </w:pPr>
          </w:p>
        </w:tc>
        <w:tc>
          <w:tcPr>
            <w:tcW w:w="820" w:type="dxa"/>
            <w:vAlign w:val="bottom"/>
            <w:tcBorders>
              <w:top w:val="single" w:sz="8" w:color="auto"/>
            </w:tcBorders>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20" w:type="dxa"/>
            <w:vAlign w:val="bottom"/>
            <w:tcBorders>
              <w:top w:val="single" w:sz="8" w:color="auto"/>
            </w:tcBorders>
            <w:shd w:val="clear" w:color="auto" w:fill="EAF9E8"/>
          </w:tcPr>
          <w:p>
            <w:pPr>
              <w:spacing w:after="0"/>
              <w:rPr>
                <w:sz w:val="12"/>
                <w:szCs w:val="12"/>
                <w:color w:val="auto"/>
              </w:rPr>
            </w:pPr>
          </w:p>
        </w:tc>
        <w:tc>
          <w:tcPr>
            <w:tcW w:w="800" w:type="dxa"/>
            <w:vAlign w:val="bottom"/>
            <w:tcBorders>
              <w:top w:val="single" w:sz="8" w:color="auto"/>
            </w:tcBorders>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60" w:type="dxa"/>
            <w:vAlign w:val="bottom"/>
          </w:tcPr>
          <w:p>
            <w:pPr>
              <w:jc w:val="right"/>
              <w:ind w:right="228"/>
              <w:spacing w:after="0" w:line="130" w:lineRule="exact"/>
              <w:rPr>
                <w:sz w:val="20"/>
                <w:szCs w:val="20"/>
                <w:color w:val="auto"/>
              </w:rPr>
            </w:pPr>
            <w:r>
              <w:rPr>
                <w:rFonts w:ascii="Arial" w:cs="Arial" w:eastAsia="Arial" w:hAnsi="Arial"/>
                <w:sz w:val="14"/>
                <w:szCs w:val="14"/>
                <w:color w:val="auto"/>
              </w:rPr>
              <w:t>December 31,</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280" w:type="dxa"/>
            <w:vAlign w:val="bottom"/>
            <w:gridSpan w:val="2"/>
          </w:tcPr>
          <w:p>
            <w:pPr>
              <w:jc w:val="right"/>
              <w:ind w:right="588"/>
              <w:spacing w:after="0"/>
              <w:rPr>
                <w:sz w:val="20"/>
                <w:szCs w:val="20"/>
                <w:color w:val="auto"/>
              </w:rPr>
            </w:pPr>
            <w:r>
              <w:rPr>
                <w:rFonts w:ascii="Arial" w:cs="Arial" w:eastAsia="Arial" w:hAnsi="Arial"/>
                <w:sz w:val="14"/>
                <w:szCs w:val="14"/>
                <w:color w:val="auto"/>
              </w:rPr>
              <w:t>2010</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2,495,966</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103,880</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12,097</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gridSpan w:val="3"/>
          </w:tcPr>
          <w:p>
            <w:pPr>
              <w:ind w:left="640"/>
              <w:spacing w:after="0"/>
              <w:rPr>
                <w:sz w:val="20"/>
                <w:szCs w:val="20"/>
                <w:color w:val="auto"/>
              </w:rPr>
            </w:pPr>
            <w:r>
              <w:rPr>
                <w:rFonts w:ascii="Arial" w:cs="Arial" w:eastAsia="Arial" w:hAnsi="Arial"/>
                <w:sz w:val="14"/>
                <w:szCs w:val="14"/>
                <w:color w:val="auto"/>
              </w:rPr>
              <w:t>—   $</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309,466</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2,921,409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60" w:type="dxa"/>
            <w:vAlign w:val="bottom"/>
          </w:tcPr>
          <w:p>
            <w:pPr>
              <w:jc w:val="right"/>
              <w:ind w:right="228"/>
              <w:spacing w:after="0" w:line="130" w:lineRule="exact"/>
              <w:rPr>
                <w:sz w:val="20"/>
                <w:szCs w:val="20"/>
                <w:color w:val="auto"/>
              </w:rPr>
            </w:pPr>
            <w:r>
              <w:rPr>
                <w:rFonts w:ascii="Arial" w:cs="Arial" w:eastAsia="Arial" w:hAnsi="Arial"/>
                <w:sz w:val="14"/>
                <w:szCs w:val="14"/>
                <w:color w:val="auto"/>
              </w:rPr>
              <w:t>December 31,</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280" w:type="dxa"/>
            <w:vAlign w:val="bottom"/>
            <w:gridSpan w:val="2"/>
          </w:tcPr>
          <w:p>
            <w:pPr>
              <w:jc w:val="right"/>
              <w:ind w:right="588"/>
              <w:spacing w:after="0"/>
              <w:rPr>
                <w:sz w:val="20"/>
                <w:szCs w:val="20"/>
                <w:color w:val="auto"/>
              </w:rPr>
            </w:pPr>
            <w:r>
              <w:rPr>
                <w:rFonts w:ascii="Arial" w:cs="Arial" w:eastAsia="Arial" w:hAnsi="Arial"/>
                <w:sz w:val="14"/>
                <w:szCs w:val="14"/>
                <w:color w:val="auto"/>
              </w:rPr>
              <w:t>2009</w:t>
            </w:r>
          </w:p>
        </w:tc>
        <w:tc>
          <w:tcPr>
            <w:tcW w:w="12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1,191,212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48,690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15,271</w:t>
            </w:r>
          </w:p>
        </w:tc>
        <w:tc>
          <w:tcPr>
            <w:tcW w:w="12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514,177</w:t>
            </w: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1,769,350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60" w:type="dxa"/>
            <w:vAlign w:val="bottom"/>
          </w:tcPr>
          <w:p>
            <w:pPr>
              <w:jc w:val="right"/>
              <w:ind w:right="228"/>
              <w:spacing w:after="0" w:line="130" w:lineRule="exact"/>
              <w:rPr>
                <w:sz w:val="20"/>
                <w:szCs w:val="20"/>
                <w:color w:val="auto"/>
              </w:rPr>
            </w:pPr>
            <w:r>
              <w:rPr>
                <w:rFonts w:ascii="Arial" w:cs="Arial" w:eastAsia="Arial" w:hAnsi="Arial"/>
                <w:sz w:val="14"/>
                <w:szCs w:val="14"/>
                <w:color w:val="auto"/>
              </w:rPr>
              <w:t>December 31,</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280" w:type="dxa"/>
            <w:vAlign w:val="bottom"/>
            <w:gridSpan w:val="2"/>
          </w:tcPr>
          <w:p>
            <w:pPr>
              <w:jc w:val="right"/>
              <w:ind w:right="588"/>
              <w:spacing w:after="0"/>
              <w:rPr>
                <w:sz w:val="20"/>
                <w:szCs w:val="20"/>
                <w:color w:val="auto"/>
              </w:rPr>
            </w:pPr>
            <w:r>
              <w:rPr>
                <w:rFonts w:ascii="Arial" w:cs="Arial" w:eastAsia="Arial" w:hAnsi="Arial"/>
                <w:sz w:val="14"/>
                <w:szCs w:val="14"/>
                <w:color w:val="auto"/>
              </w:rPr>
              <w:t>2008</w:t>
            </w:r>
          </w:p>
        </w:tc>
        <w:tc>
          <w:tcPr>
            <w:tcW w:w="1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1,416,615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67,317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26,755</w:t>
            </w:r>
          </w:p>
        </w:tc>
        <w:tc>
          <w:tcPr>
            <w:tcW w:w="12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3,558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58,707</w:t>
            </w: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8,906</w:t>
            </w:r>
          </w:p>
        </w:tc>
        <w:tc>
          <w:tcPr>
            <w:tcW w:w="10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664,962</w:t>
            </w:r>
          </w:p>
        </w:tc>
        <w:tc>
          <w:tcPr>
            <w:tcW w:w="10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(9,720)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2,237,100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80" w:right="180" w:hanging="572"/>
        <w:spacing w:after="0" w:line="277" w:lineRule="auto"/>
        <w:tabs>
          <w:tab w:leader="none" w:pos="5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Intersegment billings for services rendered to other segments are recorded as revenues, as contra-expense or as other income, depending on the type of service that is rendered. Intersegment billings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Management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3"/>
              </w:rPr>
              <w:t>Mortgage</w:t>
            </w:r>
          </w:p>
        </w:tc>
        <w:tc>
          <w:tcPr>
            <w:tcW w:w="1440" w:type="dxa"/>
            <w:vAlign w:val="bottom"/>
            <w:gridSpan w:val="3"/>
          </w:tcPr>
          <w:p>
            <w:pPr>
              <w:ind w:left="60"/>
              <w:spacing w:after="0"/>
              <w:rPr>
                <w:sz w:val="20"/>
                <w:szCs w:val="20"/>
                <w:color w:val="auto"/>
              </w:rPr>
            </w:pPr>
            <w:r>
              <w:rPr>
                <w:rFonts w:ascii="Arial" w:cs="Arial" w:eastAsia="Arial" w:hAnsi="Arial"/>
                <w:sz w:val="18"/>
                <w:szCs w:val="18"/>
                <w:b w:val="1"/>
                <w:bCs w:val="1"/>
                <w:color w:val="auto"/>
              </w:rPr>
              <w:t>Technology</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Segments</w:t>
            </w:r>
          </w:p>
        </w:tc>
      </w:tr>
      <w:tr>
        <w:trPr>
          <w:trHeight w:val="241"/>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Servicing</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Vehicles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Services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Products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Consolidated</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AF9E8"/>
          </w:tcPr>
          <w:p>
            <w:pPr>
              <w:spacing w:after="0"/>
              <w:rPr>
                <w:sz w:val="20"/>
                <w:szCs w:val="20"/>
                <w:color w:val="auto"/>
              </w:rPr>
            </w:pPr>
            <w:r>
              <w:rPr>
                <w:rFonts w:ascii="Arial" w:cs="Arial" w:eastAsia="Arial" w:hAnsi="Arial"/>
                <w:sz w:val="18"/>
                <w:szCs w:val="18"/>
                <w:color w:val="auto"/>
              </w:rPr>
              <w:t>For the year ended December 31, 2010</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1,356</w:t>
            </w:r>
          </w:p>
        </w:tc>
        <w:tc>
          <w:tcPr>
            <w:tcW w:w="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173</w:t>
            </w:r>
          </w:p>
        </w:tc>
        <w:tc>
          <w:tcPr>
            <w:tcW w:w="2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EAF9E8"/>
          </w:tcPr>
          <w:p>
            <w:pPr>
              <w:ind w:left="920"/>
              <w:spacing w:after="0"/>
              <w:rPr>
                <w:sz w:val="20"/>
                <w:szCs w:val="20"/>
                <w:color w:val="auto"/>
              </w:rPr>
            </w:pPr>
            <w:r>
              <w:rPr>
                <w:rFonts w:ascii="Arial" w:cs="Arial" w:eastAsia="Arial" w:hAnsi="Arial"/>
                <w:sz w:val="18"/>
                <w:szCs w:val="18"/>
                <w:color w:val="auto"/>
              </w:rPr>
              <w:t>—   $</w:t>
            </w:r>
          </w:p>
        </w:tc>
        <w:tc>
          <w:tcPr>
            <w:tcW w:w="1440" w:type="dxa"/>
            <w:vAlign w:val="bottom"/>
            <w:gridSpan w:val="3"/>
            <w:shd w:val="clear" w:color="auto" w:fill="EAF9E8"/>
          </w:tcPr>
          <w:p>
            <w:pPr>
              <w:ind w:left="940"/>
              <w:spacing w:after="0"/>
              <w:rPr>
                <w:sz w:val="20"/>
                <w:szCs w:val="20"/>
                <w:color w:val="auto"/>
              </w:rPr>
            </w:pPr>
            <w:r>
              <w:rPr>
                <w:rFonts w:ascii="Arial" w:cs="Arial" w:eastAsia="Arial" w:hAnsi="Arial"/>
                <w:sz w:val="18"/>
                <w:szCs w:val="18"/>
                <w:color w:val="auto"/>
              </w:rPr>
              <w:t>—   $</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1,529</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For the year ended December 31, 2009</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5,668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20,425</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26,623</w:t>
            </w:r>
          </w:p>
        </w:tc>
      </w:tr>
      <w:tr>
        <w:trPr>
          <w:trHeight w:val="216"/>
        </w:trPr>
        <w:tc>
          <w:tcPr>
            <w:tcW w:w="20" w:type="dxa"/>
            <w:vAlign w:val="bottom"/>
          </w:tcPr>
          <w:p>
            <w:pPr>
              <w:spacing w:after="0"/>
              <w:rPr>
                <w:sz w:val="18"/>
                <w:szCs w:val="18"/>
                <w:color w:val="auto"/>
              </w:rPr>
            </w:pPr>
          </w:p>
        </w:tc>
        <w:tc>
          <w:tcPr>
            <w:tcW w:w="4100" w:type="dxa"/>
            <w:vAlign w:val="bottom"/>
            <w:shd w:val="clear" w:color="auto" w:fill="EAF9E8"/>
          </w:tcPr>
          <w:p>
            <w:pPr>
              <w:spacing w:after="0"/>
              <w:rPr>
                <w:sz w:val="20"/>
                <w:szCs w:val="20"/>
                <w:color w:val="auto"/>
              </w:rPr>
            </w:pPr>
            <w:r>
              <w:rPr>
                <w:rFonts w:ascii="Arial" w:cs="Arial" w:eastAsia="Arial" w:hAnsi="Arial"/>
                <w:sz w:val="18"/>
                <w:szCs w:val="18"/>
                <w:color w:val="auto"/>
              </w:rPr>
              <w:t>For the year ended December 31, 2008</w:t>
            </w:r>
          </w:p>
        </w:tc>
        <w:tc>
          <w:tcPr>
            <w:tcW w:w="18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7,148</w:t>
            </w: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913</w:t>
            </w: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ind w:left="92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33,720</w:t>
            </w: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41,808</w:t>
            </w:r>
          </w:p>
        </w:tc>
      </w:tr>
    </w:tbl>
    <w:p>
      <w:pPr>
        <w:spacing w:after="0" w:line="202" w:lineRule="exact"/>
        <w:rPr>
          <w:sz w:val="20"/>
          <w:szCs w:val="20"/>
          <w:color w:val="auto"/>
        </w:rPr>
      </w:pPr>
    </w:p>
    <w:p>
      <w:pPr>
        <w:ind w:left="580" w:right="200" w:hanging="572"/>
        <w:spacing w:after="0" w:line="312" w:lineRule="auto"/>
        <w:tabs>
          <w:tab w:leader="none" w:pos="5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Servicing has a contractual right to receive interest income on float balances. However, Corporate controls investment decisions associated with the float balances. Accordingly, Servicing receives revenues generated by those investments that are associated with float balances but are reported in Corporate Items and Other. Gains and losses associated with corporate investment decisions are recognized in Corporate Items and Other.</w:t>
      </w:r>
    </w:p>
    <w:p>
      <w:pPr>
        <w:spacing w:after="0" w:line="146" w:lineRule="exact"/>
        <w:rPr>
          <w:rFonts w:ascii="Arial" w:cs="Arial" w:eastAsia="Arial" w:hAnsi="Arial"/>
          <w:sz w:val="16"/>
          <w:szCs w:val="16"/>
          <w:color w:val="auto"/>
        </w:rPr>
      </w:pPr>
    </w:p>
    <w:p>
      <w:pPr>
        <w:ind w:left="580" w:hanging="572"/>
        <w:spacing w:after="0"/>
        <w:tabs>
          <w:tab w:leader="none" w:pos="5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Depreciation and amortization expense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Loans and</w:t>
            </w:r>
          </w:p>
        </w:tc>
        <w:tc>
          <w:tcPr>
            <w:tcW w:w="140" w:type="dxa"/>
            <w:vAlign w:val="bottom"/>
          </w:tcPr>
          <w:p>
            <w:pPr>
              <w:spacing w:after="0"/>
              <w:rPr>
                <w:sz w:val="14"/>
                <w:szCs w:val="14"/>
                <w:color w:val="auto"/>
              </w:rPr>
            </w:pPr>
          </w:p>
        </w:tc>
        <w:tc>
          <w:tcPr>
            <w:tcW w:w="11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Mortgage</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Financial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Technology</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Business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Servicing</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Items and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Residuals</w:t>
            </w:r>
          </w:p>
        </w:tc>
        <w:tc>
          <w:tcPr>
            <w:tcW w:w="140" w:type="dxa"/>
            <w:vAlign w:val="bottom"/>
          </w:tcPr>
          <w:p>
            <w:pPr>
              <w:spacing w:after="0"/>
              <w:rPr>
                <w:sz w:val="15"/>
                <w:szCs w:val="15"/>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Services</w:t>
            </w:r>
          </w:p>
        </w:tc>
        <w:tc>
          <w:tcPr>
            <w:tcW w:w="140" w:type="dxa"/>
            <w:vAlign w:val="bottom"/>
          </w:tcPr>
          <w:p>
            <w:pPr>
              <w:spacing w:after="0"/>
              <w:rPr>
                <w:sz w:val="15"/>
                <w:szCs w:val="15"/>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Products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00" w:type="dxa"/>
            <w:vAlign w:val="bottom"/>
            <w:shd w:val="clear" w:color="auto" w:fill="EAF9E8"/>
          </w:tcPr>
          <w:p>
            <w:pPr>
              <w:spacing w:after="0" w:line="126" w:lineRule="exact"/>
              <w:rPr>
                <w:sz w:val="20"/>
                <w:szCs w:val="20"/>
                <w:color w:val="auto"/>
              </w:rPr>
            </w:pPr>
            <w:r>
              <w:rPr>
                <w:rFonts w:ascii="Arial" w:cs="Arial" w:eastAsia="Arial" w:hAnsi="Arial"/>
                <w:sz w:val="14"/>
                <w:szCs w:val="14"/>
                <w:b w:val="1"/>
                <w:bCs w:val="1"/>
                <w:color w:val="auto"/>
              </w:rPr>
              <w:t>For the year ended</w:t>
            </w:r>
          </w:p>
        </w:tc>
        <w:tc>
          <w:tcPr>
            <w:tcW w:w="420" w:type="dxa"/>
            <w:vAlign w:val="bottom"/>
            <w:shd w:val="clear" w:color="auto" w:fill="EAF9E8"/>
          </w:tcPr>
          <w:p>
            <w:pPr>
              <w:spacing w:after="0"/>
              <w:rPr>
                <w:sz w:val="10"/>
                <w:szCs w:val="10"/>
                <w:color w:val="auto"/>
              </w:rPr>
            </w:pPr>
          </w:p>
        </w:tc>
        <w:tc>
          <w:tcPr>
            <w:tcW w:w="160" w:type="dxa"/>
            <w:vAlign w:val="bottom"/>
            <w:tcBorders>
              <w:top w:val="single" w:sz="8" w:color="auto"/>
            </w:tcBorders>
            <w:shd w:val="clear" w:color="auto" w:fill="EAF9E8"/>
          </w:tcPr>
          <w:p>
            <w:pPr>
              <w:spacing w:after="0"/>
              <w:rPr>
                <w:sz w:val="10"/>
                <w:szCs w:val="10"/>
                <w:color w:val="auto"/>
              </w:rPr>
            </w:pPr>
          </w:p>
        </w:tc>
        <w:tc>
          <w:tcPr>
            <w:tcW w:w="880" w:type="dxa"/>
            <w:vAlign w:val="bottom"/>
            <w:tcBorders>
              <w:top w:val="single" w:sz="8" w:color="auto"/>
            </w:tcBorders>
            <w:shd w:val="clear" w:color="auto" w:fill="EAF9E8"/>
          </w:tcPr>
          <w:p>
            <w:pPr>
              <w:spacing w:after="0"/>
              <w:rPr>
                <w:sz w:val="10"/>
                <w:szCs w:val="10"/>
                <w:color w:val="auto"/>
              </w:rPr>
            </w:pPr>
          </w:p>
        </w:tc>
        <w:tc>
          <w:tcPr>
            <w:tcW w:w="260" w:type="dxa"/>
            <w:vAlign w:val="bottom"/>
            <w:shd w:val="clear" w:color="auto" w:fill="EAF9E8"/>
          </w:tcPr>
          <w:p>
            <w:pPr>
              <w:spacing w:after="0"/>
              <w:rPr>
                <w:sz w:val="10"/>
                <w:szCs w:val="10"/>
                <w:color w:val="auto"/>
              </w:rPr>
            </w:pPr>
          </w:p>
        </w:tc>
        <w:tc>
          <w:tcPr>
            <w:tcW w:w="120" w:type="dxa"/>
            <w:vAlign w:val="bottom"/>
            <w:tcBorders>
              <w:top w:val="single" w:sz="8" w:color="auto"/>
            </w:tcBorders>
            <w:shd w:val="clear" w:color="auto" w:fill="EAF9E8"/>
          </w:tcPr>
          <w:p>
            <w:pPr>
              <w:spacing w:after="0"/>
              <w:rPr>
                <w:sz w:val="10"/>
                <w:szCs w:val="10"/>
                <w:color w:val="auto"/>
              </w:rPr>
            </w:pPr>
          </w:p>
        </w:tc>
        <w:tc>
          <w:tcPr>
            <w:tcW w:w="920" w:type="dxa"/>
            <w:vAlign w:val="bottom"/>
            <w:tcBorders>
              <w:top w:val="single" w:sz="8" w:color="auto"/>
            </w:tcBorders>
            <w:shd w:val="clear" w:color="auto" w:fill="EAF9E8"/>
          </w:tcPr>
          <w:p>
            <w:pPr>
              <w:spacing w:after="0"/>
              <w:rPr>
                <w:sz w:val="10"/>
                <w:szCs w:val="10"/>
                <w:color w:val="auto"/>
              </w:rPr>
            </w:pPr>
          </w:p>
        </w:tc>
        <w:tc>
          <w:tcPr>
            <w:tcW w:w="240" w:type="dxa"/>
            <w:vAlign w:val="bottom"/>
            <w:shd w:val="clear" w:color="auto" w:fill="EAF9E8"/>
          </w:tcPr>
          <w:p>
            <w:pPr>
              <w:spacing w:after="0"/>
              <w:rPr>
                <w:sz w:val="10"/>
                <w:szCs w:val="10"/>
                <w:color w:val="auto"/>
              </w:rPr>
            </w:pPr>
          </w:p>
        </w:tc>
        <w:tc>
          <w:tcPr>
            <w:tcW w:w="140" w:type="dxa"/>
            <w:vAlign w:val="bottom"/>
            <w:tcBorders>
              <w:top w:val="single" w:sz="8" w:color="auto"/>
            </w:tcBorders>
            <w:shd w:val="clear" w:color="auto" w:fill="EAF9E8"/>
          </w:tcPr>
          <w:p>
            <w:pPr>
              <w:spacing w:after="0"/>
              <w:rPr>
                <w:sz w:val="10"/>
                <w:szCs w:val="10"/>
                <w:color w:val="auto"/>
              </w:rPr>
            </w:pPr>
          </w:p>
        </w:tc>
        <w:tc>
          <w:tcPr>
            <w:tcW w:w="900" w:type="dxa"/>
            <w:vAlign w:val="bottom"/>
            <w:tcBorders>
              <w:top w:val="single" w:sz="8" w:color="auto"/>
            </w:tcBorders>
            <w:shd w:val="clear" w:color="auto" w:fill="EAF9E8"/>
          </w:tcPr>
          <w:p>
            <w:pPr>
              <w:spacing w:after="0"/>
              <w:rPr>
                <w:sz w:val="10"/>
                <w:szCs w:val="10"/>
                <w:color w:val="auto"/>
              </w:rPr>
            </w:pPr>
          </w:p>
        </w:tc>
        <w:tc>
          <w:tcPr>
            <w:tcW w:w="240" w:type="dxa"/>
            <w:vAlign w:val="bottom"/>
            <w:shd w:val="clear" w:color="auto" w:fill="EAF9E8"/>
          </w:tcPr>
          <w:p>
            <w:pPr>
              <w:spacing w:after="0"/>
              <w:rPr>
                <w:sz w:val="10"/>
                <w:szCs w:val="10"/>
                <w:color w:val="auto"/>
              </w:rPr>
            </w:pPr>
          </w:p>
        </w:tc>
        <w:tc>
          <w:tcPr>
            <w:tcW w:w="140" w:type="dxa"/>
            <w:vAlign w:val="bottom"/>
            <w:tcBorders>
              <w:top w:val="single" w:sz="8" w:color="auto"/>
            </w:tcBorders>
            <w:shd w:val="clear" w:color="auto" w:fill="EAF9E8"/>
          </w:tcPr>
          <w:p>
            <w:pPr>
              <w:spacing w:after="0"/>
              <w:rPr>
                <w:sz w:val="10"/>
                <w:szCs w:val="10"/>
                <w:color w:val="auto"/>
              </w:rPr>
            </w:pPr>
          </w:p>
        </w:tc>
        <w:tc>
          <w:tcPr>
            <w:tcW w:w="880" w:type="dxa"/>
            <w:vAlign w:val="bottom"/>
            <w:tcBorders>
              <w:top w:val="single" w:sz="8" w:color="auto"/>
            </w:tcBorders>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120" w:type="dxa"/>
            <w:vAlign w:val="bottom"/>
            <w:tcBorders>
              <w:top w:val="single" w:sz="8" w:color="auto"/>
            </w:tcBorders>
            <w:shd w:val="clear" w:color="auto" w:fill="EAF9E8"/>
          </w:tcPr>
          <w:p>
            <w:pPr>
              <w:spacing w:after="0"/>
              <w:rPr>
                <w:sz w:val="10"/>
                <w:szCs w:val="10"/>
                <w:color w:val="auto"/>
              </w:rPr>
            </w:pPr>
          </w:p>
        </w:tc>
        <w:tc>
          <w:tcPr>
            <w:tcW w:w="900" w:type="dxa"/>
            <w:vAlign w:val="bottom"/>
            <w:tcBorders>
              <w:top w:val="single" w:sz="8" w:color="auto"/>
            </w:tcBorders>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120" w:type="dxa"/>
            <w:vAlign w:val="bottom"/>
            <w:tcBorders>
              <w:top w:val="single" w:sz="8" w:color="auto"/>
            </w:tcBorders>
            <w:shd w:val="clear" w:color="auto" w:fill="EAF9E8"/>
          </w:tcPr>
          <w:p>
            <w:pPr>
              <w:spacing w:after="0"/>
              <w:rPr>
                <w:sz w:val="10"/>
                <w:szCs w:val="10"/>
                <w:color w:val="auto"/>
              </w:rPr>
            </w:pPr>
          </w:p>
        </w:tc>
        <w:tc>
          <w:tcPr>
            <w:tcW w:w="880" w:type="dxa"/>
            <w:vAlign w:val="bottom"/>
            <w:tcBorders>
              <w:top w:val="single" w:sz="8" w:color="auto"/>
            </w:tcBorders>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80" w:type="dxa"/>
            <w:vAlign w:val="bottom"/>
            <w:tcBorders>
              <w:top w:val="single" w:sz="8" w:color="auto"/>
            </w:tcBorders>
            <w:shd w:val="clear" w:color="auto" w:fill="EAF9E8"/>
          </w:tcPr>
          <w:p>
            <w:pPr>
              <w:spacing w:after="0"/>
              <w:rPr>
                <w:sz w:val="10"/>
                <w:szCs w:val="10"/>
                <w:color w:val="auto"/>
              </w:rPr>
            </w:pPr>
          </w:p>
        </w:tc>
        <w:tc>
          <w:tcPr>
            <w:tcW w:w="940" w:type="dxa"/>
            <w:vAlign w:val="bottom"/>
            <w:tcBorders>
              <w:top w:val="single" w:sz="8" w:color="auto"/>
            </w:tcBorders>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00" w:type="dxa"/>
            <w:vAlign w:val="bottom"/>
            <w:shd w:val="clear" w:color="auto" w:fill="EAF9E8"/>
          </w:tcPr>
          <w:p>
            <w:pPr>
              <w:ind w:left="160"/>
              <w:spacing w:after="0"/>
              <w:rPr>
                <w:sz w:val="20"/>
                <w:szCs w:val="20"/>
                <w:color w:val="auto"/>
              </w:rPr>
            </w:pPr>
            <w:r>
              <w:rPr>
                <w:rFonts w:ascii="Arial" w:cs="Arial" w:eastAsia="Arial" w:hAnsi="Arial"/>
                <w:sz w:val="14"/>
                <w:szCs w:val="14"/>
                <w:b w:val="1"/>
                <w:bCs w:val="1"/>
                <w:color w:val="auto"/>
              </w:rPr>
              <w:t>December 31, 2010:</w:t>
            </w:r>
          </w:p>
        </w:tc>
        <w:tc>
          <w:tcPr>
            <w:tcW w:w="420" w:type="dxa"/>
            <w:vAlign w:val="bottom"/>
            <w:shd w:val="clear" w:color="auto" w:fill="EAF9E8"/>
          </w:tcPr>
          <w:p>
            <w:pPr>
              <w:spacing w:after="0"/>
              <w:rPr>
                <w:sz w:val="14"/>
                <w:szCs w:val="14"/>
                <w:color w:val="auto"/>
              </w:rPr>
            </w:pPr>
          </w:p>
        </w:tc>
        <w:tc>
          <w:tcPr>
            <w:tcW w:w="160" w:type="dxa"/>
            <w:vAlign w:val="bottom"/>
            <w:shd w:val="clear" w:color="auto" w:fill="EAF9E8"/>
          </w:tcPr>
          <w:p>
            <w:pPr>
              <w:spacing w:after="0"/>
              <w:rPr>
                <w:sz w:val="14"/>
                <w:szCs w:val="14"/>
                <w:color w:val="auto"/>
              </w:rPr>
            </w:pPr>
          </w:p>
        </w:tc>
        <w:tc>
          <w:tcPr>
            <w:tcW w:w="880" w:type="dxa"/>
            <w:vAlign w:val="bottom"/>
            <w:shd w:val="clear" w:color="auto" w:fill="EAF9E8"/>
          </w:tcPr>
          <w:p>
            <w:pPr>
              <w:spacing w:after="0"/>
              <w:rPr>
                <w:sz w:val="14"/>
                <w:szCs w:val="14"/>
                <w:color w:val="auto"/>
              </w:rPr>
            </w:pPr>
          </w:p>
        </w:tc>
        <w:tc>
          <w:tcPr>
            <w:tcW w:w="2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920" w:type="dxa"/>
            <w:vAlign w:val="bottom"/>
            <w:shd w:val="clear" w:color="auto" w:fill="EAF9E8"/>
          </w:tcPr>
          <w:p>
            <w:pPr>
              <w:spacing w:after="0"/>
              <w:rPr>
                <w:sz w:val="14"/>
                <w:szCs w:val="14"/>
                <w:color w:val="auto"/>
              </w:rPr>
            </w:pPr>
          </w:p>
        </w:tc>
        <w:tc>
          <w:tcPr>
            <w:tcW w:w="24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900" w:type="dxa"/>
            <w:vAlign w:val="bottom"/>
            <w:shd w:val="clear" w:color="auto" w:fill="EAF9E8"/>
          </w:tcPr>
          <w:p>
            <w:pPr>
              <w:spacing w:after="0"/>
              <w:rPr>
                <w:sz w:val="14"/>
                <w:szCs w:val="14"/>
                <w:color w:val="auto"/>
              </w:rPr>
            </w:pPr>
          </w:p>
        </w:tc>
        <w:tc>
          <w:tcPr>
            <w:tcW w:w="24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88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9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88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80" w:type="dxa"/>
            <w:vAlign w:val="bottom"/>
            <w:shd w:val="clear" w:color="auto" w:fill="EAF9E8"/>
          </w:tcPr>
          <w:p>
            <w:pPr>
              <w:spacing w:after="0"/>
              <w:rPr>
                <w:sz w:val="14"/>
                <w:szCs w:val="14"/>
                <w:color w:val="auto"/>
              </w:rPr>
            </w:pPr>
          </w:p>
        </w:tc>
        <w:tc>
          <w:tcPr>
            <w:tcW w:w="94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ind w:left="160"/>
              <w:spacing w:after="0" w:line="149" w:lineRule="exact"/>
              <w:rPr>
                <w:sz w:val="20"/>
                <w:szCs w:val="20"/>
                <w:color w:val="auto"/>
              </w:rPr>
            </w:pPr>
            <w:r>
              <w:rPr>
                <w:rFonts w:ascii="Arial" w:cs="Arial" w:eastAsia="Arial" w:hAnsi="Arial"/>
                <w:sz w:val="14"/>
                <w:szCs w:val="14"/>
                <w:color w:val="auto"/>
              </w:rPr>
              <w:t>Depreciation expense</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5,916</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ind w:left="7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1,596</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EAF9E8"/>
          </w:tcPr>
          <w:p>
            <w:pPr>
              <w:ind w:left="160"/>
              <w:spacing w:after="0" w:line="149" w:lineRule="exact"/>
              <w:rPr>
                <w:sz w:val="20"/>
                <w:szCs w:val="20"/>
                <w:color w:val="auto"/>
              </w:rPr>
            </w:pPr>
            <w:r>
              <w:rPr>
                <w:rFonts w:ascii="Arial" w:cs="Arial" w:eastAsia="Arial" w:hAnsi="Arial"/>
                <w:sz w:val="14"/>
                <w:szCs w:val="14"/>
                <w:color w:val="auto"/>
              </w:rPr>
              <w:t>Amortization of MSRs</w:t>
            </w:r>
          </w:p>
        </w:tc>
        <w:tc>
          <w:tcPr>
            <w:tcW w:w="42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140" w:type="dxa"/>
            <w:vAlign w:val="bottom"/>
            <w:gridSpan w:val="2"/>
            <w:shd w:val="clear" w:color="auto" w:fill="EAF9E8"/>
          </w:tcPr>
          <w:p>
            <w:pPr>
              <w:jc w:val="right"/>
              <w:ind w:right="260"/>
              <w:spacing w:after="0" w:line="149" w:lineRule="exact"/>
              <w:rPr>
                <w:sz w:val="20"/>
                <w:szCs w:val="20"/>
                <w:color w:val="auto"/>
              </w:rPr>
            </w:pPr>
            <w:r>
              <w:rPr>
                <w:rFonts w:ascii="Arial" w:cs="Arial" w:eastAsia="Arial" w:hAnsi="Arial"/>
                <w:sz w:val="14"/>
                <w:szCs w:val="14"/>
                <w:color w:val="auto"/>
              </w:rPr>
              <w:t>31,455</w:t>
            </w:r>
          </w:p>
        </w:tc>
        <w:tc>
          <w:tcPr>
            <w:tcW w:w="120" w:type="dxa"/>
            <w:vAlign w:val="bottom"/>
            <w:shd w:val="clear" w:color="auto" w:fill="EAF9E8"/>
          </w:tcPr>
          <w:p>
            <w:pPr>
              <w:spacing w:after="0"/>
              <w:rPr>
                <w:sz w:val="12"/>
                <w:szCs w:val="12"/>
                <w:color w:val="auto"/>
              </w:rPr>
            </w:pPr>
          </w:p>
        </w:tc>
        <w:tc>
          <w:tcPr>
            <w:tcW w:w="1160" w:type="dxa"/>
            <w:vAlign w:val="bottom"/>
            <w:gridSpan w:val="2"/>
            <w:shd w:val="clear" w:color="auto" w:fill="EAF9E8"/>
          </w:tcPr>
          <w:p>
            <w:pPr>
              <w:ind w:left="7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14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31,455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ind w:left="160"/>
              <w:spacing w:after="0" w:line="149" w:lineRule="exact"/>
              <w:rPr>
                <w:sz w:val="20"/>
                <w:szCs w:val="20"/>
                <w:color w:val="auto"/>
              </w:rPr>
            </w:pPr>
            <w:r>
              <w:rPr>
                <w:rFonts w:ascii="Arial" w:cs="Arial" w:eastAsia="Arial" w:hAnsi="Arial"/>
                <w:sz w:val="14"/>
                <w:szCs w:val="14"/>
                <w:color w:val="auto"/>
              </w:rPr>
              <w:t>Amortization of debt discount</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5,217</w:t>
            </w:r>
          </w:p>
        </w:tc>
        <w:tc>
          <w:tcPr>
            <w:tcW w:w="120" w:type="dxa"/>
            <w:vAlign w:val="bottom"/>
          </w:tcPr>
          <w:p>
            <w:pPr>
              <w:spacing w:after="0"/>
              <w:rPr>
                <w:sz w:val="12"/>
                <w:szCs w:val="12"/>
                <w:color w:val="auto"/>
              </w:rPr>
            </w:pPr>
          </w:p>
        </w:tc>
        <w:tc>
          <w:tcPr>
            <w:tcW w:w="1160" w:type="dxa"/>
            <w:vAlign w:val="bottom"/>
            <w:gridSpan w:val="2"/>
          </w:tcPr>
          <w:p>
            <w:pPr>
              <w:ind w:left="7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5,389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0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88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92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9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300" w:type="dxa"/>
            <w:vAlign w:val="bottom"/>
          </w:tcPr>
          <w:p>
            <w:pPr>
              <w:spacing w:after="0" w:line="126" w:lineRule="exact"/>
              <w:rPr>
                <w:sz w:val="20"/>
                <w:szCs w:val="20"/>
                <w:color w:val="auto"/>
              </w:rPr>
            </w:pPr>
            <w:r>
              <w:rPr>
                <w:rFonts w:ascii="Arial" w:cs="Arial" w:eastAsia="Arial" w:hAnsi="Arial"/>
                <w:sz w:val="14"/>
                <w:szCs w:val="14"/>
                <w:b w:val="1"/>
                <w:bCs w:val="1"/>
                <w:color w:val="auto"/>
              </w:rPr>
              <w:t>For the year ended</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00" w:type="dxa"/>
            <w:vAlign w:val="bottom"/>
          </w:tcPr>
          <w:p>
            <w:pPr>
              <w:ind w:left="160"/>
              <w:spacing w:after="0"/>
              <w:rPr>
                <w:sz w:val="20"/>
                <w:szCs w:val="20"/>
                <w:color w:val="auto"/>
              </w:rPr>
            </w:pPr>
            <w:r>
              <w:rPr>
                <w:rFonts w:ascii="Arial" w:cs="Arial" w:eastAsia="Arial" w:hAnsi="Arial"/>
                <w:sz w:val="14"/>
                <w:szCs w:val="14"/>
                <w:b w:val="1"/>
                <w:bCs w:val="1"/>
                <w:color w:val="auto"/>
              </w:rPr>
              <w:t>December 31, 2009:</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EAF9E8"/>
          </w:tcPr>
          <w:p>
            <w:pPr>
              <w:ind w:left="160"/>
              <w:spacing w:after="0" w:line="149" w:lineRule="exact"/>
              <w:rPr>
                <w:sz w:val="20"/>
                <w:szCs w:val="20"/>
                <w:color w:val="auto"/>
              </w:rPr>
            </w:pPr>
            <w:r>
              <w:rPr>
                <w:rFonts w:ascii="Arial" w:cs="Arial" w:eastAsia="Arial" w:hAnsi="Arial"/>
                <w:sz w:val="14"/>
                <w:szCs w:val="14"/>
                <w:color w:val="auto"/>
              </w:rPr>
              <w:t>Depreciation expense</w:t>
            </w:r>
          </w:p>
        </w:tc>
        <w:tc>
          <w:tcPr>
            <w:tcW w:w="58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EAF9E8"/>
          </w:tcPr>
          <w:p>
            <w:pPr>
              <w:jc w:val="right"/>
              <w:ind w:right="260"/>
              <w:spacing w:after="0" w:line="149" w:lineRule="exact"/>
              <w:rPr>
                <w:sz w:val="20"/>
                <w:szCs w:val="20"/>
                <w:color w:val="auto"/>
              </w:rPr>
            </w:pPr>
            <w:r>
              <w:rPr>
                <w:rFonts w:ascii="Arial" w:cs="Arial" w:eastAsia="Arial" w:hAnsi="Arial"/>
                <w:sz w:val="14"/>
                <w:szCs w:val="14"/>
                <w:color w:val="auto"/>
              </w:rPr>
              <w:t>54</w:t>
            </w:r>
          </w:p>
        </w:tc>
        <w:tc>
          <w:tcPr>
            <w:tcW w:w="120" w:type="dxa"/>
            <w:vAlign w:val="bottom"/>
            <w:shd w:val="clear" w:color="auto" w:fill="EAF9E8"/>
          </w:tcPr>
          <w:p>
            <w:pPr>
              <w:jc w:val="right"/>
              <w:ind w:right="9"/>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EAF9E8"/>
          </w:tcPr>
          <w:p>
            <w:pPr>
              <w:ind w:left="7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19</w:t>
            </w:r>
          </w:p>
        </w:tc>
        <w:tc>
          <w:tcPr>
            <w:tcW w:w="1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283</w:t>
            </w:r>
          </w:p>
        </w:tc>
        <w:tc>
          <w:tcPr>
            <w:tcW w:w="220" w:type="dxa"/>
            <w:vAlign w:val="bottom"/>
            <w:gridSpan w:val="2"/>
            <w:shd w:val="clear" w:color="auto" w:fill="EAF9E8"/>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3,204</w:t>
            </w:r>
          </w:p>
        </w:tc>
        <w:tc>
          <w:tcPr>
            <w:tcW w:w="240" w:type="dxa"/>
            <w:vAlign w:val="bottom"/>
            <w:gridSpan w:val="2"/>
            <w:shd w:val="clear" w:color="auto" w:fill="EAF9E8"/>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1,182</w:t>
            </w:r>
          </w:p>
        </w:tc>
        <w:tc>
          <w:tcPr>
            <w:tcW w:w="18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4,742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ind w:left="160"/>
              <w:spacing w:after="0" w:line="149" w:lineRule="exact"/>
              <w:rPr>
                <w:sz w:val="20"/>
                <w:szCs w:val="20"/>
                <w:color w:val="auto"/>
              </w:rPr>
            </w:pPr>
            <w:r>
              <w:rPr>
                <w:rFonts w:ascii="Arial" w:cs="Arial" w:eastAsia="Arial" w:hAnsi="Arial"/>
                <w:sz w:val="14"/>
                <w:szCs w:val="14"/>
                <w:color w:val="auto"/>
              </w:rPr>
              <w:t>Amortization of MSRs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32,228</w:t>
            </w:r>
          </w:p>
        </w:tc>
        <w:tc>
          <w:tcPr>
            <w:tcW w:w="120" w:type="dxa"/>
            <w:vAlign w:val="bottom"/>
          </w:tcPr>
          <w:p>
            <w:pPr>
              <w:spacing w:after="0"/>
              <w:rPr>
                <w:sz w:val="12"/>
                <w:szCs w:val="12"/>
                <w:color w:val="auto"/>
              </w:rPr>
            </w:pPr>
          </w:p>
        </w:tc>
        <w:tc>
          <w:tcPr>
            <w:tcW w:w="1160" w:type="dxa"/>
            <w:vAlign w:val="bottom"/>
            <w:gridSpan w:val="2"/>
          </w:tcPr>
          <w:p>
            <w:pPr>
              <w:ind w:left="7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32,228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EAF9E8"/>
          </w:tcPr>
          <w:p>
            <w:pPr>
              <w:ind w:left="160"/>
              <w:spacing w:after="0" w:line="149" w:lineRule="exact"/>
              <w:rPr>
                <w:sz w:val="20"/>
                <w:szCs w:val="20"/>
                <w:color w:val="auto"/>
              </w:rPr>
            </w:pPr>
            <w:r>
              <w:rPr>
                <w:rFonts w:ascii="Arial" w:cs="Arial" w:eastAsia="Arial" w:hAnsi="Arial"/>
                <w:sz w:val="14"/>
                <w:szCs w:val="14"/>
                <w:color w:val="auto"/>
              </w:rPr>
              <w:t>Amortization of intangibles</w:t>
            </w:r>
          </w:p>
        </w:tc>
        <w:tc>
          <w:tcPr>
            <w:tcW w:w="42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140" w:type="dxa"/>
            <w:vAlign w:val="bottom"/>
            <w:gridSpan w:val="2"/>
            <w:shd w:val="clear" w:color="auto" w:fill="EAF9E8"/>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2"/>
                <w:szCs w:val="12"/>
                <w:color w:val="auto"/>
              </w:rPr>
            </w:pPr>
          </w:p>
        </w:tc>
        <w:tc>
          <w:tcPr>
            <w:tcW w:w="1160" w:type="dxa"/>
            <w:vAlign w:val="bottom"/>
            <w:gridSpan w:val="2"/>
            <w:shd w:val="clear" w:color="auto" w:fill="EAF9E8"/>
          </w:tcPr>
          <w:p>
            <w:pPr>
              <w:ind w:left="7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14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1,624</w:t>
            </w: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1,624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ind w:left="160"/>
              <w:spacing w:after="0" w:line="149" w:lineRule="exact"/>
              <w:rPr>
                <w:sz w:val="20"/>
                <w:szCs w:val="20"/>
                <w:color w:val="auto"/>
              </w:rPr>
            </w:pPr>
            <w:r>
              <w:rPr>
                <w:rFonts w:ascii="Arial" w:cs="Arial" w:eastAsia="Arial" w:hAnsi="Arial"/>
                <w:sz w:val="14"/>
                <w:szCs w:val="14"/>
                <w:color w:val="auto"/>
              </w:rPr>
              <w:t>Amortization of debt discount</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3,437</w:t>
            </w:r>
          </w:p>
        </w:tc>
        <w:tc>
          <w:tcPr>
            <w:tcW w:w="120" w:type="dxa"/>
            <w:vAlign w:val="bottom"/>
          </w:tcPr>
          <w:p>
            <w:pPr>
              <w:spacing w:after="0"/>
              <w:rPr>
                <w:sz w:val="12"/>
                <w:szCs w:val="12"/>
                <w:color w:val="auto"/>
              </w:rPr>
            </w:pPr>
          </w:p>
        </w:tc>
        <w:tc>
          <w:tcPr>
            <w:tcW w:w="1160" w:type="dxa"/>
            <w:vAlign w:val="bottom"/>
            <w:gridSpan w:val="2"/>
          </w:tcPr>
          <w:p>
            <w:pPr>
              <w:ind w:left="7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1,735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5,172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0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88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92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9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300" w:type="dxa"/>
            <w:vAlign w:val="bottom"/>
          </w:tcPr>
          <w:p>
            <w:pPr>
              <w:spacing w:after="0" w:line="126" w:lineRule="exact"/>
              <w:rPr>
                <w:sz w:val="20"/>
                <w:szCs w:val="20"/>
                <w:color w:val="auto"/>
              </w:rPr>
            </w:pPr>
            <w:r>
              <w:rPr>
                <w:rFonts w:ascii="Arial" w:cs="Arial" w:eastAsia="Arial" w:hAnsi="Arial"/>
                <w:sz w:val="14"/>
                <w:szCs w:val="14"/>
                <w:b w:val="1"/>
                <w:bCs w:val="1"/>
                <w:color w:val="auto"/>
              </w:rPr>
              <w:t>For the year ended</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00" w:type="dxa"/>
            <w:vAlign w:val="bottom"/>
          </w:tcPr>
          <w:p>
            <w:pPr>
              <w:ind w:left="160"/>
              <w:spacing w:after="0"/>
              <w:rPr>
                <w:sz w:val="20"/>
                <w:szCs w:val="20"/>
                <w:color w:val="auto"/>
              </w:rPr>
            </w:pPr>
            <w:r>
              <w:rPr>
                <w:rFonts w:ascii="Arial" w:cs="Arial" w:eastAsia="Arial" w:hAnsi="Arial"/>
                <w:sz w:val="14"/>
                <w:szCs w:val="14"/>
                <w:b w:val="1"/>
                <w:bCs w:val="1"/>
                <w:color w:val="auto"/>
              </w:rPr>
              <w:t>December 31, 2008:</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EAF9E8"/>
          </w:tcPr>
          <w:p>
            <w:pPr>
              <w:ind w:left="160"/>
              <w:spacing w:after="0" w:line="149" w:lineRule="exact"/>
              <w:rPr>
                <w:sz w:val="20"/>
                <w:szCs w:val="20"/>
                <w:color w:val="auto"/>
              </w:rPr>
            </w:pPr>
            <w:r>
              <w:rPr>
                <w:rFonts w:ascii="Arial" w:cs="Arial" w:eastAsia="Arial" w:hAnsi="Arial"/>
                <w:sz w:val="14"/>
                <w:szCs w:val="14"/>
                <w:color w:val="auto"/>
              </w:rPr>
              <w:t>Depreciation expense</w:t>
            </w:r>
          </w:p>
        </w:tc>
        <w:tc>
          <w:tcPr>
            <w:tcW w:w="58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EAF9E8"/>
          </w:tcPr>
          <w:p>
            <w:pPr>
              <w:jc w:val="right"/>
              <w:ind w:right="260"/>
              <w:spacing w:after="0" w:line="149" w:lineRule="exact"/>
              <w:rPr>
                <w:sz w:val="20"/>
                <w:szCs w:val="20"/>
                <w:color w:val="auto"/>
              </w:rPr>
            </w:pPr>
            <w:r>
              <w:rPr>
                <w:rFonts w:ascii="Arial" w:cs="Arial" w:eastAsia="Arial" w:hAnsi="Arial"/>
                <w:sz w:val="14"/>
                <w:szCs w:val="14"/>
                <w:color w:val="auto"/>
              </w:rPr>
              <w:t>54</w:t>
            </w:r>
          </w:p>
        </w:tc>
        <w:tc>
          <w:tcPr>
            <w:tcW w:w="120" w:type="dxa"/>
            <w:vAlign w:val="bottom"/>
            <w:shd w:val="clear" w:color="auto" w:fill="EAF9E8"/>
          </w:tcPr>
          <w:p>
            <w:pPr>
              <w:jc w:val="right"/>
              <w:ind w:right="9"/>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EAF9E8"/>
          </w:tcPr>
          <w:p>
            <w:pPr>
              <w:ind w:left="760"/>
              <w:spacing w:after="0" w:line="149" w:lineRule="exact"/>
              <w:rPr>
                <w:sz w:val="20"/>
                <w:szCs w:val="20"/>
                <w:color w:val="auto"/>
              </w:rPr>
            </w:pPr>
            <w:r>
              <w:rPr>
                <w:rFonts w:ascii="Arial" w:cs="Arial" w:eastAsia="Arial" w:hAnsi="Arial"/>
                <w:sz w:val="14"/>
                <w:szCs w:val="14"/>
                <w:color w:val="auto"/>
              </w:rPr>
              <w:t>10</w:t>
            </w:r>
          </w:p>
        </w:tc>
        <w:tc>
          <w:tcPr>
            <w:tcW w:w="140" w:type="dxa"/>
            <w:vAlign w:val="bottom"/>
            <w:shd w:val="clear" w:color="auto" w:fill="EAF9E8"/>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70</w:t>
            </w:r>
          </w:p>
        </w:tc>
        <w:tc>
          <w:tcPr>
            <w:tcW w:w="1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415</w:t>
            </w:r>
          </w:p>
        </w:tc>
        <w:tc>
          <w:tcPr>
            <w:tcW w:w="220" w:type="dxa"/>
            <w:vAlign w:val="bottom"/>
            <w:gridSpan w:val="2"/>
            <w:shd w:val="clear" w:color="auto" w:fill="EAF9E8"/>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7,443</w:t>
            </w:r>
          </w:p>
        </w:tc>
        <w:tc>
          <w:tcPr>
            <w:tcW w:w="240" w:type="dxa"/>
            <w:vAlign w:val="bottom"/>
            <w:gridSpan w:val="2"/>
            <w:shd w:val="clear" w:color="auto" w:fill="EAF9E8"/>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1,725</w:t>
            </w:r>
          </w:p>
        </w:tc>
        <w:tc>
          <w:tcPr>
            <w:tcW w:w="18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9,717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ind w:left="160"/>
              <w:spacing w:after="0" w:line="149" w:lineRule="exact"/>
              <w:rPr>
                <w:sz w:val="20"/>
                <w:szCs w:val="20"/>
                <w:color w:val="auto"/>
              </w:rPr>
            </w:pPr>
            <w:r>
              <w:rPr>
                <w:rFonts w:ascii="Arial" w:cs="Arial" w:eastAsia="Arial" w:hAnsi="Arial"/>
                <w:sz w:val="14"/>
                <w:szCs w:val="14"/>
                <w:color w:val="auto"/>
              </w:rPr>
              <w:t>Amortization of MSRs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52,187</w:t>
            </w:r>
          </w:p>
        </w:tc>
        <w:tc>
          <w:tcPr>
            <w:tcW w:w="120" w:type="dxa"/>
            <w:vAlign w:val="bottom"/>
          </w:tcPr>
          <w:p>
            <w:pPr>
              <w:spacing w:after="0"/>
              <w:rPr>
                <w:sz w:val="12"/>
                <w:szCs w:val="12"/>
                <w:color w:val="auto"/>
              </w:rPr>
            </w:pPr>
          </w:p>
        </w:tc>
        <w:tc>
          <w:tcPr>
            <w:tcW w:w="1160" w:type="dxa"/>
            <w:vAlign w:val="bottom"/>
            <w:gridSpan w:val="2"/>
          </w:tcPr>
          <w:p>
            <w:pPr>
              <w:ind w:left="7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274</w:t>
            </w:r>
          </w:p>
        </w:tc>
        <w:tc>
          <w:tcPr>
            <w:tcW w:w="14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52,461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EAF9E8"/>
          </w:tcPr>
          <w:p>
            <w:pPr>
              <w:ind w:left="160"/>
              <w:spacing w:after="0" w:line="149" w:lineRule="exact"/>
              <w:rPr>
                <w:sz w:val="20"/>
                <w:szCs w:val="20"/>
                <w:color w:val="auto"/>
              </w:rPr>
            </w:pPr>
            <w:r>
              <w:rPr>
                <w:rFonts w:ascii="Arial" w:cs="Arial" w:eastAsia="Arial" w:hAnsi="Arial"/>
                <w:sz w:val="14"/>
                <w:szCs w:val="14"/>
                <w:color w:val="auto"/>
              </w:rPr>
              <w:t>Amortization of intangibles</w:t>
            </w:r>
          </w:p>
        </w:tc>
        <w:tc>
          <w:tcPr>
            <w:tcW w:w="42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140" w:type="dxa"/>
            <w:vAlign w:val="bottom"/>
            <w:gridSpan w:val="2"/>
            <w:shd w:val="clear" w:color="auto" w:fill="EAF9E8"/>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2"/>
                <w:szCs w:val="12"/>
                <w:color w:val="auto"/>
              </w:rPr>
            </w:pPr>
          </w:p>
        </w:tc>
        <w:tc>
          <w:tcPr>
            <w:tcW w:w="1160" w:type="dxa"/>
            <w:vAlign w:val="bottom"/>
            <w:gridSpan w:val="2"/>
            <w:shd w:val="clear" w:color="auto" w:fill="EAF9E8"/>
          </w:tcPr>
          <w:p>
            <w:pPr>
              <w:ind w:left="7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14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2,554</w:t>
            </w: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2,554</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300" w:type="dxa"/>
            <w:vAlign w:val="bottom"/>
          </w:tcPr>
          <w:p>
            <w:pPr>
              <w:ind w:left="160"/>
              <w:spacing w:after="0"/>
              <w:rPr>
                <w:sz w:val="20"/>
                <w:szCs w:val="20"/>
                <w:color w:val="auto"/>
              </w:rPr>
            </w:pPr>
            <w:r>
              <w:rPr>
                <w:rFonts w:ascii="Arial" w:cs="Arial" w:eastAsia="Arial" w:hAnsi="Arial"/>
                <w:sz w:val="14"/>
                <w:szCs w:val="14"/>
                <w:color w:val="auto"/>
              </w:rPr>
              <w:t>Amortization of debt discount</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1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3,886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3,886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80" w:right="220" w:hanging="572"/>
        <w:spacing w:after="0" w:line="277" w:lineRule="auto"/>
        <w:tabs>
          <w:tab w:leader="none" w:pos="5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Operating expenses for 2010 include non-recurring transaction related expenses associated with the HomEq Acquisition of $52,603 recorded in the Servicing segment.</w:t>
      </w:r>
    </w:p>
    <w:p>
      <w:pPr>
        <w:spacing w:after="0" w:line="170" w:lineRule="exact"/>
        <w:rPr>
          <w:rFonts w:ascii="Arial" w:cs="Arial" w:eastAsia="Arial" w:hAnsi="Arial"/>
          <w:sz w:val="18"/>
          <w:szCs w:val="18"/>
          <w:color w:val="auto"/>
        </w:rPr>
      </w:pPr>
    </w:p>
    <w:p>
      <w:pPr>
        <w:jc w:val="both"/>
        <w:ind w:left="580" w:right="80" w:hanging="572"/>
        <w:spacing w:after="0" w:line="259" w:lineRule="auto"/>
        <w:tabs>
          <w:tab w:leader="none" w:pos="5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During the fourth quarter of 2010, we agreed to the sale of three affordable housing projects in which we had retained an interest as a general partner. Since the carrying value of our investment in these projects was zero, the distribution of the proceeds from the sale resulted in our recognizing a gain of $6,036. In addition, during the third quarter of 2010, we recognized a gain of $1,000 as the result of receiving a legal settlement related to another affordable housing project that we had sold in 2005.</w:t>
      </w:r>
    </w:p>
    <w:p>
      <w:pPr>
        <w:spacing w:after="0" w:line="186" w:lineRule="exact"/>
        <w:rPr>
          <w:rFonts w:ascii="Arial" w:cs="Arial" w:eastAsia="Arial" w:hAnsi="Arial"/>
          <w:sz w:val="18"/>
          <w:szCs w:val="18"/>
          <w:color w:val="auto"/>
        </w:rPr>
      </w:pPr>
    </w:p>
    <w:p>
      <w:pPr>
        <w:ind w:left="580" w:right="200" w:hanging="572"/>
        <w:spacing w:after="0" w:line="277" w:lineRule="auto"/>
        <w:tabs>
          <w:tab w:leader="none" w:pos="5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Other income (expense) for 2010, 2009 and 2008 includes gains (losses) on auction rate securities of $(7,909), $11,863 and $(29,612), respectively, recorded in Corporate Items and Other.</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10" w:name="page111"/>
    <w:bookmarkEnd w:id="110"/>
    <w:p>
      <w:pPr>
        <w:ind w:left="580" w:hanging="572"/>
        <w:spacing w:after="0"/>
        <w:tabs>
          <w:tab w:leader="none" w:pos="5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Operating expenses for 2009 include advisory expenses related to the Separation transaction of $3,477 recorded in Corporate Items and Other.</w:t>
      </w:r>
    </w:p>
    <w:p>
      <w:pPr>
        <w:spacing w:after="0" w:line="236" w:lineRule="exact"/>
        <w:rPr>
          <w:rFonts w:ascii="Arial" w:cs="Arial" w:eastAsia="Arial" w:hAnsi="Arial"/>
          <w:sz w:val="17"/>
          <w:szCs w:val="17"/>
          <w:color w:val="auto"/>
        </w:rPr>
      </w:pPr>
    </w:p>
    <w:p>
      <w:pPr>
        <w:ind w:left="580" w:right="340" w:hanging="572"/>
        <w:spacing w:after="0" w:line="277" w:lineRule="auto"/>
        <w:tabs>
          <w:tab w:leader="none" w:pos="5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Operating expenses for 2008 include $9,532 of due diligence and other costs recorded in Corporate Items and Other related to the “going private” proposal terminated in March 2008 by mutual agreement of the parties.</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30</w:t>
      </w:r>
      <w:r>
        <w:rPr>
          <w:sz w:val="20"/>
          <w:szCs w:val="20"/>
          <w:color w:val="auto"/>
        </w:rPr>
        <w:tab/>
      </w:r>
      <w:r>
        <w:rPr>
          <w:rFonts w:ascii="Arial" w:cs="Arial" w:eastAsia="Arial" w:hAnsi="Arial"/>
          <w:sz w:val="17"/>
          <w:szCs w:val="17"/>
          <w:b w:val="1"/>
          <w:bCs w:val="1"/>
          <w:color w:val="auto"/>
        </w:rPr>
        <w:t>RELATED PARTY TRANSACTIONS</w:t>
      </w:r>
    </w:p>
    <w:p>
      <w:pPr>
        <w:spacing w:after="0" w:line="229" w:lineRule="exact"/>
        <w:rPr>
          <w:sz w:val="20"/>
          <w:szCs w:val="20"/>
          <w:color w:val="auto"/>
        </w:rPr>
      </w:pPr>
    </w:p>
    <w:p>
      <w:pPr>
        <w:jc w:val="both"/>
        <w:ind w:right="60" w:firstLine="656"/>
        <w:spacing w:after="0" w:line="264" w:lineRule="auto"/>
        <w:rPr>
          <w:sz w:val="20"/>
          <w:szCs w:val="20"/>
          <w:color w:val="auto"/>
        </w:rPr>
      </w:pPr>
      <w:r>
        <w:rPr>
          <w:rFonts w:ascii="Arial" w:cs="Arial" w:eastAsia="Arial" w:hAnsi="Arial"/>
          <w:sz w:val="18"/>
          <w:szCs w:val="18"/>
          <w:color w:val="auto"/>
        </w:rPr>
        <w:t>Although Altisource is a separate company from Ocwen after the Separation, Altisource and Ocwen have the same Chairman of the Board, William C. Erbey. As a result, he has obligations to Ocwen as well as to Altisource. Mr. Erbey currently owns approximately 18% of the common stock of Ocwen and owns approximately 25% of the common stock of Altisource.</w:t>
      </w:r>
    </w:p>
    <w:p>
      <w:pPr>
        <w:spacing w:after="0" w:line="181" w:lineRule="exact"/>
        <w:rPr>
          <w:sz w:val="20"/>
          <w:szCs w:val="20"/>
          <w:color w:val="auto"/>
        </w:rPr>
      </w:pPr>
    </w:p>
    <w:p>
      <w:pPr>
        <w:ind w:right="260" w:firstLine="666"/>
        <w:spacing w:after="0" w:line="342" w:lineRule="auto"/>
        <w:rPr>
          <w:sz w:val="20"/>
          <w:szCs w:val="20"/>
          <w:color w:val="auto"/>
        </w:rPr>
      </w:pPr>
      <w:r>
        <w:rPr>
          <w:rFonts w:ascii="Arial" w:cs="Arial" w:eastAsia="Arial" w:hAnsi="Arial"/>
          <w:sz w:val="16"/>
          <w:szCs w:val="16"/>
          <w:color w:val="auto"/>
        </w:rPr>
        <w:t>For purposes of governing certain of the ongoing relationships between Ocwen and Altisource after the Separation, and to provide for an orderly transition to the status of two independent companies, we entered into certain agreements with Altisource. A brief description of these agreements follows.</w:t>
      </w:r>
    </w:p>
    <w:p>
      <w:pPr>
        <w:spacing w:after="0" w:line="124" w:lineRule="exact"/>
        <w:rPr>
          <w:sz w:val="20"/>
          <w:szCs w:val="20"/>
          <w:color w:val="auto"/>
        </w:rPr>
      </w:pPr>
    </w:p>
    <w:p>
      <w:pPr>
        <w:ind w:left="1160" w:right="80" w:hanging="571"/>
        <w:spacing w:after="0" w:line="308" w:lineRule="auto"/>
        <w:tabs>
          <w:tab w:leader="none" w:pos="1160" w:val="left"/>
        </w:tabs>
        <w:numPr>
          <w:ilvl w:val="0"/>
          <w:numId w:val="98"/>
        </w:numPr>
        <w:rPr>
          <w:rFonts w:ascii="Arial" w:cs="Arial" w:eastAsia="Arial" w:hAnsi="Arial"/>
          <w:sz w:val="17"/>
          <w:szCs w:val="17"/>
          <w:color w:val="auto"/>
        </w:rPr>
      </w:pPr>
      <w:r>
        <w:rPr>
          <w:rFonts w:ascii="Arial" w:cs="Arial" w:eastAsia="Arial" w:hAnsi="Arial"/>
          <w:sz w:val="17"/>
          <w:szCs w:val="17"/>
          <w:i w:val="1"/>
          <w:iCs w:val="1"/>
          <w:color w:val="auto"/>
        </w:rPr>
        <w:t xml:space="preserve">Separation Agreement. </w:t>
      </w:r>
      <w:r>
        <w:rPr>
          <w:rFonts w:ascii="Arial" w:cs="Arial" w:eastAsia="Arial" w:hAnsi="Arial"/>
          <w:sz w:val="17"/>
          <w:szCs w:val="17"/>
          <w:color w:val="auto"/>
        </w:rPr>
        <w:t>This agreement provides for, among other things, the principal corporate transactions required to effect the Separation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certain other agreements relating to the continuing relationship between Altisource and Ocwen after the Separation.</w:t>
      </w:r>
    </w:p>
    <w:p>
      <w:pPr>
        <w:spacing w:after="0" w:line="146" w:lineRule="exact"/>
        <w:rPr>
          <w:rFonts w:ascii="Arial" w:cs="Arial" w:eastAsia="Arial" w:hAnsi="Arial"/>
          <w:sz w:val="17"/>
          <w:szCs w:val="17"/>
          <w:color w:val="auto"/>
        </w:rPr>
      </w:pPr>
    </w:p>
    <w:p>
      <w:pPr>
        <w:ind w:left="1160" w:hanging="571"/>
        <w:spacing w:after="0" w:line="312" w:lineRule="auto"/>
        <w:tabs>
          <w:tab w:leader="none" w:pos="1160"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t xml:space="preserve">Transition Services Agreement. </w:t>
      </w:r>
      <w:r>
        <w:rPr>
          <w:rFonts w:ascii="Arial" w:cs="Arial" w:eastAsia="Arial" w:hAnsi="Arial"/>
          <w:sz w:val="16"/>
          <w:szCs w:val="16"/>
          <w:color w:val="auto"/>
        </w:rPr>
        <w:t>Under this agreement, Altisource and Ocwen provide to each other services in such areas as human resources,</w:t>
      </w:r>
      <w:r>
        <w:rPr>
          <w:rFonts w:ascii="Arial" w:cs="Arial" w:eastAsia="Arial" w:hAnsi="Arial"/>
          <w:sz w:val="16"/>
          <w:szCs w:val="16"/>
          <w:i w:val="1"/>
          <w:iCs w:val="1"/>
          <w:color w:val="auto"/>
        </w:rPr>
        <w:t xml:space="preserve"> </w:t>
      </w:r>
      <w:r>
        <w:rPr>
          <w:rFonts w:ascii="Arial" w:cs="Arial" w:eastAsia="Arial" w:hAnsi="Arial"/>
          <w:sz w:val="16"/>
          <w:szCs w:val="16"/>
          <w:color w:val="auto"/>
        </w:rPr>
        <w:t>vendor management, corporate services, six sigma, quality assurance, quantitative analytics, treasury, accounting, risk management, legal, strategic planning, compliance and other areas where we, and Altisource, may need transition assistance and support following the Separation.</w:t>
      </w:r>
    </w:p>
    <w:p>
      <w:pPr>
        <w:spacing w:after="0" w:line="146" w:lineRule="exact"/>
        <w:rPr>
          <w:rFonts w:ascii="Arial" w:cs="Arial" w:eastAsia="Arial" w:hAnsi="Arial"/>
          <w:sz w:val="16"/>
          <w:szCs w:val="16"/>
          <w:color w:val="auto"/>
        </w:rPr>
      </w:pPr>
    </w:p>
    <w:p>
      <w:pPr>
        <w:ind w:left="1160" w:right="60" w:hanging="571"/>
        <w:spacing w:after="0" w:line="264" w:lineRule="auto"/>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Tax Matters Agreement. </w:t>
      </w:r>
      <w:r>
        <w:rPr>
          <w:rFonts w:ascii="Arial" w:cs="Arial" w:eastAsia="Arial" w:hAnsi="Arial"/>
          <w:sz w:val="18"/>
          <w:szCs w:val="18"/>
          <w:color w:val="auto"/>
        </w:rPr>
        <w:t>This agreement sets out each party’s rights and obligations with respect to deficiencies and refunds, if any, of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state, local or foreign taxes for periods before and after the Separation and related matters such as the filing of tax returns and the conduct of Internal Revenue Service and other audits.</w:t>
      </w:r>
    </w:p>
    <w:p>
      <w:pPr>
        <w:spacing w:after="0" w:line="181" w:lineRule="exact"/>
        <w:rPr>
          <w:rFonts w:ascii="Arial" w:cs="Arial" w:eastAsia="Arial" w:hAnsi="Arial"/>
          <w:sz w:val="18"/>
          <w:szCs w:val="18"/>
          <w:color w:val="auto"/>
        </w:rPr>
      </w:pPr>
    </w:p>
    <w:p>
      <w:pPr>
        <w:ind w:left="1160" w:right="620" w:hanging="571"/>
        <w:spacing w:after="0" w:line="277" w:lineRule="auto"/>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Employee Matters Agreement. </w:t>
      </w:r>
      <w:r>
        <w:rPr>
          <w:rFonts w:ascii="Arial" w:cs="Arial" w:eastAsia="Arial" w:hAnsi="Arial"/>
          <w:sz w:val="18"/>
          <w:szCs w:val="18"/>
          <w:color w:val="auto"/>
        </w:rPr>
        <w:t>This agreement provides for the transition of employee benefit plans and programs sponsored by us for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of Altisource.</w:t>
      </w:r>
    </w:p>
    <w:p>
      <w:pPr>
        <w:spacing w:after="0" w:line="170" w:lineRule="exact"/>
        <w:rPr>
          <w:rFonts w:ascii="Arial" w:cs="Arial" w:eastAsia="Arial" w:hAnsi="Arial"/>
          <w:sz w:val="18"/>
          <w:szCs w:val="18"/>
          <w:color w:val="auto"/>
        </w:rPr>
      </w:pPr>
    </w:p>
    <w:p>
      <w:pPr>
        <w:ind w:left="1160" w:right="100" w:hanging="571"/>
        <w:spacing w:after="0" w:line="259" w:lineRule="auto"/>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Services Agreement. </w:t>
      </w:r>
      <w:r>
        <w:rPr>
          <w:rFonts w:ascii="Arial" w:cs="Arial" w:eastAsia="Arial" w:hAnsi="Arial"/>
          <w:sz w:val="18"/>
          <w:szCs w:val="18"/>
          <w:color w:val="auto"/>
        </w:rPr>
        <w:t>This agreement provides for Altisource’s offering of certain services to us in connection with our business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Separation for an initial term of eight years, subject to renewal, with pricing terms intended to reflect market rates. Services provided to us under this agreement include residential property valuation, residential property preservation and inspection services, title services and real estate sales.</w:t>
      </w:r>
    </w:p>
    <w:p>
      <w:pPr>
        <w:spacing w:after="0" w:line="186" w:lineRule="exact"/>
        <w:rPr>
          <w:rFonts w:ascii="Arial" w:cs="Arial" w:eastAsia="Arial" w:hAnsi="Arial"/>
          <w:sz w:val="18"/>
          <w:szCs w:val="18"/>
          <w:color w:val="auto"/>
        </w:rPr>
      </w:pPr>
    </w:p>
    <w:p>
      <w:pPr>
        <w:ind w:left="1160" w:right="100" w:hanging="571"/>
        <w:spacing w:after="0" w:line="259" w:lineRule="auto"/>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Technology Products Services Agreement. </w:t>
      </w:r>
      <w:r>
        <w:rPr>
          <w:rFonts w:ascii="Arial" w:cs="Arial" w:eastAsia="Arial" w:hAnsi="Arial"/>
          <w:sz w:val="18"/>
          <w:szCs w:val="18"/>
          <w:color w:val="auto"/>
        </w:rPr>
        <w:t>This agreement provides for Altisource’s offering of certain technology products and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us in connection with our business, also for an initial term of eight years, subject to renewal, with pricing terms intended to reflect market rates. Technology products provided to us under this agreement include the REAL suite of applications that support our Servicing business.</w:t>
      </w:r>
    </w:p>
    <w:p>
      <w:pPr>
        <w:spacing w:after="0" w:line="186" w:lineRule="exact"/>
        <w:rPr>
          <w:rFonts w:ascii="Arial" w:cs="Arial" w:eastAsia="Arial" w:hAnsi="Arial"/>
          <w:sz w:val="18"/>
          <w:szCs w:val="18"/>
          <w:color w:val="auto"/>
        </w:rPr>
      </w:pPr>
    </w:p>
    <w:p>
      <w:pPr>
        <w:ind w:left="1160" w:hanging="571"/>
        <w:spacing w:after="0"/>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Intellectual Property Agreement. </w:t>
      </w:r>
      <w:r>
        <w:rPr>
          <w:rFonts w:ascii="Arial" w:cs="Arial" w:eastAsia="Arial" w:hAnsi="Arial"/>
          <w:sz w:val="18"/>
          <w:szCs w:val="18"/>
          <w:color w:val="auto"/>
        </w:rPr>
        <w:t>This agreement provides for the transfer of intellectual property assets to Altisource.</w:t>
      </w:r>
    </w:p>
    <w:p>
      <w:pPr>
        <w:spacing w:after="0" w:line="225" w:lineRule="exact"/>
        <w:rPr>
          <w:rFonts w:ascii="Arial" w:cs="Arial" w:eastAsia="Arial" w:hAnsi="Arial"/>
          <w:sz w:val="18"/>
          <w:szCs w:val="18"/>
          <w:color w:val="auto"/>
        </w:rPr>
      </w:pPr>
    </w:p>
    <w:p>
      <w:pPr>
        <w:ind w:left="1160" w:right="100" w:hanging="571"/>
        <w:spacing w:after="0" w:line="277" w:lineRule="auto"/>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Data Center and Disaster Recovery Services Agreement. </w:t>
      </w:r>
      <w:r>
        <w:rPr>
          <w:rFonts w:ascii="Arial" w:cs="Arial" w:eastAsia="Arial" w:hAnsi="Arial"/>
          <w:sz w:val="18"/>
          <w:szCs w:val="18"/>
          <w:color w:val="auto"/>
        </w:rPr>
        <w:t>This agreement provides for Altisource’s offering of certain data center and disaster</w:t>
      </w:r>
      <w:r>
        <w:rPr>
          <w:rFonts w:ascii="Arial" w:cs="Arial" w:eastAsia="Arial" w:hAnsi="Arial"/>
          <w:sz w:val="18"/>
          <w:szCs w:val="18"/>
          <w:i w:val="1"/>
          <w:iCs w:val="1"/>
          <w:color w:val="auto"/>
        </w:rPr>
        <w:t xml:space="preserve"> </w:t>
      </w:r>
      <w:r>
        <w:rPr>
          <w:rFonts w:ascii="Arial" w:cs="Arial" w:eastAsia="Arial" w:hAnsi="Arial"/>
          <w:sz w:val="18"/>
          <w:szCs w:val="18"/>
          <w:color w:val="auto"/>
        </w:rPr>
        <w:t>recovery services in connection with our business.</w:t>
      </w:r>
    </w:p>
    <w:p>
      <w:pPr>
        <w:spacing w:after="0" w:line="170" w:lineRule="exact"/>
        <w:rPr>
          <w:sz w:val="20"/>
          <w:szCs w:val="20"/>
          <w:color w:val="auto"/>
        </w:rPr>
      </w:pPr>
    </w:p>
    <w:p>
      <w:pPr>
        <w:ind w:firstLine="666"/>
        <w:spacing w:after="0" w:line="257" w:lineRule="auto"/>
        <w:rPr>
          <w:sz w:val="20"/>
          <w:szCs w:val="20"/>
          <w:color w:val="auto"/>
        </w:rPr>
      </w:pPr>
      <w:r>
        <w:rPr>
          <w:rFonts w:ascii="Arial" w:cs="Arial" w:eastAsia="Arial" w:hAnsi="Arial"/>
          <w:sz w:val="18"/>
          <w:szCs w:val="18"/>
          <w:color w:val="auto"/>
        </w:rPr>
        <w:t>Our business is currently dependent on many of the services and products provided under these long-term contracts which are effective for up to eight years with renewal rights. Certain services provided by Altisource under these contracts are charged to the borrower and/or loan investor. Accordingly, such services, while derived from our loan servicing portfolio, are not presented as expenses to Ocwen. We believe the rates charged under these agreements are market rates as they are materially consistent with one or more of the following: the fees charged by Altisource to other customers for comparable services and the rates Ocwen pays to or observes from other service providers.</w:t>
      </w:r>
    </w:p>
    <w:p>
      <w:pPr>
        <w:spacing w:after="0" w:line="188" w:lineRule="exact"/>
        <w:rPr>
          <w:sz w:val="20"/>
          <w:szCs w:val="20"/>
          <w:color w:val="auto"/>
        </w:rPr>
      </w:pPr>
    </w:p>
    <w:p>
      <w:pPr>
        <w:ind w:right="40" w:firstLine="666"/>
        <w:spacing w:after="0" w:line="312" w:lineRule="auto"/>
        <w:rPr>
          <w:sz w:val="20"/>
          <w:szCs w:val="20"/>
          <w:color w:val="auto"/>
        </w:rPr>
      </w:pPr>
      <w:r>
        <w:rPr>
          <w:rFonts w:ascii="Arial" w:cs="Arial" w:eastAsia="Arial" w:hAnsi="Arial"/>
          <w:sz w:val="16"/>
          <w:szCs w:val="16"/>
          <w:color w:val="auto"/>
        </w:rPr>
        <w:t>For the year ended December 31, 2010, we generated revenues of $13,520, respectively, under our agreements with Altisource, principally from fees for providing referral services to Altisource. We also incurred expenses of $20,082 during 2010, principally for technology products and support services including the REAL suite of products that support our Servicing business. At December 31, 2010, the net payable to Altisource was $1,433.</w:t>
      </w:r>
    </w:p>
    <w:p>
      <w:pPr>
        <w:spacing w:after="0" w:line="147" w:lineRule="exact"/>
        <w:rPr>
          <w:sz w:val="20"/>
          <w:szCs w:val="20"/>
          <w:color w:val="auto"/>
        </w:rPr>
      </w:pPr>
    </w:p>
    <w:p>
      <w:pPr>
        <w:ind w:right="60" w:firstLine="666"/>
        <w:spacing w:after="0" w:line="264" w:lineRule="auto"/>
        <w:rPr>
          <w:sz w:val="20"/>
          <w:szCs w:val="20"/>
          <w:color w:val="auto"/>
        </w:rPr>
      </w:pPr>
      <w:r>
        <w:rPr>
          <w:rFonts w:ascii="Arial" w:cs="Arial" w:eastAsia="Arial" w:hAnsi="Arial"/>
          <w:sz w:val="18"/>
          <w:szCs w:val="18"/>
          <w:color w:val="auto"/>
        </w:rPr>
        <w:t>In addition to the revenues and expenses we recorded in 2010 associated with the agreements discussed above, we also sold to Altisource equipment we acquired from HomEq and entered into an agreement to sublease from Altisource our principal executive office space in Atlanta, Georgia. See Note 11 and Note 32 for additional information regarding these transactions.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11" w:name="page112"/>
    <w:bookmarkEnd w:id="111"/>
    <w:p>
      <w:pPr>
        <w:jc w:val="both"/>
        <w:ind w:firstLine="656"/>
        <w:spacing w:after="0" w:line="264" w:lineRule="auto"/>
        <w:rPr>
          <w:sz w:val="20"/>
          <w:szCs w:val="20"/>
          <w:color w:val="auto"/>
        </w:rPr>
      </w:pPr>
      <w:r>
        <w:rPr>
          <w:rFonts w:ascii="Arial" w:cs="Arial" w:eastAsia="Arial" w:hAnsi="Arial"/>
          <w:sz w:val="18"/>
          <w:szCs w:val="18"/>
          <w:color w:val="auto"/>
        </w:rPr>
        <w:t>As of December 31, 2009, the net payable to Altisource was $7,345. For the period from August 10, 2009 through December 31, 2009, we generated $3,534 of revenues and incurred $6,858 of expenses under our agreements with Altisource. No charges were incurred under the transition services agreement with Altisource in 2009.</w:t>
      </w:r>
    </w:p>
    <w:p>
      <w:pPr>
        <w:spacing w:after="0" w:line="17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31</w:t>
      </w:r>
      <w:r>
        <w:rPr>
          <w:sz w:val="20"/>
          <w:szCs w:val="20"/>
          <w:color w:val="auto"/>
        </w:rPr>
        <w:tab/>
      </w:r>
      <w:r>
        <w:rPr>
          <w:rFonts w:ascii="Arial" w:cs="Arial" w:eastAsia="Arial" w:hAnsi="Arial"/>
          <w:sz w:val="18"/>
          <w:szCs w:val="18"/>
          <w:b w:val="1"/>
          <w:bCs w:val="1"/>
          <w:color w:val="auto"/>
        </w:rPr>
        <w:t>REGULATORY REQUIREMENTS</w:t>
      </w:r>
    </w:p>
    <w:p>
      <w:pPr>
        <w:spacing w:after="0" w:line="229" w:lineRule="exact"/>
        <w:rPr>
          <w:sz w:val="20"/>
          <w:szCs w:val="20"/>
          <w:color w:val="auto"/>
        </w:rPr>
      </w:pPr>
    </w:p>
    <w:p>
      <w:pPr>
        <w:ind w:firstLine="666"/>
        <w:spacing w:after="0" w:line="276" w:lineRule="auto"/>
        <w:rPr>
          <w:sz w:val="20"/>
          <w:szCs w:val="20"/>
          <w:color w:val="auto"/>
        </w:rPr>
      </w:pPr>
      <w:r>
        <w:rPr>
          <w:rFonts w:ascii="Arial" w:cs="Arial" w:eastAsia="Arial" w:hAnsi="Arial"/>
          <w:sz w:val="17"/>
          <w:szCs w:val="17"/>
          <w:color w:val="auto"/>
        </w:rPr>
        <w:t>Our business is subject to extensive regulation by federal, state and local governmental authorities, including the Federal Trade Commission (FTC) and the SEC. We are also subject to regulation by the state agencies that license our mortgage servicing and collection activities in a number of states. We are subject to audits and examinations conducted by these state agencies. From time to time, we may receive requests from federal, state and local agencies for records, documents and information relating to our policies, procedures and practices regarding our loan servicing and debt collection activities. We will incur significant ongoing costs to comply with new and existing laws and governmental regulation of our business.</w:t>
      </w:r>
    </w:p>
    <w:p>
      <w:pPr>
        <w:spacing w:after="0" w:line="173" w:lineRule="exact"/>
        <w:rPr>
          <w:sz w:val="20"/>
          <w:szCs w:val="20"/>
          <w:color w:val="auto"/>
        </w:rPr>
      </w:pPr>
    </w:p>
    <w:p>
      <w:pPr>
        <w:ind w:right="40" w:firstLine="663"/>
        <w:spacing w:after="0" w:line="276" w:lineRule="auto"/>
        <w:rPr>
          <w:sz w:val="20"/>
          <w:szCs w:val="20"/>
          <w:color w:val="auto"/>
        </w:rPr>
      </w:pPr>
      <w:r>
        <w:rPr>
          <w:rFonts w:ascii="Arial" w:cs="Arial" w:eastAsia="Arial" w:hAnsi="Arial"/>
          <w:sz w:val="17"/>
          <w:szCs w:val="17"/>
          <w:color w:val="auto"/>
        </w:rPr>
        <w:t>We must comply with a number of federal, state and local consumer protection laws including, among others, the Gramm-Leach-Bliley Act, the Fair Debt Collection Practices Act, the Real Estate Settlement Procedures Act (“RESPA”), the Truth in Lending Act (“TILA”), the Fair Credit Reporting Act, Homeowners Protection Act, the Federal Trade Commission Act and state foreclosure laws. These statutes apply to debt collection, use of credit reports, safeguarding of non−public personally identifiable information about our customers, foreclosure and claims handling, investment of and interest payments on escrow balances, fees and escrow payment features, and they mandate certain disclosures and notices to borrowers.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Our failure to comply with applicable federal, state and local consumer protection laws can lead to:</w:t>
      </w:r>
    </w:p>
    <w:p>
      <w:pPr>
        <w:spacing w:after="0" w:line="225" w:lineRule="exact"/>
        <w:rPr>
          <w:sz w:val="20"/>
          <w:szCs w:val="20"/>
          <w:color w:val="auto"/>
        </w:rPr>
      </w:pPr>
    </w:p>
    <w:p>
      <w:pPr>
        <w:ind w:left="1160" w:hanging="571"/>
        <w:spacing w:after="0"/>
        <w:tabs>
          <w:tab w:leader="none" w:pos="11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civil and criminal liability;</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loss of our licenses and approvals to engage in the servicing of residential mortgage loans;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damage to our reputation in the industry;</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inability to raise capital;</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administrative fines and penalties and litigation, including class action lawsuits; and</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governmental investigations and enforcement actions.</w:t>
      </w:r>
    </w:p>
    <w:p>
      <w:pPr>
        <w:spacing w:after="0" w:line="225" w:lineRule="exact"/>
        <w:rPr>
          <w:sz w:val="20"/>
          <w:szCs w:val="20"/>
          <w:color w:val="auto"/>
        </w:rPr>
      </w:pPr>
    </w:p>
    <w:p>
      <w:pPr>
        <w:ind w:firstLine="663"/>
        <w:spacing w:after="0" w:line="257" w:lineRule="auto"/>
        <w:rPr>
          <w:sz w:val="20"/>
          <w:szCs w:val="20"/>
          <w:color w:val="auto"/>
        </w:rPr>
      </w:pPr>
      <w:r>
        <w:rPr>
          <w:rFonts w:ascii="Arial" w:cs="Arial" w:eastAsia="Arial" w:hAnsi="Arial"/>
          <w:sz w:val="18"/>
          <w:szCs w:val="18"/>
          <w:color w:val="auto"/>
        </w:rPr>
        <w:t>The recent trend among federal, state and local lawmakers and regulators has been toward increasing laws, regulations and investigative proceedings with regard to the residential real estate lenders and servicers. Over the past few years, state and federal lawmakers and regulators have adopted a variety of new or expanded laws and regulations, including the recently enacted Dodd-Frank Wall Street Reform and Consumer Protection Act (the “Dodd-Frank Act”) discussed below. The changes in these regulatory and legal requirements, including changes in their enforcement, could materially and adversely affect our business and our financial condition, liquidity and results of operations.</w:t>
      </w:r>
    </w:p>
    <w:p>
      <w:pPr>
        <w:spacing w:after="0" w:line="188" w:lineRule="exact"/>
        <w:rPr>
          <w:sz w:val="20"/>
          <w:szCs w:val="20"/>
          <w:color w:val="auto"/>
        </w:rPr>
      </w:pPr>
    </w:p>
    <w:p>
      <w:pPr>
        <w:ind w:right="220" w:firstLine="666"/>
        <w:spacing w:after="0" w:line="279" w:lineRule="auto"/>
        <w:rPr>
          <w:sz w:val="20"/>
          <w:szCs w:val="20"/>
          <w:color w:val="auto"/>
        </w:rPr>
      </w:pPr>
      <w:r>
        <w:rPr>
          <w:rFonts w:ascii="Arial" w:cs="Arial" w:eastAsia="Arial" w:hAnsi="Arial"/>
          <w:sz w:val="17"/>
          <w:szCs w:val="17"/>
          <w:color w:val="auto"/>
        </w:rPr>
        <w:t>On July 21, 2010, the Dodd-Frank Act was signed into law by President Obama. The Dodd-Frank Act constitutes a sweeping reform of the regulation and supervision of financial institutions, as well as the regulation of derivatives, capital market activities and consumer financial services. Many provisions of the Dodd-Frank Act are required to be implemented through rulemaking by the appropriate federal regulatory agency. The ultimate impact of the Dodd-Frank Act and its effects on our business will therefore not be fully known for an extended period of time.</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Dodd-Frank Act is extensive and significant legislation that, among other things:</w:t>
      </w:r>
    </w:p>
    <w:p>
      <w:pPr>
        <w:spacing w:after="0" w:line="225" w:lineRule="exact"/>
        <w:rPr>
          <w:sz w:val="20"/>
          <w:szCs w:val="20"/>
          <w:color w:val="auto"/>
        </w:rPr>
      </w:pPr>
    </w:p>
    <w:p>
      <w:pPr>
        <w:ind w:left="1160" w:right="460" w:hanging="571"/>
        <w:spacing w:after="0" w:line="277" w:lineRule="auto"/>
        <w:tabs>
          <w:tab w:leader="none" w:pos="11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creates an inter-agency body that is responsible for monitoring the activities of the financial system and recommending a framework for substantially increased regulation of large interconnected financial services firms;</w:t>
      </w:r>
    </w:p>
    <w:p>
      <w:pPr>
        <w:spacing w:after="0" w:line="170" w:lineRule="exact"/>
        <w:rPr>
          <w:rFonts w:ascii="Arial" w:cs="Arial" w:eastAsia="Arial" w:hAnsi="Arial"/>
          <w:sz w:val="18"/>
          <w:szCs w:val="18"/>
          <w:color w:val="auto"/>
        </w:rPr>
      </w:pPr>
    </w:p>
    <w:p>
      <w:pPr>
        <w:ind w:left="1160" w:right="280" w:hanging="571"/>
        <w:spacing w:after="0" w:line="277" w:lineRule="auto"/>
        <w:tabs>
          <w:tab w:leader="none" w:pos="11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creates a liquidation framework for the resolution of certain bank holding companies and other large and interconnected nonbank financial companies;</w:t>
      </w:r>
    </w:p>
    <w:p>
      <w:pPr>
        <w:spacing w:after="0" w:line="170" w:lineRule="exact"/>
        <w:rPr>
          <w:rFonts w:ascii="Arial" w:cs="Arial" w:eastAsia="Arial" w:hAnsi="Arial"/>
          <w:sz w:val="18"/>
          <w:szCs w:val="18"/>
          <w:color w:val="auto"/>
        </w:rPr>
      </w:pPr>
    </w:p>
    <w:p>
      <w:pPr>
        <w:ind w:left="1160" w:hanging="571"/>
        <w:spacing w:after="0"/>
        <w:tabs>
          <w:tab w:leader="none" w:pos="11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strengthens the regulatory oversight of securities and capital markets activities by the SEC; and</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creates the Bureau of Consumer Financial Protection (“BCFP”), a new federal entity responsible for regulating consumer financial services.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112" w:name="page113"/>
    <w:bookmarkEnd w:id="112"/>
    <w:p>
      <w:pPr>
        <w:ind w:right="20" w:firstLine="663"/>
        <w:spacing w:after="0" w:line="273" w:lineRule="auto"/>
        <w:rPr>
          <w:sz w:val="20"/>
          <w:szCs w:val="20"/>
          <w:color w:val="auto"/>
        </w:rPr>
      </w:pPr>
      <w:r>
        <w:rPr>
          <w:rFonts w:ascii="Arial" w:cs="Arial" w:eastAsia="Arial" w:hAnsi="Arial"/>
          <w:sz w:val="17"/>
          <w:szCs w:val="17"/>
          <w:color w:val="auto"/>
        </w:rPr>
        <w:t>The BCFP will directly impact the regulation of residential mortgage servicing in a number of ways. First, the BCFP will have rulemaking authority with respect to many of the federal consumer protection laws applicable to mortgage servicers, including TILA and RESPA. Second, the BCFP will have supervision, examination and enforcement authority over consumer financial products and services offered by certain non-depository institutions and large insured depository institutions. The BCFP’s jurisdiction will include those persons originating, brokering or servicing residential mortgage loans and those persons performing loan modification or foreclosure relief services in connection with such loans. Beginning in July 2011, we expect that OLS will be subject to supervision, examination and enforcement by the BCFP.</w:t>
      </w:r>
    </w:p>
    <w:p>
      <w:pPr>
        <w:spacing w:after="0" w:line="178" w:lineRule="exact"/>
        <w:rPr>
          <w:sz w:val="20"/>
          <w:szCs w:val="20"/>
          <w:color w:val="auto"/>
        </w:rPr>
      </w:pPr>
    </w:p>
    <w:p>
      <w:pPr>
        <w:ind w:firstLine="663"/>
        <w:spacing w:after="0" w:line="255" w:lineRule="auto"/>
        <w:rPr>
          <w:sz w:val="20"/>
          <w:szCs w:val="20"/>
          <w:color w:val="auto"/>
        </w:rPr>
      </w:pPr>
      <w:r>
        <w:rPr>
          <w:rFonts w:ascii="Arial" w:cs="Arial" w:eastAsia="Arial" w:hAnsi="Arial"/>
          <w:sz w:val="18"/>
          <w:szCs w:val="18"/>
          <w:color w:val="auto"/>
        </w:rPr>
        <w:t>Title XIV of the Dodd-Frank Act contains the Mortgage Reform and Anti-Predatory Lending Act (“Mortgage Act”). The Mortgage Act imposes a number of additional requirements on servicers of residential mortgage loans, such as OLS, by amending certain existing provisions and adding new sections to TILA and RESPA. The penalties for noncompliance with TILA and RESPA are also significantly increased by the Mortgage Act and could lead to an increase in lawsuits against mortgage servicers. Like other parts of the Dodd-Frank Act, the Mortgage Act generally requires that implementing regulations be issued before many of its provisions are effective. Therefore, many of these provisions in the Mortgage Act will not be effective until 2013 or early 2014.&lt; /div&gt;</w:t>
      </w:r>
    </w:p>
    <w:p>
      <w:pPr>
        <w:spacing w:after="0" w:line="19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When fully implemented, the Mortgage Act will prevent servicers of residential mortgage loans from taking certain actions, including the following:</w:t>
      </w:r>
    </w:p>
    <w:p>
      <w:pPr>
        <w:spacing w:after="0" w:line="248" w:lineRule="exact"/>
        <w:rPr>
          <w:sz w:val="20"/>
          <w:szCs w:val="20"/>
          <w:color w:val="auto"/>
        </w:rPr>
      </w:pPr>
    </w:p>
    <w:p>
      <w:pPr>
        <w:ind w:left="1160" w:right="260" w:hanging="571"/>
        <w:spacing w:after="0" w:line="277" w:lineRule="auto"/>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force-placing insurance, unless there is a reasonable belief that the borrower has failed to comply with a contract’s requirement to maintain insurance;</w:t>
      </w:r>
    </w:p>
    <w:p>
      <w:pPr>
        <w:spacing w:after="0" w:line="170" w:lineRule="exact"/>
        <w:rPr>
          <w:rFonts w:ascii="Arial" w:cs="Arial" w:eastAsia="Arial" w:hAnsi="Arial"/>
          <w:sz w:val="18"/>
          <w:szCs w:val="18"/>
          <w:color w:val="auto"/>
        </w:rPr>
      </w:pPr>
    </w:p>
    <w:p>
      <w:pPr>
        <w:ind w:left="1160" w:hanging="571"/>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charging a fee for responding to a valid qualified written request;</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failing to take timely action to respond to the borrower’s request to correct errors related to payment, payoff amounts, or avoiding foreclosure;</w:t>
      </w:r>
    </w:p>
    <w:p>
      <w:pPr>
        <w:spacing w:after="0" w:line="248" w:lineRule="exact"/>
        <w:rPr>
          <w:rFonts w:ascii="Arial" w:cs="Arial" w:eastAsia="Arial" w:hAnsi="Arial"/>
          <w:sz w:val="16"/>
          <w:szCs w:val="16"/>
          <w:color w:val="auto"/>
        </w:rPr>
      </w:pPr>
    </w:p>
    <w:p>
      <w:pPr>
        <w:ind w:left="1160" w:right="120" w:hanging="571"/>
        <w:spacing w:after="0" w:line="277" w:lineRule="auto"/>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failing to respond within ten (10) business days of a request from the borrower to provide contact information about the owner or assignee of loan; and</w:t>
      </w:r>
    </w:p>
    <w:p>
      <w:pPr>
        <w:spacing w:after="0" w:line="170" w:lineRule="exact"/>
        <w:rPr>
          <w:rFonts w:ascii="Arial" w:cs="Arial" w:eastAsia="Arial" w:hAnsi="Arial"/>
          <w:sz w:val="18"/>
          <w:szCs w:val="18"/>
          <w:color w:val="auto"/>
        </w:rPr>
      </w:pPr>
    </w:p>
    <w:p>
      <w:pPr>
        <w:ind w:left="1160" w:right="260" w:hanging="571"/>
        <w:spacing w:after="0" w:line="277" w:lineRule="auto"/>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failing to return an escrow balance or provide a credit within twenty (20) business days of a residential mortgage loan being paid off by the borrower.</w:t>
      </w:r>
    </w:p>
    <w:p>
      <w:pPr>
        <w:spacing w:after="0" w:line="170" w:lineRule="exact"/>
        <w:rPr>
          <w:sz w:val="20"/>
          <w:szCs w:val="20"/>
          <w:color w:val="auto"/>
        </w:rPr>
      </w:pPr>
    </w:p>
    <w:p>
      <w:pPr>
        <w:ind w:right="460" w:firstLine="666"/>
        <w:spacing w:after="0" w:line="277" w:lineRule="auto"/>
        <w:rPr>
          <w:sz w:val="20"/>
          <w:szCs w:val="20"/>
          <w:color w:val="auto"/>
        </w:rPr>
      </w:pPr>
      <w:r>
        <w:rPr>
          <w:rFonts w:ascii="Arial" w:cs="Arial" w:eastAsia="Arial" w:hAnsi="Arial"/>
          <w:sz w:val="18"/>
          <w:szCs w:val="18"/>
          <w:color w:val="auto"/>
        </w:rPr>
        <w:t>In addition to these restrictions, the Mortgage Act imposes certain new requirements and/or shortens the existing response time for servicers of residential mortgage loans. These new requirements include the following:</w:t>
      </w:r>
    </w:p>
    <w:p>
      <w:pPr>
        <w:spacing w:after="0" w:line="170" w:lineRule="exact"/>
        <w:rPr>
          <w:sz w:val="20"/>
          <w:szCs w:val="20"/>
          <w:color w:val="auto"/>
        </w:rPr>
      </w:pPr>
    </w:p>
    <w:p>
      <w:pPr>
        <w:ind w:left="1160" w:right="180" w:hanging="571"/>
        <w:spacing w:after="0" w:line="277" w:lineRule="auto"/>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acknowledging receipt of a qualified written request under RESPA within five (5) business days and providing a final response within thirty (30) business days;</w:t>
      </w:r>
    </w:p>
    <w:p>
      <w:pPr>
        <w:spacing w:after="0" w:line="170" w:lineRule="exact"/>
        <w:rPr>
          <w:rFonts w:ascii="Arial" w:cs="Arial" w:eastAsia="Arial" w:hAnsi="Arial"/>
          <w:sz w:val="18"/>
          <w:szCs w:val="18"/>
          <w:color w:val="auto"/>
        </w:rPr>
      </w:pPr>
    </w:p>
    <w:p>
      <w:pPr>
        <w:ind w:left="1160" w:right="720" w:hanging="571"/>
        <w:spacing w:after="0" w:line="277" w:lineRule="auto"/>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promptly crediting mortgage payments received from the borrower on the date of receipt except where payment does not conform to previously established requirements; and</w:t>
      </w:r>
    </w:p>
    <w:p>
      <w:pPr>
        <w:spacing w:after="0" w:line="170" w:lineRule="exact"/>
        <w:rPr>
          <w:rFonts w:ascii="Arial" w:cs="Arial" w:eastAsia="Arial" w:hAnsi="Arial"/>
          <w:sz w:val="18"/>
          <w:szCs w:val="18"/>
          <w:color w:val="auto"/>
        </w:rPr>
      </w:pPr>
    </w:p>
    <w:p>
      <w:pPr>
        <w:ind w:left="1160" w:right="320" w:hanging="571"/>
        <w:spacing w:after="0" w:line="277" w:lineRule="auto"/>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sending an accurate payoff statement within a reasonable period of time but in no case more than seven (7) business days after receipt of a written request from the borrower.</w:t>
      </w:r>
    </w:p>
    <w:p>
      <w:pPr>
        <w:spacing w:after="0" w:line="170" w:lineRule="exact"/>
        <w:rPr>
          <w:sz w:val="20"/>
          <w:szCs w:val="20"/>
          <w:color w:val="auto"/>
        </w:rPr>
      </w:pPr>
    </w:p>
    <w:p>
      <w:pPr>
        <w:ind w:right="40" w:firstLine="663"/>
        <w:spacing w:after="0" w:line="264" w:lineRule="auto"/>
        <w:rPr>
          <w:sz w:val="20"/>
          <w:szCs w:val="20"/>
          <w:color w:val="auto"/>
        </w:rPr>
      </w:pPr>
      <w:r>
        <w:rPr>
          <w:rFonts w:ascii="Arial" w:cs="Arial" w:eastAsia="Arial" w:hAnsi="Arial"/>
          <w:sz w:val="18"/>
          <w:szCs w:val="18"/>
          <w:color w:val="auto"/>
        </w:rPr>
        <w:t>While the effective date for many of these provisions remains at least two years away, we expect to incur significant ongoing operational and system costs in order to prepare for compliance with these new laws and regulations. Furthermore, there may be additional federal or states laws enacted during this period that place additional obligations on servicers of residential mortgage loans.</w:t>
      </w:r>
    </w:p>
    <w:p>
      <w:pPr>
        <w:spacing w:after="0" w:line="181" w:lineRule="exact"/>
        <w:rPr>
          <w:sz w:val="20"/>
          <w:szCs w:val="20"/>
          <w:color w:val="auto"/>
        </w:rPr>
      </w:pPr>
    </w:p>
    <w:p>
      <w:pPr>
        <w:ind w:right="260" w:firstLine="663"/>
        <w:spacing w:after="0" w:line="286" w:lineRule="auto"/>
        <w:rPr>
          <w:sz w:val="20"/>
          <w:szCs w:val="20"/>
          <w:color w:val="auto"/>
        </w:rPr>
      </w:pPr>
      <w:r>
        <w:rPr>
          <w:rFonts w:ascii="Arial" w:cs="Arial" w:eastAsia="Arial" w:hAnsi="Arial"/>
          <w:sz w:val="17"/>
          <w:szCs w:val="17"/>
          <w:color w:val="auto"/>
        </w:rPr>
        <w:t>We are also subject to licensing and regulation as a mortgage service provider and/or debt collector in a number of states. We are subject to audits and examinations that are conducted by the states. From time to time, we receive requests from state and other agencies for records, documents and information regarding our policies, procedures and practices regarding our loan servicing and debt collection business activities.</w:t>
      </w:r>
    </w:p>
    <w:p>
      <w:pPr>
        <w:spacing w:after="0" w:line="166" w:lineRule="exact"/>
        <w:rPr>
          <w:sz w:val="20"/>
          <w:szCs w:val="20"/>
          <w:color w:val="auto"/>
        </w:rPr>
      </w:pPr>
    </w:p>
    <w:p>
      <w:pPr>
        <w:ind w:right="180" w:firstLine="666"/>
        <w:spacing w:after="0" w:line="264" w:lineRule="auto"/>
        <w:rPr>
          <w:sz w:val="20"/>
          <w:szCs w:val="20"/>
          <w:color w:val="auto"/>
        </w:rPr>
      </w:pPr>
      <w:r>
        <w:rPr>
          <w:rFonts w:ascii="Arial" w:cs="Arial" w:eastAsia="Arial" w:hAnsi="Arial"/>
          <w:sz w:val="18"/>
          <w:szCs w:val="18"/>
          <w:color w:val="auto"/>
        </w:rPr>
        <w:t>Effective June 30, 2005, we voluntarily terminated our status as a federal savings bank. Prior to returning our original thrift charter to the Office of Thrift Supervision (OTS), we operated as a federal savings bank, and OCN was a registered savings and loan holding company. Our primary regulatory authority was the OTS.</w:t>
      </w:r>
    </w:p>
    <w:p>
      <w:pPr>
        <w:spacing w:after="0" w:line="181" w:lineRule="exact"/>
        <w:rPr>
          <w:sz w:val="20"/>
          <w:szCs w:val="20"/>
          <w:color w:val="auto"/>
        </w:rPr>
      </w:pPr>
    </w:p>
    <w:p>
      <w:pPr>
        <w:ind w:right="40" w:firstLine="663"/>
        <w:spacing w:after="0" w:line="255" w:lineRule="auto"/>
        <w:rPr>
          <w:sz w:val="20"/>
          <w:szCs w:val="20"/>
          <w:color w:val="auto"/>
        </w:rPr>
      </w:pPr>
      <w:r>
        <w:rPr>
          <w:rFonts w:ascii="Arial" w:cs="Arial" w:eastAsia="Arial" w:hAnsi="Arial"/>
          <w:sz w:val="18"/>
          <w:szCs w:val="18"/>
          <w:color w:val="auto"/>
        </w:rPr>
        <w:t>We continued the Bank’s non-depository businesses, including its residential mortgage servicing business, under OLS, a licensed mortgage servicer in all 50 states, the District of Columbia and two U.S. territories. We entered into various agreements to obtain the approval of the OTS for our plan. We directly or indirectly received assignment of all of the assets, liabilities and business (the Assignment). We entered into an agreement (the Guaranty) in favor of the OTS and any holders of claims with respect to the liabilities we assumed in connection with the Assignment. The Guaranty contains affirmative covenants relating to the maintenance of a $5,000 cash collateral account, reporting requirements, transactions with affiliates, preservation of the exis tence of our subsidiaries and maintenance of not less than $35,000 of unencumbered financial assets. As of December 31, 2010, we were in compliance with all of the covenants specified in the Guaranty.</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13" w:name="page114"/>
    <w:bookmarkEnd w:id="113"/>
    <w:p>
      <w:pPr>
        <w:ind w:right="40" w:firstLine="663"/>
        <w:spacing w:after="0" w:line="291" w:lineRule="auto"/>
        <w:rPr>
          <w:sz w:val="20"/>
          <w:szCs w:val="20"/>
          <w:color w:val="auto"/>
        </w:rPr>
      </w:pPr>
      <w:r>
        <w:rPr>
          <w:rFonts w:ascii="Arial" w:cs="Arial" w:eastAsia="Arial" w:hAnsi="Arial"/>
          <w:sz w:val="16"/>
          <w:szCs w:val="16"/>
          <w:color w:val="auto"/>
        </w:rPr>
        <w:t>The Guaranty also contains negative covenants that restrict our ability to (i) incur indebtedness if certain financial ratios are not achieved or if we fail to maintain a specified minimum net worth, (ii) enter into merger transactions or a sale of substantially all of our assets, (iii) sell, lease, transfer or otherwise dispose of our assets, or (iv) pay dividends or acquire our capital stock. We agreed not to declare or pay any dividends on or acquire any of our capital stock or other ownership interests or make any distributions or return of capital to our stockholders, partners or members, except for (i) such dividends or distributions that are payable only in OCN’s common stock or (ii) such declarations, dividends, acquisitions, distributions or ret urns of capital in cash or other property if we maintain a minimum net worth of $333,000 and rating of B2 from Moody’s and B- from S&amp;P on our unsecured, non credit-enhanced debt and any such capital distributions do not exceed our consolidated net income for the year plus our retained earnings for the two preceding years.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Guaranty will remain in effect until the later of (a) the sixth anniversary of the date on which the Bank’s federal bank charter was cancelled or</w:t>
      </w:r>
    </w:p>
    <w:p>
      <w:pPr>
        <w:spacing w:after="0" w:line="46" w:lineRule="exact"/>
        <w:rPr>
          <w:sz w:val="20"/>
          <w:szCs w:val="20"/>
          <w:color w:val="auto"/>
        </w:rPr>
      </w:pPr>
    </w:p>
    <w:p>
      <w:pPr>
        <w:ind w:right="80" w:firstLine="8"/>
        <w:spacing w:after="0" w:line="323" w:lineRule="auto"/>
        <w:tabs>
          <w:tab w:leader="none" w:pos="25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date on which we have paid in full (i) any obligations that arise out of certain assumed liabilities with respect to which a claim has been asserted on or prior to the sixth anniversary of the date on which our federal bank charter was cancelled and (ii) all other amounts payable by us under the Guaranty.</w:t>
      </w:r>
    </w:p>
    <w:p>
      <w:pPr>
        <w:spacing w:after="0" w:line="139" w:lineRule="exact"/>
        <w:rPr>
          <w:sz w:val="20"/>
          <w:szCs w:val="20"/>
          <w:color w:val="auto"/>
        </w:rPr>
      </w:pPr>
    </w:p>
    <w:p>
      <w:pPr>
        <w:ind w:right="160" w:firstLine="663"/>
        <w:spacing w:after="0" w:line="259" w:lineRule="auto"/>
        <w:rPr>
          <w:sz w:val="20"/>
          <w:szCs w:val="20"/>
          <w:color w:val="auto"/>
        </w:rPr>
      </w:pPr>
      <w:r>
        <w:rPr>
          <w:rFonts w:ascii="Arial" w:cs="Arial" w:eastAsia="Arial" w:hAnsi="Arial"/>
          <w:sz w:val="18"/>
          <w:szCs w:val="18"/>
          <w:color w:val="auto"/>
        </w:rPr>
        <w:t>There are a number of foreign regulations that are applicable to our operations in India, including acts that govern licensing, employment, safety, taxes, insurance, and the basic law which governs the creation, continuation and the winding up of companies as well as the relationships between the shareholders, the company, the public and the government. The Central Act is applicable to all of India, while various state acts may be applicable to certain locations in India.</w:t>
      </w:r>
    </w:p>
    <w:p>
      <w:pPr>
        <w:spacing w:after="0" w:line="18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32</w:t>
      </w:r>
      <w:r>
        <w:rPr>
          <w:sz w:val="20"/>
          <w:szCs w:val="20"/>
          <w:color w:val="auto"/>
        </w:rPr>
        <w:tab/>
      </w:r>
      <w:r>
        <w:rPr>
          <w:rFonts w:ascii="Arial" w:cs="Arial" w:eastAsia="Arial" w:hAnsi="Arial"/>
          <w:sz w:val="18"/>
          <w:szCs w:val="18"/>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firstLine="666"/>
        <w:spacing w:after="0" w:line="270" w:lineRule="auto"/>
        <w:rPr>
          <w:sz w:val="20"/>
          <w:szCs w:val="20"/>
          <w:color w:val="auto"/>
        </w:rPr>
      </w:pPr>
      <w:r>
        <w:rPr>
          <w:rFonts w:ascii="Arial" w:cs="Arial" w:eastAsia="Arial" w:hAnsi="Arial"/>
          <w:sz w:val="17"/>
          <w:szCs w:val="17"/>
          <w:color w:val="auto"/>
        </w:rPr>
        <w:t>Since April 2004, we have been included as a defendant in litigation in federal court in Chicago which consolidated certain class actions and individual actions brought by borrowers in various federal and state courts challenging the defendants’ mortgage servicing practices, including charging improper or unnecessary fees, misapplying borrower payments and similar allegations (the MDL Proceeding). We believe the allegations in the MDL Proceeding are without merit and have defended against them vigorously. In the interests of obtaining finality and cost certainty with regard to this complex and protracted litigated matter, however, defendants, including Ocwen, have entered into a definitive written agreement with plaintiffs’ counsel with respect to a class settlement. Ocwen’s portion of the proposed settlement payment would be $5,163 plus certain other non-cash consideration. This liability and related settlement administrative costs are included in Other liabilities on the Consolidated Balance Sheet. The Court has granted preliminary approval to this class settlement, and notice of the settlement is being provided to potential class members. If the Court does not grant final approval of the settlement, then we will continue to vigorously defend the MDL Proceeding.</w:t>
      </w:r>
    </w:p>
    <w:p>
      <w:pPr>
        <w:spacing w:after="0" w:line="182" w:lineRule="exact"/>
        <w:rPr>
          <w:sz w:val="20"/>
          <w:szCs w:val="20"/>
          <w:color w:val="auto"/>
        </w:rPr>
      </w:pPr>
    </w:p>
    <w:p>
      <w:pPr>
        <w:ind w:right="60" w:firstLine="666"/>
        <w:spacing w:after="0" w:line="289" w:lineRule="auto"/>
        <w:rPr>
          <w:sz w:val="20"/>
          <w:szCs w:val="20"/>
          <w:color w:val="auto"/>
        </w:rPr>
      </w:pPr>
      <w:r>
        <w:rPr>
          <w:rFonts w:ascii="Arial" w:cs="Arial" w:eastAsia="Arial" w:hAnsi="Arial"/>
          <w:sz w:val="16"/>
          <w:szCs w:val="16"/>
          <w:color w:val="auto"/>
        </w:rPr>
        <w:t>In November 2004, a judgment was entered in litigation in federal court in Denver brought by Cartel Asset Management, Inc. (Cartel) against OCN, the Bank and Ocwen Technology Xchange, Inc. (OTX), a subsidiary that has been dissolved. This matter involved allegations of misappropriation of trade secrets and contract-related claims brought by Cartel, a former vendor. In September 2007, the United States Court of Appeals for the Tenth Circuit upheld the judgment against OTX and remanded the case for a retrial on damages against the Bank. The trial court set a date of September 13, 2010 for the retrial against the Bank, as well as OLS and OCN which were added as defendants. At the retrial, Cartel requested the jury to award it $35,000 in compensatory damages, plus punitive damages. On September 24, 2010, the jury returned a verdict in the amount of $6,360 in compensatory damages and $6,360 in punitive damages. The verdict, which has not yet been reduced to a final judgment, does not include prejudgment interest or plaintiff’s legal fees which may also be payable by Ocwen. Ocwen is evaluating post-verdict legal remedies in connection with the matter. Ocwen has accrued its best estimate of the total expected liability related to this matter. This liability is included in Other liabilities on the Consolidated Balance Sheet.</w:t>
      </w:r>
    </w:p>
    <w:p>
      <w:pPr>
        <w:spacing w:after="0" w:line="167" w:lineRule="exact"/>
        <w:rPr>
          <w:sz w:val="20"/>
          <w:szCs w:val="20"/>
          <w:color w:val="auto"/>
        </w:rPr>
      </w:pPr>
    </w:p>
    <w:p>
      <w:pPr>
        <w:ind w:right="240" w:firstLine="666"/>
        <w:spacing w:after="0" w:line="289" w:lineRule="auto"/>
        <w:rPr>
          <w:sz w:val="20"/>
          <w:szCs w:val="20"/>
          <w:color w:val="auto"/>
        </w:rPr>
      </w:pPr>
      <w:r>
        <w:rPr>
          <w:rFonts w:ascii="Arial" w:cs="Arial" w:eastAsia="Arial" w:hAnsi="Arial"/>
          <w:sz w:val="16"/>
          <w:szCs w:val="16"/>
          <w:color w:val="auto"/>
        </w:rPr>
        <w:t>In September 2006, the Bankruptcy Trustee in Chapter 7 proceedings involving American Business Financial Services, Inc. (ABFS) brought an action against multiple defendants, including OLS, in Bankruptcy Court. The action arises out of Debtor-in-Possession financing to ABFS by defendant Greenwich Capital Financial Products, Inc. and the subsequent purchases by OLS of MSRs and certain residual interests in mortgage-backed securities previously held by ABFS. The Trustee filed an amended complaint in March 2007 alleging various claims against OLS including turnover, fraudulent transfers, accounting, breach of fiduciary duty, aiding and abetting breach of fiduciary duty, breach of contract, fraud, civil conspiracy and conversion. The Trustee seeks compensatory dama ges in excess of $100,000 and punitive damages jointly and severally against all defendants. In April 2008, OLS filed an answer denying all charges and a counterclaim for breach of contract, fraud, negligent misrepresentation and indemnification in connection with the MSR purchase transaction. Fact discovery is complete and both Ocwen and the Trustee have filed motions for partial summary judgment. We believe that the Trustee’s allegations against OLS are without merit and intend to continue to vigorously defend against this matter.</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14" w:name="page115"/>
    <w:bookmarkEnd w:id="114"/>
    <w:p>
      <w:pPr>
        <w:ind w:right="100" w:firstLine="666"/>
        <w:spacing w:after="0" w:line="277" w:lineRule="auto"/>
        <w:rPr>
          <w:sz w:val="20"/>
          <w:szCs w:val="20"/>
          <w:color w:val="auto"/>
        </w:rPr>
      </w:pPr>
      <w:r>
        <w:rPr>
          <w:rFonts w:ascii="Arial" w:cs="Arial" w:eastAsia="Arial" w:hAnsi="Arial"/>
          <w:sz w:val="18"/>
          <w:szCs w:val="18"/>
          <w:color w:val="auto"/>
        </w:rPr>
        <w:t>OCN is subject to various other pending legal proceedings. In our opinion, the resolution of those proceedings will not have a material effect on our financial condition,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229" w:lineRule="exact"/>
        <w:rPr>
          <w:sz w:val="20"/>
          <w:szCs w:val="20"/>
          <w:color w:val="auto"/>
        </w:rPr>
      </w:pPr>
    </w:p>
    <w:p>
      <w:pPr>
        <w:ind w:right="20" w:firstLine="666"/>
        <w:spacing w:after="0" w:line="269" w:lineRule="auto"/>
        <w:rPr>
          <w:sz w:val="20"/>
          <w:szCs w:val="20"/>
          <w:color w:val="auto"/>
        </w:rPr>
      </w:pPr>
      <w:r>
        <w:rPr>
          <w:rFonts w:ascii="Arial" w:cs="Arial" w:eastAsia="Arial" w:hAnsi="Arial"/>
          <w:sz w:val="17"/>
          <w:szCs w:val="17"/>
          <w:color w:val="auto"/>
        </w:rPr>
        <w:t>On December 28, 2006, the India tax authorities issued an income tax assessment order (the Order) with respect to IT Enabled services performed for OCN by its wholly-owned Indian subsidiary, OFSPL. The Order relates to the assessment year 2004-05 and indicated that the percent mark-up on operating costs with respect to the IT enabled and software development services that OFSPL provided to OCN was insufficient. On December 15, 2008, the India tax authorities issued an additional income tax assessment order (the Second Order) with respect to assessment year 2005-06. The assessment was made on the same grounds of insufficient mark-up on operating costs with respect to services provided by OFSPL to OCN. OCN had petitioned for assistance to be provided by Competen t Authority under the Mutual Agreement Procedures pursuant to the U.S./India income tax treaty. In May 2010, this process yielded an agreement in this matter between the Competent Authorities of India and the U.S. for assessment years 2004-2005 and 2005-2006. The adjustment for assessment year 2004-05 resulted in additional tax and interest of $522 and adjustment for assessment year 2005-06 resulted in additional tax and interest of $340. OFSPL accepted the adjustments pursuant to the Competent Authority agreement. OFSPL also contested the Order on other grounds. The final Order issued September 28, 2010 grants a refund/relief of $75 which reduces the additional tax and interest liability for assessment year 2004-05 from $522 to $447. The Mutual Agreement provides for correlative adjustments to U.S. taxes. As such, it is anticipated that OCN will not suffer double taxation for the additional India charges under the settlement.</w:t>
      </w:r>
    </w:p>
    <w:p>
      <w:pPr>
        <w:spacing w:after="0" w:line="18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On December 21, 2009, the India tax authorities issued a draft income tax assessment order (the Third Order) with respect to assessment year 2006-</w:t>
      </w:r>
    </w:p>
    <w:p>
      <w:pPr>
        <w:spacing w:after="0" w:line="46" w:lineRule="exact"/>
        <w:rPr>
          <w:sz w:val="20"/>
          <w:szCs w:val="20"/>
          <w:color w:val="auto"/>
        </w:rPr>
      </w:pPr>
    </w:p>
    <w:p>
      <w:pPr>
        <w:ind w:right="60" w:firstLine="8"/>
        <w:spacing w:after="0" w:line="287" w:lineRule="auto"/>
        <w:tabs>
          <w:tab w:leader="none" w:pos="27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proposed adjustment would impose upon OFSPL additional tax of INR 41,760 ($932) and interest of INR 18,297 ($408) for the Assessment Year 2006-07. In accordance with standard Indian procedures, penalties may also be assessed in the future in connection with the assessment. OCN and OFSPL intend to vigorously contest this Order and any imposition of tax and interest and do not believe they have violated any statutory provision or rule. OFSPL has filed an application with the Dispute Resolution Panel for the Third Order. OFSPL received the Order from the Dispute Resolution Panel in the third quarter. The Dispute Resolution Panel has directed the Assessing officers to recompute the tax liability and issue an Order based on its findings. Upon receipt of such Order, OFSPL would consider pursuing all other options including, but not limited to, Competent Authority to contest any additional tax assessed. Due to the uncertainties inherent in the Appeals and Competent Authority processes, OCN and OFSPL cannot currently estimate any additional exposure beyond the amount currently detailed in the Orders. We also cannot predict when these tax matters will be resolved. Such Competent Authority assistance requests under the Mutual Agreement Procedures should preserve OCN’s right to offset any potential increase in India taxes against OCN’s U.S. taxes.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right="120" w:firstLine="666"/>
        <w:spacing w:after="0" w:line="264" w:lineRule="auto"/>
        <w:rPr>
          <w:sz w:val="20"/>
          <w:szCs w:val="20"/>
          <w:color w:val="auto"/>
        </w:rPr>
      </w:pPr>
      <w:r>
        <w:rPr>
          <w:rFonts w:ascii="Arial" w:cs="Arial" w:eastAsia="Arial" w:hAnsi="Arial"/>
          <w:sz w:val="18"/>
          <w:szCs w:val="18"/>
          <w:color w:val="auto"/>
        </w:rPr>
        <w:t>In July 2010, OLS received two subpoenas from the Federal Housing Finance Agency (FHFA) as conservator for Freddie Mac and Fannie Mae in connection with ten private label mortgage securitization transactions where Freddie Mac has invested. The transactions include mortgage loans serviced but not originated by OLS or its affiliates. OLS is cooperating with the FHFA’s requests.</w:t>
      </w:r>
    </w:p>
    <w:p>
      <w:pPr>
        <w:spacing w:after="0" w:line="181" w:lineRule="exact"/>
        <w:rPr>
          <w:sz w:val="20"/>
          <w:szCs w:val="20"/>
          <w:color w:val="auto"/>
        </w:rPr>
      </w:pPr>
    </w:p>
    <w:p>
      <w:pPr>
        <w:ind w:right="640" w:firstLine="666"/>
        <w:spacing w:after="0" w:line="277" w:lineRule="auto"/>
        <w:rPr>
          <w:sz w:val="20"/>
          <w:szCs w:val="20"/>
          <w:color w:val="auto"/>
        </w:rPr>
      </w:pPr>
      <w:r>
        <w:rPr>
          <w:rFonts w:ascii="Arial" w:cs="Arial" w:eastAsia="Arial" w:hAnsi="Arial"/>
          <w:sz w:val="18"/>
          <w:szCs w:val="18"/>
          <w:color w:val="auto"/>
        </w:rPr>
        <w:t>On November 24, 2010, OLS received a Civil Investigative Demand from the FTC requesting documents and information regarding various servicing activities. OLS is cooperating with the FTC’s request.</w:t>
      </w:r>
    </w:p>
    <w:p>
      <w:pPr>
        <w:spacing w:after="0" w:line="170" w:lineRule="exact"/>
        <w:rPr>
          <w:sz w:val="20"/>
          <w:szCs w:val="20"/>
          <w:color w:val="auto"/>
        </w:rPr>
      </w:pPr>
    </w:p>
    <w:p>
      <w:pPr>
        <w:ind w:firstLine="666"/>
        <w:spacing w:after="0" w:line="289" w:lineRule="auto"/>
        <w:rPr>
          <w:sz w:val="20"/>
          <w:szCs w:val="20"/>
          <w:color w:val="auto"/>
        </w:rPr>
      </w:pPr>
      <w:r>
        <w:rPr>
          <w:rFonts w:ascii="Arial" w:cs="Arial" w:eastAsia="Arial" w:hAnsi="Arial"/>
          <w:sz w:val="16"/>
          <w:szCs w:val="16"/>
          <w:color w:val="auto"/>
        </w:rPr>
        <w:t>Recent inquiries into servicer foreclosure processes could result in actions by state or federal governmental bodies, regulators or the courts that could result in temporary moratoria on mortgage foreclosures or an extension of foreclosure timelines, which may be applicable generally to the servicing industry or to us in particular. In addition, a number of our match funded advance facilities contain provisions that limit the eligibility of advances to be financed based on the length of time that advances are outstanding, and one of our match funded advance facilities has provisions that limit new borrowings if average foreclosure timelines extend beyond a certain time period, either of which, if such provisions applied, could adversely affect liquidity by red ucing our average effective advance rate. In addition, governmental bodies may impose regulatory fines or penalties as a result of our foreclosure processes or impose additional requirements or restrictions on such activities which could increase our operating expenses. Increases in the amount of advances and the length of time to recover advances, fines or increases in operating expenses, and decreases in the advance rate and availability of financing for advances would lead to increased borrowings, reduced cash and higher interest expense which could negatively impact our liquidity and profitability.</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15" w:name="page116"/>
    <w:bookmarkEnd w:id="115"/>
    <w:p>
      <w:pPr>
        <w:ind w:right="40" w:firstLine="486"/>
        <w:spacing w:after="0" w:line="273" w:lineRule="auto"/>
        <w:rPr>
          <w:sz w:val="20"/>
          <w:szCs w:val="20"/>
          <w:color w:val="auto"/>
        </w:rPr>
      </w:pPr>
      <w:r>
        <w:rPr>
          <w:rFonts w:ascii="Arial" w:cs="Arial" w:eastAsia="Arial" w:hAnsi="Arial"/>
          <w:sz w:val="17"/>
          <w:szCs w:val="17"/>
          <w:color w:val="auto"/>
        </w:rPr>
        <w:t>Ocwen has been a party to loan sales and securitizations dating back to the 1990s. The majority of securities issued in these transactions has been retired and are not subject to putback risk. There is one remaining securitization with an original UPB of approximately $200,000 where Ocwen provided representations and warranties and the loans were originated in the last decade. Ocwen performed due diligence on each of the loans included in this securitization. The outstanding UPB of this securitization was $58,132 at December 31, 2010 and outstanding notes were $59,007. Ocwen is not aware of any inquiries or claims regarding loan putbacks for any transaction where we made representations and warranties. We do not expect loan putbacks to result in any material change to our financial p osition, operating results or liquidity.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Other</w:t>
      </w:r>
    </w:p>
    <w:p>
      <w:pPr>
        <w:spacing w:after="0" w:line="229" w:lineRule="exact"/>
        <w:rPr>
          <w:sz w:val="20"/>
          <w:szCs w:val="20"/>
          <w:color w:val="auto"/>
        </w:rPr>
      </w:pPr>
    </w:p>
    <w:p>
      <w:pPr>
        <w:ind w:right="20" w:firstLine="663"/>
        <w:spacing w:after="0" w:line="277" w:lineRule="auto"/>
        <w:rPr>
          <w:sz w:val="20"/>
          <w:szCs w:val="20"/>
          <w:color w:val="auto"/>
        </w:rPr>
      </w:pPr>
      <w:r>
        <w:rPr>
          <w:rFonts w:ascii="Arial" w:cs="Arial" w:eastAsia="Arial" w:hAnsi="Arial"/>
          <w:sz w:val="18"/>
          <w:szCs w:val="18"/>
          <w:color w:val="auto"/>
        </w:rPr>
        <w:t>We lease certain of our premises and equipment under capital leases and non-cancelable operating leases with terms expiring through 2018 exclusive of renewal option periods. Our annual aggregate minimum rental commitments under these leases are summarized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Capital</w:t>
            </w:r>
          </w:p>
        </w:tc>
        <w:tc>
          <w:tcPr>
            <w:tcW w:w="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Operating</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AF9E8"/>
          </w:tcPr>
          <w:p>
            <w:pPr>
              <w:spacing w:after="0"/>
              <w:rPr>
                <w:sz w:val="20"/>
                <w:szCs w:val="20"/>
                <w:color w:val="auto"/>
              </w:rPr>
            </w:pPr>
            <w:r>
              <w:rPr>
                <w:rFonts w:ascii="Arial" w:cs="Arial" w:eastAsia="Arial" w:hAnsi="Arial"/>
                <w:sz w:val="18"/>
                <w:szCs w:val="18"/>
                <w:color w:val="auto"/>
              </w:rPr>
              <w:t>2011</w:t>
            </w:r>
          </w:p>
        </w:tc>
        <w:tc>
          <w:tcPr>
            <w:tcW w:w="3420" w:type="dxa"/>
            <w:vAlign w:val="bottom"/>
            <w:gridSpan w:val="2"/>
            <w:shd w:val="clear" w:color="auto" w:fill="EAF9E8"/>
          </w:tcPr>
          <w:p>
            <w:pPr>
              <w:jc w:val="right"/>
              <w:ind w:right="75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126</w:t>
            </w:r>
          </w:p>
        </w:tc>
        <w:tc>
          <w:tcPr>
            <w:tcW w:w="3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5,603</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2012</w:t>
            </w:r>
          </w:p>
        </w:tc>
        <w:tc>
          <w:tcPr>
            <w:tcW w:w="2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164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4,626</w:t>
            </w:r>
          </w:p>
        </w:tc>
      </w:tr>
      <w:tr>
        <w:trPr>
          <w:trHeight w:val="216"/>
        </w:trPr>
        <w:tc>
          <w:tcPr>
            <w:tcW w:w="20" w:type="dxa"/>
            <w:vAlign w:val="bottom"/>
          </w:tcPr>
          <w:p>
            <w:pPr>
              <w:spacing w:after="0"/>
              <w:rPr>
                <w:sz w:val="18"/>
                <w:szCs w:val="18"/>
                <w:color w:val="auto"/>
              </w:rPr>
            </w:pPr>
          </w:p>
        </w:tc>
        <w:tc>
          <w:tcPr>
            <w:tcW w:w="5840" w:type="dxa"/>
            <w:vAlign w:val="bottom"/>
            <w:shd w:val="clear" w:color="auto" w:fill="EAF9E8"/>
          </w:tcPr>
          <w:p>
            <w:pPr>
              <w:spacing w:after="0"/>
              <w:rPr>
                <w:sz w:val="20"/>
                <w:szCs w:val="20"/>
                <w:color w:val="auto"/>
              </w:rPr>
            </w:pPr>
            <w:r>
              <w:rPr>
                <w:rFonts w:ascii="Arial" w:cs="Arial" w:eastAsia="Arial" w:hAnsi="Arial"/>
                <w:sz w:val="18"/>
                <w:szCs w:val="18"/>
                <w:color w:val="auto"/>
              </w:rPr>
              <w:t>2013</w:t>
            </w:r>
          </w:p>
        </w:tc>
        <w:tc>
          <w:tcPr>
            <w:tcW w:w="25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6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4,771</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2014</w:t>
            </w:r>
          </w:p>
        </w:tc>
        <w:tc>
          <w:tcPr>
            <w:tcW w:w="2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880</w:t>
            </w:r>
          </w:p>
        </w:tc>
      </w:tr>
      <w:tr>
        <w:trPr>
          <w:trHeight w:val="216"/>
        </w:trPr>
        <w:tc>
          <w:tcPr>
            <w:tcW w:w="20" w:type="dxa"/>
            <w:vAlign w:val="bottom"/>
          </w:tcPr>
          <w:p>
            <w:pPr>
              <w:spacing w:after="0"/>
              <w:rPr>
                <w:sz w:val="18"/>
                <w:szCs w:val="18"/>
                <w:color w:val="auto"/>
              </w:rPr>
            </w:pPr>
          </w:p>
        </w:tc>
        <w:tc>
          <w:tcPr>
            <w:tcW w:w="5840" w:type="dxa"/>
            <w:vAlign w:val="bottom"/>
            <w:shd w:val="clear" w:color="auto" w:fill="EAF9E8"/>
          </w:tcPr>
          <w:p>
            <w:pPr>
              <w:spacing w:after="0"/>
              <w:rPr>
                <w:sz w:val="20"/>
                <w:szCs w:val="20"/>
                <w:color w:val="auto"/>
              </w:rPr>
            </w:pPr>
            <w:r>
              <w:rPr>
                <w:rFonts w:ascii="Arial" w:cs="Arial" w:eastAsia="Arial" w:hAnsi="Arial"/>
                <w:sz w:val="18"/>
                <w:szCs w:val="18"/>
                <w:color w:val="auto"/>
              </w:rPr>
              <w:t>2015</w:t>
            </w:r>
          </w:p>
        </w:tc>
        <w:tc>
          <w:tcPr>
            <w:tcW w:w="25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6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48</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595</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Thereafter</w:t>
            </w:r>
          </w:p>
        </w:tc>
        <w:tc>
          <w:tcPr>
            <w:tcW w:w="2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1,605</w:t>
            </w: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5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Total minimum lease payments</w:t>
            </w:r>
          </w:p>
        </w:tc>
        <w:tc>
          <w:tcPr>
            <w:tcW w:w="2500" w:type="dxa"/>
            <w:vAlign w:val="bottom"/>
            <w:shd w:val="clear" w:color="auto" w:fill="EAF9E8"/>
          </w:tcPr>
          <w:p>
            <w:pPr>
              <w:spacing w:after="0"/>
              <w:rPr>
                <w:sz w:val="22"/>
                <w:szCs w:val="22"/>
                <w:color w:val="auto"/>
              </w:rPr>
            </w:pPr>
          </w:p>
        </w:tc>
        <w:tc>
          <w:tcPr>
            <w:tcW w:w="920" w:type="dxa"/>
            <w:vAlign w:val="bottom"/>
            <w:shd w:val="clear" w:color="auto" w:fill="EAF9E8"/>
          </w:tcPr>
          <w:p>
            <w:pPr>
              <w:spacing w:after="0"/>
              <w:rPr>
                <w:sz w:val="22"/>
                <w:szCs w:val="22"/>
                <w:color w:val="auto"/>
              </w:rPr>
            </w:pPr>
          </w:p>
        </w:tc>
        <w:tc>
          <w:tcPr>
            <w:tcW w:w="6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692</w:t>
            </w:r>
          </w:p>
        </w:tc>
        <w:tc>
          <w:tcPr>
            <w:tcW w:w="3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18,080</w:t>
            </w:r>
          </w:p>
        </w:tc>
      </w:tr>
      <w:tr>
        <w:trPr>
          <w:trHeight w:val="210"/>
        </w:trPr>
        <w:tc>
          <w:tcPr>
            <w:tcW w:w="20" w:type="dxa"/>
            <w:vAlign w:val="bottom"/>
          </w:tcPr>
          <w:p>
            <w:pPr>
              <w:spacing w:after="0"/>
              <w:rPr>
                <w:sz w:val="18"/>
                <w:szCs w:val="18"/>
                <w:color w:val="auto"/>
              </w:rPr>
            </w:pPr>
          </w:p>
        </w:tc>
        <w:tc>
          <w:tcPr>
            <w:tcW w:w="5840" w:type="dxa"/>
            <w:vAlign w:val="bottom"/>
            <w:tcBorders>
              <w:top w:val="single" w:sz="8" w:color="EAF9E8"/>
            </w:tcBorders>
          </w:tcPr>
          <w:p>
            <w:pPr>
              <w:ind w:left="160"/>
              <w:spacing w:after="0"/>
              <w:rPr>
                <w:sz w:val="20"/>
                <w:szCs w:val="20"/>
                <w:color w:val="auto"/>
              </w:rPr>
            </w:pPr>
            <w:r>
              <w:rPr>
                <w:rFonts w:ascii="Arial" w:cs="Arial" w:eastAsia="Arial" w:hAnsi="Arial"/>
                <w:sz w:val="18"/>
                <w:szCs w:val="18"/>
                <w:color w:val="auto"/>
              </w:rPr>
              <w:t>Amount representing interest</w:t>
            </w:r>
          </w:p>
        </w:tc>
        <w:tc>
          <w:tcPr>
            <w:tcW w:w="2500" w:type="dxa"/>
            <w:vAlign w:val="bottom"/>
            <w:tcBorders>
              <w:top w:val="single" w:sz="8" w:color="EAF9E8"/>
            </w:tcBorders>
          </w:tcPr>
          <w:p>
            <w:pPr>
              <w:spacing w:after="0"/>
              <w:rPr>
                <w:sz w:val="18"/>
                <w:szCs w:val="18"/>
                <w:color w:val="auto"/>
              </w:rPr>
            </w:pPr>
          </w:p>
        </w:tc>
        <w:tc>
          <w:tcPr>
            <w:tcW w:w="920" w:type="dxa"/>
            <w:vAlign w:val="bottom"/>
            <w:tcBorders>
              <w:top w:val="single" w:sz="8" w:color="EAF9E8"/>
            </w:tcBorders>
          </w:tcPr>
          <w:p>
            <w:pPr>
              <w:spacing w:after="0"/>
              <w:rPr>
                <w:sz w:val="18"/>
                <w:szCs w:val="18"/>
                <w:color w:val="auto"/>
              </w:rPr>
            </w:pPr>
          </w:p>
        </w:tc>
        <w:tc>
          <w:tcPr>
            <w:tcW w:w="600" w:type="dxa"/>
            <w:vAlign w:val="bottom"/>
            <w:tcBorders>
              <w:top w:val="single" w:sz="8" w:color="EAF9E8"/>
            </w:tcBorders>
            <w:gridSpan w:val="2"/>
          </w:tcPr>
          <w:p>
            <w:pPr>
              <w:jc w:val="right"/>
              <w:ind w:right="200"/>
              <w:spacing w:after="0"/>
              <w:rPr>
                <w:sz w:val="20"/>
                <w:szCs w:val="20"/>
                <w:color w:val="auto"/>
              </w:rPr>
            </w:pPr>
            <w:r>
              <w:rPr>
                <w:rFonts w:ascii="Arial" w:cs="Arial" w:eastAsia="Arial" w:hAnsi="Arial"/>
                <w:sz w:val="18"/>
                <w:szCs w:val="18"/>
                <w:color w:val="auto"/>
                <w:w w:val="90"/>
              </w:rPr>
              <w:t>(167)</w:t>
            </w:r>
          </w:p>
        </w:tc>
        <w:tc>
          <w:tcPr>
            <w:tcW w:w="18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8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Present value of minimum lease payments</w:t>
            </w:r>
          </w:p>
        </w:tc>
        <w:tc>
          <w:tcPr>
            <w:tcW w:w="3420" w:type="dxa"/>
            <w:vAlign w:val="bottom"/>
            <w:gridSpan w:val="2"/>
            <w:shd w:val="clear" w:color="auto" w:fill="EAF9E8"/>
          </w:tcPr>
          <w:p>
            <w:pPr>
              <w:jc w:val="right"/>
              <w:ind w:right="75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525</w:t>
            </w:r>
          </w:p>
        </w:tc>
        <w:tc>
          <w:tcPr>
            <w:tcW w:w="18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08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Borders>
              <w:top w:val="single" w:sz="8" w:color="EAF9E8"/>
            </w:tcBorders>
            <w:shd w:val="clear" w:color="auto" w:fill="EAF9E8"/>
          </w:tcPr>
          <w:p>
            <w:pPr>
              <w:spacing w:after="0" w:line="20" w:lineRule="exact"/>
              <w:rPr>
                <w:sz w:val="1"/>
                <w:szCs w:val="1"/>
                <w:color w:val="auto"/>
              </w:rPr>
            </w:pPr>
          </w:p>
        </w:tc>
        <w:tc>
          <w:tcPr>
            <w:tcW w:w="2500" w:type="dxa"/>
            <w:vAlign w:val="bottom"/>
            <w:tcBorders>
              <w:top w:val="single" w:sz="8" w:color="EAF9E8"/>
            </w:tcBorders>
            <w:shd w:val="clear" w:color="auto" w:fill="EAF9E8"/>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108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02" w:lineRule="exact"/>
        <w:rPr>
          <w:sz w:val="20"/>
          <w:szCs w:val="20"/>
          <w:color w:val="auto"/>
        </w:rPr>
      </w:pPr>
    </w:p>
    <w:p>
      <w:pPr>
        <w:jc w:val="both"/>
        <w:ind w:right="80" w:firstLine="656"/>
        <w:spacing w:after="0" w:line="257" w:lineRule="auto"/>
        <w:rPr>
          <w:sz w:val="20"/>
          <w:szCs w:val="20"/>
          <w:color w:val="auto"/>
        </w:rPr>
      </w:pPr>
      <w:r>
        <w:rPr>
          <w:rFonts w:ascii="Arial" w:cs="Arial" w:eastAsia="Arial" w:hAnsi="Arial"/>
          <w:sz w:val="18"/>
          <w:szCs w:val="18"/>
          <w:color w:val="auto"/>
        </w:rPr>
        <w:t>As disclosed in Note 11, in connection with the HomEq Acquisition we assumed the obligation for the lease agreements associated with the former HomEq facilities located in Raleigh, North Carolina and Sacramento, California. Although these agreements expire in 2017 and 2018, respectively, we have exercised our option to terminate the leases effective in 2013. The rental commitments in the table above for operating leases include the remaining monthly payments and the early termination penalties due through the early termination dates in 2013 for these leases. These amounts total $2,605, $2,668 and $3,579 for 2011, 2012 and 2013, respectively .</w:t>
      </w:r>
    </w:p>
    <w:p>
      <w:pPr>
        <w:spacing w:after="0" w:line="188" w:lineRule="exact"/>
        <w:rPr>
          <w:sz w:val="20"/>
          <w:szCs w:val="20"/>
          <w:color w:val="auto"/>
        </w:rPr>
      </w:pPr>
    </w:p>
    <w:p>
      <w:pPr>
        <w:ind w:right="140" w:firstLine="666"/>
        <w:spacing w:after="0" w:line="264" w:lineRule="auto"/>
        <w:rPr>
          <w:sz w:val="20"/>
          <w:szCs w:val="20"/>
          <w:color w:val="auto"/>
        </w:rPr>
      </w:pPr>
      <w:r>
        <w:rPr>
          <w:rFonts w:ascii="Arial" w:cs="Arial" w:eastAsia="Arial" w:hAnsi="Arial"/>
          <w:sz w:val="18"/>
          <w:szCs w:val="18"/>
          <w:color w:val="auto"/>
        </w:rPr>
        <w:t>In December 2010, we entered into an agreement with Altisource to sublease of 2,094 square feet of space as our principal executive office in Atlanta, Georgia. Under the terms of the agreement, Ocwen is responsible for monthly base rent of $3 plus a proportionate amount of maintenance costs and other shared services. The sublease is in effect through October 2014.</w:t>
      </w:r>
    </w:p>
    <w:p>
      <w:pPr>
        <w:spacing w:after="0" w:line="181" w:lineRule="exact"/>
        <w:rPr>
          <w:sz w:val="20"/>
          <w:szCs w:val="20"/>
          <w:color w:val="auto"/>
        </w:rPr>
      </w:pPr>
    </w:p>
    <w:p>
      <w:pPr>
        <w:ind w:right="160" w:firstLine="663"/>
        <w:spacing w:after="0" w:line="277" w:lineRule="auto"/>
        <w:rPr>
          <w:sz w:val="20"/>
          <w:szCs w:val="20"/>
          <w:color w:val="auto"/>
        </w:rPr>
      </w:pPr>
      <w:r>
        <w:rPr>
          <w:rFonts w:ascii="Arial" w:cs="Arial" w:eastAsia="Arial" w:hAnsi="Arial"/>
          <w:sz w:val="18"/>
          <w:szCs w:val="18"/>
          <w:color w:val="auto"/>
        </w:rPr>
        <w:t>We converted rental commitments for our facilities outside the United States of America to U.S. dollars using exchange rates in effect at December 31, 2010. Rent expense for 2010, 2009 and 2008 was $12,315, $6,156 and $7,815, respectively.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4"/>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NOTE 33</w:t>
            </w:r>
          </w:p>
        </w:tc>
        <w:tc>
          <w:tcPr>
            <w:tcW w:w="494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QUARTERLY RESULTS OF OPERATIONS (UNAUDITED)</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Quarters Ended</w:t>
            </w: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560"/>
              <w:spacing w:after="0" w:line="198" w:lineRule="exact"/>
              <w:rPr>
                <w:sz w:val="20"/>
                <w:szCs w:val="20"/>
                <w:color w:val="auto"/>
              </w:rPr>
            </w:pPr>
            <w:r>
              <w:rPr>
                <w:rFonts w:ascii="Arial" w:cs="Arial" w:eastAsia="Arial" w:hAnsi="Arial"/>
                <w:sz w:val="18"/>
                <w:szCs w:val="18"/>
                <w:b w:val="1"/>
                <w:bCs w:val="1"/>
                <w:color w:val="auto"/>
                <w:w w:val="93"/>
              </w:rPr>
              <w:t>December 31,</w:t>
            </w:r>
          </w:p>
        </w:tc>
        <w:tc>
          <w:tcPr>
            <w:tcW w:w="160" w:type="dxa"/>
            <w:vAlign w:val="bottom"/>
          </w:tcPr>
          <w:p>
            <w:pPr>
              <w:spacing w:after="0"/>
              <w:rPr>
                <w:sz w:val="17"/>
                <w:szCs w:val="17"/>
                <w:color w:val="auto"/>
              </w:rPr>
            </w:pPr>
          </w:p>
        </w:tc>
        <w:tc>
          <w:tcPr>
            <w:tcW w:w="1540" w:type="dxa"/>
            <w:vAlign w:val="bottom"/>
            <w:gridSpan w:val="2"/>
          </w:tcPr>
          <w:p>
            <w:pPr>
              <w:jc w:val="right"/>
              <w:ind w:right="400"/>
              <w:spacing w:after="0" w:line="198" w:lineRule="exact"/>
              <w:rPr>
                <w:sz w:val="20"/>
                <w:szCs w:val="20"/>
                <w:color w:val="auto"/>
              </w:rPr>
            </w:pPr>
            <w:r>
              <w:rPr>
                <w:rFonts w:ascii="Arial" w:cs="Arial" w:eastAsia="Arial" w:hAnsi="Arial"/>
                <w:sz w:val="18"/>
                <w:szCs w:val="18"/>
                <w:b w:val="1"/>
                <w:bCs w:val="1"/>
                <w:color w:val="auto"/>
                <w:w w:val="90"/>
              </w:rPr>
              <w:t>September 30,</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gridSpan w:val="2"/>
          </w:tcPr>
          <w:p>
            <w:pPr>
              <w:jc w:val="right"/>
              <w:ind w:right="600"/>
              <w:spacing w:after="0" w:line="198" w:lineRule="exact"/>
              <w:rPr>
                <w:sz w:val="20"/>
                <w:szCs w:val="20"/>
                <w:color w:val="auto"/>
              </w:rPr>
            </w:pPr>
            <w:r>
              <w:rPr>
                <w:rFonts w:ascii="Arial" w:cs="Arial" w:eastAsia="Arial" w:hAnsi="Arial"/>
                <w:sz w:val="18"/>
                <w:szCs w:val="18"/>
                <w:b w:val="1"/>
                <w:bCs w:val="1"/>
                <w:color w:val="auto"/>
                <w:w w:val="85"/>
              </w:rPr>
              <w:t>June 30,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270"/>
              <w:spacing w:after="0" w:line="198" w:lineRule="exact"/>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EAF9E8"/>
          </w:tcPr>
          <w:p>
            <w:pPr>
              <w:spacing w:after="0"/>
              <w:rPr>
                <w:sz w:val="20"/>
                <w:szCs w:val="20"/>
                <w:color w:val="auto"/>
              </w:rPr>
            </w:pPr>
            <w:r>
              <w:rPr>
                <w:rFonts w:ascii="Arial" w:cs="Arial" w:eastAsia="Arial" w:hAnsi="Arial"/>
                <w:sz w:val="18"/>
                <w:szCs w:val="18"/>
                <w:color w:val="auto"/>
              </w:rPr>
              <w:t>Revenue</w:t>
            </w:r>
          </w:p>
        </w:tc>
        <w:tc>
          <w:tcPr>
            <w:tcW w:w="3100" w:type="dxa"/>
            <w:vAlign w:val="bottom"/>
            <w:shd w:val="clear" w:color="auto" w:fill="EAF9E8"/>
          </w:tcPr>
          <w:p>
            <w:pPr>
              <w:spacing w:after="0"/>
              <w:rPr>
                <w:sz w:val="18"/>
                <w:szCs w:val="18"/>
                <w:color w:val="auto"/>
              </w:rPr>
            </w:pPr>
          </w:p>
        </w:tc>
        <w:tc>
          <w:tcPr>
            <w:tcW w:w="160" w:type="dxa"/>
            <w:vAlign w:val="bottom"/>
            <w:shd w:val="clear" w:color="auto" w:fill="EAF9E8"/>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113,273</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95,569</w:t>
            </w:r>
          </w:p>
        </w:tc>
        <w:tc>
          <w:tcPr>
            <w:tcW w:w="5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75,953</w:t>
            </w:r>
          </w:p>
        </w:tc>
        <w:tc>
          <w:tcPr>
            <w:tcW w:w="3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75,586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Operating expenses (1)(2)</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63,265</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93,374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44,658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35,177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top w:val="single" w:sz="8" w:color="auto"/>
            </w:tcBorders>
            <w:shd w:val="clear" w:color="auto" w:fill="EAF9E8"/>
          </w:tcPr>
          <w:p>
            <w:pPr>
              <w:spacing w:after="0"/>
              <w:rPr>
                <w:sz w:val="18"/>
                <w:szCs w:val="18"/>
                <w:color w:val="auto"/>
              </w:rPr>
            </w:pPr>
          </w:p>
        </w:tc>
        <w:tc>
          <w:tcPr>
            <w:tcW w:w="13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50,008</w:t>
            </w:r>
          </w:p>
        </w:tc>
        <w:tc>
          <w:tcPr>
            <w:tcW w:w="34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13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2,195</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20" w:type="dxa"/>
            <w:vAlign w:val="bottom"/>
            <w:tcBorders>
              <w:top w:val="single" w:sz="8" w:color="auto"/>
            </w:tcBorders>
            <w:shd w:val="clear" w:color="auto" w:fill="EAF9E8"/>
          </w:tcPr>
          <w:p>
            <w:pPr>
              <w:spacing w:after="0"/>
              <w:rPr>
                <w:sz w:val="18"/>
                <w:szCs w:val="18"/>
                <w:color w:val="auto"/>
              </w:rPr>
            </w:pPr>
          </w:p>
        </w:tc>
        <w:tc>
          <w:tcPr>
            <w:tcW w:w="10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31,295</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12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40,409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Other expense</w:t>
            </w:r>
          </w:p>
        </w:tc>
        <w:tc>
          <w:tcPr>
            <w:tcW w:w="3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(34,849)</w:t>
            </w:r>
          </w:p>
        </w:tc>
        <w:tc>
          <w:tcPr>
            <w:tcW w:w="16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(22,907)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(18,033)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(8,964)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gridSpan w:val="2"/>
            <w:shd w:val="clear" w:color="auto" w:fill="EAF9E8"/>
          </w:tcPr>
          <w:p>
            <w:pPr>
              <w:spacing w:after="0" w:line="201" w:lineRule="exact"/>
              <w:rPr>
                <w:sz w:val="20"/>
                <w:szCs w:val="20"/>
                <w:color w:val="auto"/>
              </w:rPr>
            </w:pPr>
            <w:r>
              <w:rPr>
                <w:rFonts w:ascii="Arial" w:cs="Arial" w:eastAsia="Arial" w:hAnsi="Arial"/>
                <w:sz w:val="18"/>
                <w:szCs w:val="18"/>
                <w:color w:val="auto"/>
              </w:rPr>
              <w:t>Income (loss) from continuing operations before</w:t>
            </w:r>
          </w:p>
        </w:tc>
        <w:tc>
          <w:tcPr>
            <w:tcW w:w="160" w:type="dxa"/>
            <w:vAlign w:val="bottom"/>
            <w:tcBorders>
              <w:top w:val="single" w:sz="8" w:color="auto"/>
            </w:tcBorders>
            <w:shd w:val="clear" w:color="auto" w:fill="EAF9E8"/>
          </w:tcPr>
          <w:p>
            <w:pPr>
              <w:spacing w:after="0"/>
              <w:rPr>
                <w:sz w:val="17"/>
                <w:szCs w:val="17"/>
                <w:color w:val="auto"/>
              </w:rPr>
            </w:pPr>
          </w:p>
        </w:tc>
        <w:tc>
          <w:tcPr>
            <w:tcW w:w="1340" w:type="dxa"/>
            <w:vAlign w:val="bottom"/>
            <w:tcBorders>
              <w:top w:val="single" w:sz="8" w:color="auto"/>
            </w:tcBorders>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60" w:type="dxa"/>
            <w:vAlign w:val="bottom"/>
            <w:tcBorders>
              <w:top w:val="single" w:sz="8" w:color="auto"/>
            </w:tcBorders>
            <w:shd w:val="clear" w:color="auto" w:fill="EAF9E8"/>
          </w:tcPr>
          <w:p>
            <w:pPr>
              <w:spacing w:after="0"/>
              <w:rPr>
                <w:sz w:val="17"/>
                <w:szCs w:val="17"/>
                <w:color w:val="auto"/>
              </w:rPr>
            </w:pPr>
          </w:p>
        </w:tc>
        <w:tc>
          <w:tcPr>
            <w:tcW w:w="1340" w:type="dxa"/>
            <w:vAlign w:val="bottom"/>
            <w:tcBorders>
              <w:top w:val="single" w:sz="8" w:color="auto"/>
            </w:tcBorders>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420" w:type="dxa"/>
            <w:vAlign w:val="bottom"/>
            <w:tcBorders>
              <w:top w:val="single" w:sz="8" w:color="auto"/>
            </w:tcBorders>
            <w:shd w:val="clear" w:color="auto" w:fill="EAF9E8"/>
          </w:tcPr>
          <w:p>
            <w:pPr>
              <w:spacing w:after="0"/>
              <w:rPr>
                <w:sz w:val="17"/>
                <w:szCs w:val="17"/>
                <w:color w:val="auto"/>
              </w:rPr>
            </w:pPr>
          </w:p>
        </w:tc>
        <w:tc>
          <w:tcPr>
            <w:tcW w:w="1060" w:type="dxa"/>
            <w:vAlign w:val="bottom"/>
            <w:tcBorders>
              <w:top w:val="single" w:sz="8" w:color="auto"/>
            </w:tcBorders>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220" w:type="dxa"/>
            <w:vAlign w:val="bottom"/>
            <w:tcBorders>
              <w:top w:val="single" w:sz="8" w:color="auto"/>
            </w:tcBorders>
            <w:shd w:val="clear" w:color="auto" w:fill="EAF9E8"/>
          </w:tcPr>
          <w:p>
            <w:pPr>
              <w:spacing w:after="0"/>
              <w:rPr>
                <w:sz w:val="17"/>
                <w:szCs w:val="17"/>
                <w:color w:val="auto"/>
              </w:rPr>
            </w:pPr>
          </w:p>
        </w:tc>
        <w:tc>
          <w:tcPr>
            <w:tcW w:w="1260" w:type="dxa"/>
            <w:vAlign w:val="bottom"/>
            <w:tcBorders>
              <w:top w:val="single" w:sz="8" w:color="auto"/>
            </w:tcBorders>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9"/>
              </w:rPr>
              <w:t>income taxes</w:t>
            </w:r>
          </w:p>
        </w:tc>
        <w:tc>
          <w:tcPr>
            <w:tcW w:w="310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6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15,159</w:t>
            </w:r>
          </w:p>
        </w:tc>
        <w:tc>
          <w:tcPr>
            <w:tcW w:w="160" w:type="dxa"/>
            <w:vAlign w:val="bottom"/>
            <w:shd w:val="clear" w:color="auto" w:fill="EAF9E8"/>
          </w:tcPr>
          <w:p>
            <w:pPr>
              <w:spacing w:after="0"/>
              <w:rPr>
                <w:sz w:val="20"/>
                <w:szCs w:val="20"/>
                <w:color w:val="auto"/>
              </w:rPr>
            </w:pPr>
          </w:p>
        </w:tc>
        <w:tc>
          <w:tcPr>
            <w:tcW w:w="15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(20,712)</w:t>
            </w:r>
          </w:p>
        </w:tc>
        <w:tc>
          <w:tcPr>
            <w:tcW w:w="140" w:type="dxa"/>
            <w:vAlign w:val="bottom"/>
            <w:shd w:val="clear" w:color="auto" w:fill="EAF9E8"/>
          </w:tcPr>
          <w:p>
            <w:pPr>
              <w:spacing w:after="0"/>
              <w:rPr>
                <w:sz w:val="20"/>
                <w:szCs w:val="20"/>
                <w:color w:val="auto"/>
              </w:rPr>
            </w:pPr>
          </w:p>
        </w:tc>
        <w:tc>
          <w:tcPr>
            <w:tcW w:w="420" w:type="dxa"/>
            <w:vAlign w:val="bottom"/>
            <w:shd w:val="clear" w:color="auto" w:fill="EAF9E8"/>
          </w:tcPr>
          <w:p>
            <w:pPr>
              <w:spacing w:after="0"/>
              <w:rPr>
                <w:sz w:val="20"/>
                <w:szCs w:val="20"/>
                <w:color w:val="auto"/>
              </w:rPr>
            </w:pP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13,262</w:t>
            </w:r>
          </w:p>
        </w:tc>
        <w:tc>
          <w:tcPr>
            <w:tcW w:w="14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3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31,445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5,235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(7,487)</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(2,777)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10,574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160" w:type="dxa"/>
            <w:vAlign w:val="bottom"/>
            <w:shd w:val="clear" w:color="auto" w:fill="EAF9E8"/>
          </w:tcPr>
          <w:p>
            <w:pPr>
              <w:spacing w:after="0"/>
              <w:rPr>
                <w:sz w:val="18"/>
                <w:szCs w:val="18"/>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9,924</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5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(13,225)</w:t>
            </w:r>
          </w:p>
        </w:tc>
        <w:tc>
          <w:tcPr>
            <w:tcW w:w="14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16,039</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20,871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Income from discontinued operations, net of taxes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EAF9E8"/>
          </w:tcPr>
          <w:p>
            <w:pPr>
              <w:spacing w:after="0"/>
              <w:rPr>
                <w:sz w:val="18"/>
                <w:szCs w:val="18"/>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9,924</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5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(8,842)</w:t>
            </w:r>
          </w:p>
        </w:tc>
        <w:tc>
          <w:tcPr>
            <w:tcW w:w="14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16,039</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20,871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gridSpan w:val="2"/>
          </w:tcPr>
          <w:p>
            <w:pPr>
              <w:spacing w:after="0" w:line="201" w:lineRule="exact"/>
              <w:rPr>
                <w:sz w:val="20"/>
                <w:szCs w:val="20"/>
                <w:color w:val="auto"/>
              </w:rPr>
            </w:pPr>
            <w:r>
              <w:rPr>
                <w:rFonts w:ascii="Arial" w:cs="Arial" w:eastAsia="Arial" w:hAnsi="Arial"/>
                <w:sz w:val="18"/>
                <w:szCs w:val="18"/>
                <w:color w:val="auto"/>
              </w:rPr>
              <w:t>Net loss (income) attributable to non-controlling</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tcPr>
          <w:p>
            <w:pPr>
              <w:ind w:left="160"/>
              <w:spacing w:after="0"/>
              <w:rPr>
                <w:sz w:val="20"/>
                <w:szCs w:val="20"/>
                <w:color w:val="auto"/>
              </w:rPr>
            </w:pPr>
            <w:r>
              <w:rPr>
                <w:rFonts w:ascii="Arial" w:cs="Arial" w:eastAsia="Arial" w:hAnsi="Arial"/>
                <w:sz w:val="18"/>
                <w:szCs w:val="18"/>
                <w:color w:val="auto"/>
              </w:rPr>
              <w:t>interests</w:t>
            </w:r>
          </w:p>
        </w:tc>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34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Net income (loss) attributable to OCN</w:t>
            </w:r>
          </w:p>
        </w:tc>
        <w:tc>
          <w:tcPr>
            <w:tcW w:w="160" w:type="dxa"/>
            <w:vAlign w:val="bottom"/>
            <w:shd w:val="clear" w:color="auto" w:fill="EAF9E8"/>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9,921</w:t>
            </w:r>
          </w:p>
        </w:tc>
        <w:tc>
          <w:tcPr>
            <w:tcW w:w="340" w:type="dxa"/>
            <w:vAlign w:val="bottom"/>
            <w:shd w:val="clear" w:color="auto" w:fill="EAF9E8"/>
          </w:tcPr>
          <w:p>
            <w:pPr>
              <w:spacing w:after="0"/>
              <w:rPr>
                <w:sz w:val="22"/>
                <w:szCs w:val="22"/>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(8,835)</w:t>
            </w:r>
          </w:p>
        </w:tc>
        <w:tc>
          <w:tcPr>
            <w:tcW w:w="5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16,038</w:t>
            </w:r>
          </w:p>
        </w:tc>
        <w:tc>
          <w:tcPr>
            <w:tcW w:w="3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20,860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Borders>
              <w:top w:val="single" w:sz="8" w:color="EAF9E8"/>
            </w:tcBorders>
            <w:gridSpan w:val="2"/>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40" w:type="dxa"/>
            <w:vAlign w:val="bottom"/>
            <w:tcBorders>
              <w:top w:val="single" w:sz="8" w:color="EAF9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Basic earnings per share:</w:t>
            </w:r>
          </w:p>
        </w:tc>
        <w:tc>
          <w:tcPr>
            <w:tcW w:w="16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160"/>
              <w:spacing w:after="0"/>
              <w:rPr>
                <w:sz w:val="20"/>
                <w:szCs w:val="20"/>
                <w:color w:val="auto"/>
              </w:rPr>
            </w:pPr>
            <w:r>
              <w:rPr>
                <w:rFonts w:ascii="Arial" w:cs="Arial" w:eastAsia="Arial" w:hAnsi="Arial"/>
                <w:sz w:val="18"/>
                <w:szCs w:val="18"/>
                <w:color w:val="auto"/>
              </w:rPr>
              <w:t>Income (loss)from continuing operations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0.10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(0.13)</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0.16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Income from discontinued operations</w:t>
            </w:r>
          </w:p>
        </w:tc>
        <w:tc>
          <w:tcPr>
            <w:tcW w:w="160" w:type="dxa"/>
            <w:vAlign w:val="bottom"/>
            <w:shd w:val="clear" w:color="auto" w:fill="EAF9E8"/>
          </w:tcPr>
          <w:p>
            <w:pPr>
              <w:spacing w:after="0"/>
              <w:rPr>
                <w:sz w:val="18"/>
                <w:szCs w:val="18"/>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5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3100" w:type="dxa"/>
            <w:vAlign w:val="bottom"/>
            <w:shd w:val="clear" w:color="auto" w:fill="EAF9E8"/>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160"/>
              <w:spacing w:after="0"/>
              <w:rPr>
                <w:sz w:val="20"/>
                <w:szCs w:val="20"/>
                <w:color w:val="auto"/>
              </w:rPr>
            </w:pPr>
            <w:r>
              <w:rPr>
                <w:rFonts w:ascii="Arial" w:cs="Arial" w:eastAsia="Arial" w:hAnsi="Arial"/>
                <w:sz w:val="18"/>
                <w:szCs w:val="18"/>
                <w:color w:val="auto"/>
              </w:rPr>
              <w:t>Net income (loss) attributable to OCN</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0.10</w:t>
            </w: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0.16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gridSpan w:val="2"/>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160" w:type="dxa"/>
            <w:vAlign w:val="bottom"/>
            <w:shd w:val="clear" w:color="auto" w:fill="EAF9E8"/>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0.09</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(0.13)</w:t>
            </w:r>
          </w:p>
        </w:tc>
        <w:tc>
          <w:tcPr>
            <w:tcW w:w="5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0.15</w:t>
            </w:r>
          </w:p>
        </w:tc>
        <w:tc>
          <w:tcPr>
            <w:tcW w:w="3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160"/>
              <w:spacing w:after="0"/>
              <w:rPr>
                <w:sz w:val="20"/>
                <w:szCs w:val="20"/>
                <w:color w:val="auto"/>
              </w:rPr>
            </w:pPr>
            <w:r>
              <w:rPr>
                <w:rFonts w:ascii="Arial" w:cs="Arial" w:eastAsia="Arial" w:hAnsi="Arial"/>
                <w:sz w:val="18"/>
                <w:szCs w:val="18"/>
                <w:color w:val="auto"/>
              </w:rPr>
              <w:t>Income from discontinued operations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Net income (loss) attributable to OCN</w:t>
            </w:r>
          </w:p>
        </w:tc>
        <w:tc>
          <w:tcPr>
            <w:tcW w:w="160" w:type="dxa"/>
            <w:vAlign w:val="bottom"/>
            <w:shd w:val="clear" w:color="auto" w:fill="EAF9E8"/>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0.09</w:t>
            </w:r>
          </w:p>
        </w:tc>
        <w:tc>
          <w:tcPr>
            <w:tcW w:w="340" w:type="dxa"/>
            <w:vAlign w:val="bottom"/>
            <w:shd w:val="clear" w:color="auto" w:fill="EAF9E8"/>
          </w:tcPr>
          <w:p>
            <w:pPr>
              <w:spacing w:after="0"/>
              <w:rPr>
                <w:sz w:val="20"/>
                <w:szCs w:val="20"/>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(0.09)</w:t>
            </w:r>
          </w:p>
        </w:tc>
        <w:tc>
          <w:tcPr>
            <w:tcW w:w="5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0.15</w:t>
            </w:r>
          </w:p>
        </w:tc>
        <w:tc>
          <w:tcPr>
            <w:tcW w:w="3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EAF9E8"/>
            </w:tcBorders>
            <w:shd w:val="clear" w:color="auto" w:fill="EAF9E8"/>
          </w:tcPr>
          <w:p>
            <w:pPr>
              <w:spacing w:after="0" w:line="20" w:lineRule="exact"/>
              <w:rPr>
                <w:sz w:val="1"/>
                <w:szCs w:val="1"/>
                <w:color w:val="auto"/>
              </w:rPr>
            </w:pPr>
          </w:p>
        </w:tc>
        <w:tc>
          <w:tcPr>
            <w:tcW w:w="310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right="20" w:hanging="572"/>
        <w:spacing w:after="0" w:line="277" w:lineRule="auto"/>
        <w:tabs>
          <w:tab w:leader="none" w:pos="5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As a result of the HomEq Acquisition, we incurred non-recurring costs of $52,603 during 2010, including $1,250, $33,901 and $17,452 in the second, third and fourth quarters, respectively. See Note 2 for additional information on the HomEq Acquisition.</w:t>
      </w:r>
    </w:p>
    <w:p>
      <w:pPr>
        <w:spacing w:after="0" w:line="170" w:lineRule="exact"/>
        <w:rPr>
          <w:rFonts w:ascii="Arial" w:cs="Arial" w:eastAsia="Arial" w:hAnsi="Arial"/>
          <w:sz w:val="18"/>
          <w:szCs w:val="18"/>
          <w:color w:val="auto"/>
        </w:rPr>
      </w:pPr>
    </w:p>
    <w:p>
      <w:pPr>
        <w:ind w:left="580" w:right="280" w:hanging="572"/>
        <w:spacing w:after="0" w:line="277" w:lineRule="auto"/>
        <w:tabs>
          <w:tab w:leader="none" w:pos="5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connection with litigation matters, we established $24,166 of additional reserves in 2010, including $5,163 in the second quarter, $18,413 in the third quarter and $590 in the fourth quarter. See Note 32 for additional information on litigation.</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Quarters Ended</w:t>
            </w: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560"/>
              <w:spacing w:after="0" w:line="198" w:lineRule="exact"/>
              <w:rPr>
                <w:sz w:val="20"/>
                <w:szCs w:val="20"/>
                <w:color w:val="auto"/>
              </w:rPr>
            </w:pPr>
            <w:r>
              <w:rPr>
                <w:rFonts w:ascii="Arial" w:cs="Arial" w:eastAsia="Arial" w:hAnsi="Arial"/>
                <w:sz w:val="18"/>
                <w:szCs w:val="18"/>
                <w:b w:val="1"/>
                <w:bCs w:val="1"/>
                <w:color w:val="auto"/>
                <w:w w:val="93"/>
              </w:rPr>
              <w:t>December 31,</w:t>
            </w:r>
          </w:p>
        </w:tc>
        <w:tc>
          <w:tcPr>
            <w:tcW w:w="160" w:type="dxa"/>
            <w:vAlign w:val="bottom"/>
          </w:tcPr>
          <w:p>
            <w:pPr>
              <w:spacing w:after="0"/>
              <w:rPr>
                <w:sz w:val="17"/>
                <w:szCs w:val="17"/>
                <w:color w:val="auto"/>
              </w:rPr>
            </w:pPr>
          </w:p>
        </w:tc>
        <w:tc>
          <w:tcPr>
            <w:tcW w:w="1540" w:type="dxa"/>
            <w:vAlign w:val="bottom"/>
            <w:gridSpan w:val="2"/>
          </w:tcPr>
          <w:p>
            <w:pPr>
              <w:jc w:val="right"/>
              <w:ind w:right="400"/>
              <w:spacing w:after="0" w:line="198" w:lineRule="exact"/>
              <w:rPr>
                <w:sz w:val="20"/>
                <w:szCs w:val="20"/>
                <w:color w:val="auto"/>
              </w:rPr>
            </w:pPr>
            <w:r>
              <w:rPr>
                <w:rFonts w:ascii="Arial" w:cs="Arial" w:eastAsia="Arial" w:hAnsi="Arial"/>
                <w:sz w:val="18"/>
                <w:szCs w:val="18"/>
                <w:b w:val="1"/>
                <w:bCs w:val="1"/>
                <w:color w:val="auto"/>
                <w:w w:val="90"/>
              </w:rPr>
              <w:t>September 30,</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gridSpan w:val="2"/>
          </w:tcPr>
          <w:p>
            <w:pPr>
              <w:jc w:val="right"/>
              <w:ind w:right="600"/>
              <w:spacing w:after="0" w:line="198" w:lineRule="exact"/>
              <w:rPr>
                <w:sz w:val="20"/>
                <w:szCs w:val="20"/>
                <w:color w:val="auto"/>
              </w:rPr>
            </w:pPr>
            <w:r>
              <w:rPr>
                <w:rFonts w:ascii="Arial" w:cs="Arial" w:eastAsia="Arial" w:hAnsi="Arial"/>
                <w:sz w:val="18"/>
                <w:szCs w:val="18"/>
                <w:b w:val="1"/>
                <w:bCs w:val="1"/>
                <w:color w:val="auto"/>
                <w:w w:val="85"/>
              </w:rPr>
              <w:t>June 30,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270"/>
              <w:spacing w:after="0" w:line="198" w:lineRule="exact"/>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8"/>
                <w:szCs w:val="18"/>
                <w:color w:val="auto"/>
              </w:rPr>
              <w:t>Revenue (1)</w:t>
            </w:r>
          </w:p>
        </w:tc>
        <w:tc>
          <w:tcPr>
            <w:tcW w:w="160" w:type="dxa"/>
            <w:vAlign w:val="bottom"/>
            <w:shd w:val="clear" w:color="auto" w:fill="EAF9E8"/>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72,748</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84,211</w:t>
            </w:r>
          </w:p>
        </w:tc>
        <w:tc>
          <w:tcPr>
            <w:tcW w:w="200" w:type="dxa"/>
            <w:vAlign w:val="bottom"/>
            <w:shd w:val="clear" w:color="auto" w:fill="EAF9E8"/>
          </w:tcPr>
          <w:p>
            <w:pPr>
              <w:spacing w:after="0"/>
              <w:rPr>
                <w:sz w:val="18"/>
                <w:szCs w:val="18"/>
                <w:color w:val="auto"/>
              </w:rPr>
            </w:pPr>
          </w:p>
        </w:tc>
        <w:tc>
          <w:tcPr>
            <w:tcW w:w="5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109,179</w:t>
            </w:r>
          </w:p>
        </w:tc>
        <w:tc>
          <w:tcPr>
            <w:tcW w:w="3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114,590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Operating expenses (2)</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36,506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54,232</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72,650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72,266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EAF9E8"/>
          </w:tcPr>
          <w:p>
            <w:pPr>
              <w:spacing w:after="0"/>
              <w:rPr>
                <w:sz w:val="18"/>
                <w:szCs w:val="18"/>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36,242</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5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29,979</w:t>
            </w:r>
          </w:p>
        </w:tc>
        <w:tc>
          <w:tcPr>
            <w:tcW w:w="14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36,529</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42,324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expense</w:t>
            </w:r>
          </w:p>
        </w:tc>
        <w:tc>
          <w:tcPr>
            <w:tcW w:w="160" w:type="dxa"/>
            <w:vAlign w:val="bottom"/>
          </w:tcPr>
          <w:p>
            <w:pPr>
              <w:spacing w:after="0"/>
              <w:rPr>
                <w:sz w:val="19"/>
                <w:szCs w:val="19"/>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(16,048)</w:t>
            </w:r>
          </w:p>
        </w:tc>
        <w:tc>
          <w:tcPr>
            <w:tcW w:w="16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(6,521)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(10,184)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(19,060)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Income from continuing operations before income</w:t>
            </w:r>
          </w:p>
        </w:tc>
        <w:tc>
          <w:tcPr>
            <w:tcW w:w="160" w:type="dxa"/>
            <w:vAlign w:val="bottom"/>
            <w:tcBorders>
              <w:top w:val="single" w:sz="8" w:color="auto"/>
            </w:tcBorders>
            <w:shd w:val="clear" w:color="auto" w:fill="EAF9E8"/>
          </w:tcPr>
          <w:p>
            <w:pPr>
              <w:spacing w:after="0"/>
              <w:rPr>
                <w:sz w:val="17"/>
                <w:szCs w:val="17"/>
                <w:color w:val="auto"/>
              </w:rPr>
            </w:pPr>
          </w:p>
        </w:tc>
        <w:tc>
          <w:tcPr>
            <w:tcW w:w="1340" w:type="dxa"/>
            <w:vAlign w:val="bottom"/>
            <w:tcBorders>
              <w:top w:val="single" w:sz="8" w:color="auto"/>
            </w:tcBorders>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60" w:type="dxa"/>
            <w:vAlign w:val="bottom"/>
            <w:tcBorders>
              <w:top w:val="single" w:sz="8" w:color="auto"/>
            </w:tcBorders>
            <w:shd w:val="clear" w:color="auto" w:fill="EAF9E8"/>
          </w:tcPr>
          <w:p>
            <w:pPr>
              <w:spacing w:after="0"/>
              <w:rPr>
                <w:sz w:val="17"/>
                <w:szCs w:val="17"/>
                <w:color w:val="auto"/>
              </w:rPr>
            </w:pPr>
          </w:p>
        </w:tc>
        <w:tc>
          <w:tcPr>
            <w:tcW w:w="1340" w:type="dxa"/>
            <w:vAlign w:val="bottom"/>
            <w:tcBorders>
              <w:top w:val="single" w:sz="8" w:color="auto"/>
            </w:tcBorders>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420" w:type="dxa"/>
            <w:vAlign w:val="bottom"/>
            <w:tcBorders>
              <w:top w:val="single" w:sz="8" w:color="auto"/>
            </w:tcBorders>
            <w:shd w:val="clear" w:color="auto" w:fill="EAF9E8"/>
          </w:tcPr>
          <w:p>
            <w:pPr>
              <w:spacing w:after="0"/>
              <w:rPr>
                <w:sz w:val="17"/>
                <w:szCs w:val="17"/>
                <w:color w:val="auto"/>
              </w:rPr>
            </w:pPr>
          </w:p>
        </w:tc>
        <w:tc>
          <w:tcPr>
            <w:tcW w:w="1060" w:type="dxa"/>
            <w:vAlign w:val="bottom"/>
            <w:tcBorders>
              <w:top w:val="single" w:sz="8" w:color="auto"/>
            </w:tcBorders>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220" w:type="dxa"/>
            <w:vAlign w:val="bottom"/>
            <w:tcBorders>
              <w:top w:val="single" w:sz="8" w:color="auto"/>
            </w:tcBorders>
            <w:shd w:val="clear" w:color="auto" w:fill="EAF9E8"/>
          </w:tcPr>
          <w:p>
            <w:pPr>
              <w:spacing w:after="0"/>
              <w:rPr>
                <w:sz w:val="17"/>
                <w:szCs w:val="17"/>
                <w:color w:val="auto"/>
              </w:rPr>
            </w:pPr>
          </w:p>
        </w:tc>
        <w:tc>
          <w:tcPr>
            <w:tcW w:w="1260" w:type="dxa"/>
            <w:vAlign w:val="bottom"/>
            <w:tcBorders>
              <w:top w:val="single" w:sz="8" w:color="auto"/>
            </w:tcBorders>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taxes</w:t>
            </w:r>
          </w:p>
        </w:tc>
        <w:tc>
          <w:tcPr>
            <w:tcW w:w="160" w:type="dxa"/>
            <w:vAlign w:val="bottom"/>
            <w:shd w:val="clear" w:color="auto" w:fill="EAF9E8"/>
          </w:tcPr>
          <w:p>
            <w:pPr>
              <w:spacing w:after="0"/>
              <w:rPr>
                <w:sz w:val="20"/>
                <w:szCs w:val="20"/>
                <w:color w:val="auto"/>
              </w:rPr>
            </w:pPr>
          </w:p>
        </w:tc>
        <w:tc>
          <w:tcPr>
            <w:tcW w:w="16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20,194</w:t>
            </w:r>
          </w:p>
        </w:tc>
        <w:tc>
          <w:tcPr>
            <w:tcW w:w="160" w:type="dxa"/>
            <w:vAlign w:val="bottom"/>
            <w:shd w:val="clear" w:color="auto" w:fill="EAF9E8"/>
          </w:tcPr>
          <w:p>
            <w:pPr>
              <w:spacing w:after="0"/>
              <w:rPr>
                <w:sz w:val="20"/>
                <w:szCs w:val="20"/>
                <w:color w:val="auto"/>
              </w:rPr>
            </w:pPr>
          </w:p>
        </w:tc>
        <w:tc>
          <w:tcPr>
            <w:tcW w:w="15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23,458</w:t>
            </w:r>
          </w:p>
        </w:tc>
        <w:tc>
          <w:tcPr>
            <w:tcW w:w="140" w:type="dxa"/>
            <w:vAlign w:val="bottom"/>
            <w:shd w:val="clear" w:color="auto" w:fill="EAF9E8"/>
          </w:tcPr>
          <w:p>
            <w:pPr>
              <w:spacing w:after="0"/>
              <w:rPr>
                <w:sz w:val="20"/>
                <w:szCs w:val="20"/>
                <w:color w:val="auto"/>
              </w:rPr>
            </w:pPr>
          </w:p>
        </w:tc>
        <w:tc>
          <w:tcPr>
            <w:tcW w:w="420" w:type="dxa"/>
            <w:vAlign w:val="bottom"/>
            <w:shd w:val="clear" w:color="auto" w:fill="EAF9E8"/>
          </w:tcPr>
          <w:p>
            <w:pPr>
              <w:spacing w:after="0"/>
              <w:rPr>
                <w:sz w:val="20"/>
                <w:szCs w:val="20"/>
                <w:color w:val="auto"/>
              </w:rPr>
            </w:pP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26,345</w:t>
            </w:r>
          </w:p>
        </w:tc>
        <w:tc>
          <w:tcPr>
            <w:tcW w:w="14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3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23,264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Income tax expense (benefit) (2)</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13,307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65,294</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9,472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8,037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160" w:type="dxa"/>
            <w:vAlign w:val="bottom"/>
            <w:shd w:val="clear" w:color="auto" w:fill="EAF9E8"/>
          </w:tcPr>
          <w:p>
            <w:pPr>
              <w:spacing w:after="0"/>
              <w:rPr>
                <w:sz w:val="18"/>
                <w:szCs w:val="18"/>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6,887</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5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(41,836)</w:t>
            </w:r>
          </w:p>
        </w:tc>
        <w:tc>
          <w:tcPr>
            <w:tcW w:w="14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16,873</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15,227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rPr>
              <w:t>Income (loss) from discontinued operations, net of</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480"/>
              <w:spacing w:after="0"/>
              <w:rPr>
                <w:sz w:val="20"/>
                <w:szCs w:val="20"/>
                <w:color w:val="auto"/>
              </w:rPr>
            </w:pPr>
            <w:r>
              <w:rPr>
                <w:rFonts w:ascii="Arial" w:cs="Arial" w:eastAsia="Arial" w:hAnsi="Arial"/>
                <w:sz w:val="18"/>
                <w:szCs w:val="18"/>
                <w:color w:val="auto"/>
              </w:rPr>
              <w:t>taxes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2,488</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1,052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EAF9E8"/>
          </w:tcPr>
          <w:p>
            <w:pPr>
              <w:spacing w:after="0"/>
              <w:rPr>
                <w:sz w:val="18"/>
                <w:szCs w:val="18"/>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9,375</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5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(42,067)</w:t>
            </w:r>
          </w:p>
        </w:tc>
        <w:tc>
          <w:tcPr>
            <w:tcW w:w="14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17,925</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15,039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rPr>
              <w:t>Net loss (income) attributable to non-controlling</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480"/>
              <w:spacing w:after="0"/>
              <w:rPr>
                <w:sz w:val="20"/>
                <w:szCs w:val="20"/>
                <w:color w:val="auto"/>
              </w:rPr>
            </w:pPr>
            <w:r>
              <w:rPr>
                <w:rFonts w:ascii="Arial" w:cs="Arial" w:eastAsia="Arial" w:hAnsi="Arial"/>
                <w:sz w:val="18"/>
                <w:szCs w:val="18"/>
                <w:color w:val="auto"/>
              </w:rPr>
              <w:t>interests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Net income (loss) attributable to OCN</w:t>
            </w:r>
          </w:p>
        </w:tc>
        <w:tc>
          <w:tcPr>
            <w:tcW w:w="160" w:type="dxa"/>
            <w:vAlign w:val="bottom"/>
            <w:shd w:val="clear" w:color="auto" w:fill="EAF9E8"/>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9,389</w:t>
            </w:r>
          </w:p>
        </w:tc>
        <w:tc>
          <w:tcPr>
            <w:tcW w:w="340" w:type="dxa"/>
            <w:vAlign w:val="bottom"/>
            <w:shd w:val="clear" w:color="auto" w:fill="EAF9E8"/>
          </w:tcPr>
          <w:p>
            <w:pPr>
              <w:spacing w:after="0"/>
              <w:rPr>
                <w:sz w:val="22"/>
                <w:szCs w:val="22"/>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(42,031)</w:t>
            </w:r>
          </w:p>
        </w:tc>
        <w:tc>
          <w:tcPr>
            <w:tcW w:w="5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17,830</w:t>
            </w:r>
          </w:p>
        </w:tc>
        <w:tc>
          <w:tcPr>
            <w:tcW w:w="3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15,109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Borders>
              <w:top w:val="single" w:sz="8" w:color="EAF9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40" w:type="dxa"/>
            <w:vAlign w:val="bottom"/>
            <w:tcBorders>
              <w:top w:val="single" w:sz="8" w:color="EAF9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8"/>
                <w:szCs w:val="18"/>
                <w:color w:val="auto"/>
              </w:rPr>
              <w:t>Basic earnings per share</w:t>
            </w:r>
          </w:p>
        </w:tc>
        <w:tc>
          <w:tcPr>
            <w:tcW w:w="16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0.07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(0.51)</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0.25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Income from discontinued operations</w:t>
            </w:r>
          </w:p>
        </w:tc>
        <w:tc>
          <w:tcPr>
            <w:tcW w:w="160" w:type="dxa"/>
            <w:vAlign w:val="bottom"/>
            <w:shd w:val="clear" w:color="auto" w:fill="EAF9E8"/>
          </w:tcPr>
          <w:p>
            <w:pPr>
              <w:spacing w:after="0"/>
              <w:rPr>
                <w:sz w:val="18"/>
                <w:szCs w:val="18"/>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0.02</w:t>
            </w: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5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shd w:val="clear" w:color="auto" w:fill="EAF9E8"/>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Net income (loss) attributable to OCN</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0.09</w:t>
            </w: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(0.51)</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0.26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160" w:type="dxa"/>
            <w:vAlign w:val="bottom"/>
            <w:shd w:val="clear" w:color="auto" w:fill="EAF9E8"/>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(0.51)</w:t>
            </w:r>
          </w:p>
        </w:tc>
        <w:tc>
          <w:tcPr>
            <w:tcW w:w="5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0.24</w:t>
            </w:r>
          </w:p>
        </w:tc>
        <w:tc>
          <w:tcPr>
            <w:tcW w:w="3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Income from discontinued operations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0.02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 (loss) attributable to OCN</w:t>
            </w:r>
          </w:p>
        </w:tc>
        <w:tc>
          <w:tcPr>
            <w:tcW w:w="160" w:type="dxa"/>
            <w:vAlign w:val="bottom"/>
            <w:shd w:val="clear" w:color="auto" w:fill="EAF9E8"/>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0.09</w:t>
            </w:r>
          </w:p>
        </w:tc>
        <w:tc>
          <w:tcPr>
            <w:tcW w:w="340" w:type="dxa"/>
            <w:vAlign w:val="bottom"/>
            <w:shd w:val="clear" w:color="auto" w:fill="EAF9E8"/>
          </w:tcPr>
          <w:p>
            <w:pPr>
              <w:spacing w:after="0"/>
              <w:rPr>
                <w:sz w:val="20"/>
                <w:szCs w:val="20"/>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(0.51)</w:t>
            </w:r>
          </w:p>
        </w:tc>
        <w:tc>
          <w:tcPr>
            <w:tcW w:w="5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0.26</w:t>
            </w:r>
          </w:p>
        </w:tc>
        <w:tc>
          <w:tcPr>
            <w:tcW w:w="3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right="180" w:hanging="572"/>
        <w:spacing w:after="0" w:line="259" w:lineRule="auto"/>
        <w:tabs>
          <w:tab w:leader="none" w:pos="5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Effective August 10, 2009, we completed the Altisource Separation after which our consolidated results of operations no longer included the results of our OS line of business. Excluding intrasegment and intersegment revenues and expenses that are eliminated in consolidation and the results of BMS and GSS, the OS line of business generated $106,257 of revenues and $91,847 of operating expenses in 2009. See Note 1 for additional information on the Separation.</w:t>
      </w:r>
    </w:p>
    <w:p>
      <w:pPr>
        <w:spacing w:after="0" w:line="186" w:lineRule="exact"/>
        <w:rPr>
          <w:rFonts w:ascii="Arial" w:cs="Arial" w:eastAsia="Arial" w:hAnsi="Arial"/>
          <w:sz w:val="18"/>
          <w:szCs w:val="18"/>
          <w:color w:val="auto"/>
        </w:rPr>
      </w:pPr>
    </w:p>
    <w:p>
      <w:pPr>
        <w:ind w:left="580" w:right="80" w:hanging="572"/>
        <w:spacing w:after="0" w:line="277" w:lineRule="auto"/>
        <w:tabs>
          <w:tab w:leader="none" w:pos="5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As a result of the Separation, we recorded additional income tax expense of $52,047 in 2009, including $50,631 in the third quarter and $1,416 in the fourth quarter.</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34</w:t>
      </w:r>
      <w:r>
        <w:rPr>
          <w:sz w:val="20"/>
          <w:szCs w:val="20"/>
          <w:color w:val="auto"/>
        </w:rPr>
        <w:tab/>
      </w:r>
      <w:r>
        <w:rPr>
          <w:rFonts w:ascii="Arial" w:cs="Arial" w:eastAsia="Arial" w:hAnsi="Arial"/>
          <w:sz w:val="17"/>
          <w:szCs w:val="17"/>
          <w:b w:val="1"/>
          <w:bCs w:val="1"/>
          <w:color w:val="auto"/>
        </w:rPr>
        <w:t>SUBSEQUENT EVENTS</w:t>
      </w:r>
    </w:p>
    <w:p>
      <w:pPr>
        <w:spacing w:after="0" w:line="229" w:lineRule="exact"/>
        <w:rPr>
          <w:sz w:val="20"/>
          <w:szCs w:val="20"/>
          <w:color w:val="auto"/>
        </w:rPr>
      </w:pPr>
    </w:p>
    <w:p>
      <w:pPr>
        <w:ind w:firstLine="666"/>
        <w:spacing w:after="0" w:line="302" w:lineRule="auto"/>
        <w:rPr>
          <w:sz w:val="20"/>
          <w:szCs w:val="20"/>
          <w:color w:val="auto"/>
        </w:rPr>
      </w:pPr>
      <w:r>
        <w:rPr>
          <w:rFonts w:ascii="Arial" w:cs="Arial" w:eastAsia="Arial" w:hAnsi="Arial"/>
          <w:sz w:val="16"/>
          <w:szCs w:val="16"/>
          <w:color w:val="auto"/>
        </w:rPr>
        <w:t>On January 8, 2011, we prepaid $67,500 of the $197,500 balance outstanding under the senior secured term loan. On February 9, 2011 we prepaid an additional $95,000. Following these payments, the remaining principal balance of the senior secured term loan is $35,000. We are required to repay the principal amount in consecutive quarterly installments of $8,750. Unamortized debt discount of $5,632 and unamortized debt issuance costs of $8,604 at December 31, 2010 are being amortized over the expected remaining life of the loan. See Note 16 for additional information regarding the terms of this loan.</w:t>
      </w:r>
    </w:p>
    <w:p>
      <w:pPr>
        <w:spacing w:after="0" w:line="154" w:lineRule="exact"/>
        <w:rPr>
          <w:sz w:val="20"/>
          <w:szCs w:val="20"/>
          <w:color w:val="auto"/>
        </w:rPr>
      </w:pPr>
    </w:p>
    <w:p>
      <w:pPr>
        <w:jc w:val="both"/>
        <w:ind w:right="300" w:firstLine="666"/>
        <w:spacing w:after="0" w:line="264" w:lineRule="auto"/>
        <w:rPr>
          <w:sz w:val="20"/>
          <w:szCs w:val="20"/>
          <w:color w:val="auto"/>
        </w:rPr>
      </w:pPr>
      <w:r>
        <w:rPr>
          <w:rFonts w:ascii="Arial" w:cs="Arial" w:eastAsia="Arial" w:hAnsi="Arial"/>
          <w:sz w:val="18"/>
          <w:szCs w:val="18"/>
          <w:color w:val="auto"/>
        </w:rPr>
        <w:t>On February 17, 2011, the lender agreed to extend by one year to February 16, 2012 the scheduled amortization date of our match funded facility with a $300,000 maximum borrowing capacity (Variable Funding Note Series 2009-1). See Note 14 for additional information regarding the terms of this borrowing.</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Ocwen Financial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Name of Corporation as currently filed with the Florida Dept. of State</w:t>
      </w:r>
      <w:r>
        <w:rPr>
          <w:rFonts w:ascii="Arial" w:cs="Arial" w:eastAsia="Arial" w:hAnsi="Arial"/>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S75556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(Document Number of Corporation (if known)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Pursuant to the provisions of section 607.1006, Florida Statutes, this </w:t>
      </w:r>
      <w:r>
        <w:rPr>
          <w:rFonts w:ascii="Arial" w:cs="Arial" w:eastAsia="Arial" w:hAnsi="Arial"/>
          <w:sz w:val="17"/>
          <w:szCs w:val="17"/>
          <w:b w:val="1"/>
          <w:bCs w:val="1"/>
          <w:i w:val="1"/>
          <w:iCs w:val="1"/>
          <w:color w:val="auto"/>
        </w:rPr>
        <w:t>Florida Profit Corporation</w:t>
      </w:r>
      <w:r>
        <w:rPr>
          <w:rFonts w:ascii="Arial" w:cs="Arial" w:eastAsia="Arial" w:hAnsi="Arial"/>
          <w:sz w:val="17"/>
          <w:szCs w:val="17"/>
          <w:color w:val="auto"/>
        </w:rPr>
        <w:t xml:space="preserve"> adopts the following amendment(s) to its Articles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Incorporation:</w:t>
      </w:r>
    </w:p>
    <w:p>
      <w:pPr>
        <w:spacing w:after="0" w:line="207" w:lineRule="exact"/>
        <w:rPr>
          <w:sz w:val="20"/>
          <w:szCs w:val="20"/>
          <w:color w:val="auto"/>
        </w:rPr>
      </w:pPr>
    </w:p>
    <w:p>
      <w:pPr>
        <w:ind w:left="580" w:hanging="572"/>
        <w:spacing w:after="0"/>
        <w:tabs>
          <w:tab w:leader="none" w:pos="58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If amending name, enter the new name of the corporation</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______________________________________________________________ The new name must be distinguishable and contain the word “corporation,”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gridSpan w:val="5"/>
          </w:tcPr>
          <w:p>
            <w:pPr>
              <w:spacing w:after="0"/>
              <w:rPr>
                <w:sz w:val="20"/>
                <w:szCs w:val="20"/>
                <w:color w:val="auto"/>
              </w:rPr>
            </w:pPr>
            <w:r>
              <w:rPr>
                <w:rFonts w:ascii="Arial" w:cs="Arial" w:eastAsia="Arial" w:hAnsi="Arial"/>
                <w:sz w:val="18"/>
                <w:szCs w:val="18"/>
                <w:i w:val="1"/>
                <w:iCs w:val="1"/>
                <w:color w:val="auto"/>
              </w:rPr>
              <w:t>“company,” or “incorporated” or the abbreviation “Corp.,” “Inc.,” or</w:t>
            </w:r>
          </w:p>
        </w:tc>
        <w:tc>
          <w:tcPr>
            <w:tcW w:w="6060" w:type="dxa"/>
            <w:vAlign w:val="bottom"/>
          </w:tcPr>
          <w:p>
            <w:pPr>
              <w:ind w:left="120"/>
              <w:spacing w:after="0"/>
              <w:rPr>
                <w:sz w:val="20"/>
                <w:szCs w:val="20"/>
                <w:color w:val="auto"/>
              </w:rPr>
            </w:pPr>
            <w:r>
              <w:rPr>
                <w:rFonts w:ascii="Arial" w:cs="Arial" w:eastAsia="Arial" w:hAnsi="Arial"/>
                <w:sz w:val="18"/>
                <w:szCs w:val="18"/>
                <w:i w:val="1"/>
                <w:iCs w:val="1"/>
                <w:color w:val="auto"/>
              </w:rPr>
              <w:t>Co.,” or the designation “Corp,” “Inc,” or “Co”.  A  professional corporation</w:t>
            </w:r>
          </w:p>
        </w:tc>
      </w:tr>
      <w:tr>
        <w:trPr>
          <w:trHeight w:val="230"/>
        </w:trPr>
        <w:tc>
          <w:tcPr>
            <w:tcW w:w="5340" w:type="dxa"/>
            <w:vAlign w:val="bottom"/>
            <w:gridSpan w:val="5"/>
          </w:tcPr>
          <w:p>
            <w:pPr>
              <w:spacing w:after="0"/>
              <w:rPr>
                <w:sz w:val="20"/>
                <w:szCs w:val="20"/>
                <w:color w:val="auto"/>
              </w:rPr>
            </w:pPr>
            <w:r>
              <w:rPr>
                <w:rFonts w:ascii="Arial" w:cs="Arial" w:eastAsia="Arial" w:hAnsi="Arial"/>
                <w:sz w:val="18"/>
                <w:szCs w:val="18"/>
                <w:i w:val="1"/>
                <w:iCs w:val="1"/>
                <w:color w:val="auto"/>
                <w:w w:val="95"/>
              </w:rPr>
              <w:t>name must contain the word “chartered,” “professional association,” or</w:t>
            </w:r>
          </w:p>
        </w:tc>
        <w:tc>
          <w:tcPr>
            <w:tcW w:w="6060" w:type="dxa"/>
            <w:vAlign w:val="bottom"/>
          </w:tcPr>
          <w:p>
            <w:pPr>
              <w:ind w:left="20"/>
              <w:spacing w:after="0"/>
              <w:rPr>
                <w:sz w:val="20"/>
                <w:szCs w:val="20"/>
                <w:color w:val="auto"/>
              </w:rPr>
            </w:pPr>
            <w:r>
              <w:rPr>
                <w:rFonts w:ascii="Arial" w:cs="Arial" w:eastAsia="Arial" w:hAnsi="Arial"/>
                <w:sz w:val="18"/>
                <w:szCs w:val="18"/>
                <w:i w:val="1"/>
                <w:iCs w:val="1"/>
                <w:color w:val="auto"/>
              </w:rPr>
              <w:t>the abbreviation “P.A.”</w:t>
            </w:r>
          </w:p>
        </w:tc>
      </w:tr>
      <w:tr>
        <w:trPr>
          <w:trHeight w:val="392"/>
        </w:trPr>
        <w:tc>
          <w:tcPr>
            <w:tcW w:w="580" w:type="dxa"/>
            <w:vAlign w:val="bottom"/>
          </w:tcPr>
          <w:p>
            <w:pPr>
              <w:spacing w:after="0"/>
              <w:rPr>
                <w:sz w:val="20"/>
                <w:szCs w:val="20"/>
                <w:color w:val="auto"/>
              </w:rPr>
            </w:pPr>
            <w:r>
              <w:rPr>
                <w:rFonts w:ascii="Arial" w:cs="Arial" w:eastAsia="Arial" w:hAnsi="Arial"/>
                <w:sz w:val="18"/>
                <w:szCs w:val="18"/>
                <w:b w:val="1"/>
                <w:bCs w:val="1"/>
                <w:color w:val="auto"/>
              </w:rPr>
              <w:t>B.</w:t>
            </w:r>
          </w:p>
        </w:tc>
        <w:tc>
          <w:tcPr>
            <w:tcW w:w="4760" w:type="dxa"/>
            <w:vAlign w:val="bottom"/>
            <w:gridSpan w:val="4"/>
          </w:tcPr>
          <w:p>
            <w:pPr>
              <w:spacing w:after="0"/>
              <w:rPr>
                <w:sz w:val="20"/>
                <w:szCs w:val="20"/>
                <w:color w:val="auto"/>
              </w:rPr>
            </w:pPr>
            <w:r>
              <w:rPr>
                <w:rFonts w:ascii="Arial" w:cs="Arial" w:eastAsia="Arial" w:hAnsi="Arial"/>
                <w:sz w:val="18"/>
                <w:szCs w:val="18"/>
                <w:b w:val="1"/>
                <w:bCs w:val="1"/>
                <w:color w:val="auto"/>
              </w:rPr>
              <w:t>Enter new principal office address, if applicable:</w:t>
            </w:r>
          </w:p>
        </w:tc>
        <w:tc>
          <w:tcPr>
            <w:tcW w:w="6060" w:type="dxa"/>
            <w:vAlign w:val="bottom"/>
          </w:tcPr>
          <w:p>
            <w:pPr>
              <w:ind w:left="940"/>
              <w:spacing w:after="0"/>
              <w:rPr>
                <w:sz w:val="20"/>
                <w:szCs w:val="20"/>
                <w:color w:val="auto"/>
              </w:rPr>
            </w:pPr>
            <w:r>
              <w:rPr>
                <w:rFonts w:ascii="Arial" w:cs="Arial" w:eastAsia="Arial" w:hAnsi="Arial"/>
                <w:sz w:val="18"/>
                <w:szCs w:val="18"/>
                <w:color w:val="auto"/>
              </w:rPr>
              <w:t>2002 Summit Boulevard, Suite 600</w:t>
            </w:r>
          </w:p>
        </w:tc>
      </w:tr>
      <w:tr>
        <w:trPr>
          <w:trHeight w:val="20"/>
        </w:trPr>
        <w:tc>
          <w:tcPr>
            <w:tcW w:w="58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760" w:type="dxa"/>
            <w:vAlign w:val="bottom"/>
            <w:gridSpan w:val="4"/>
          </w:tcPr>
          <w:p>
            <w:pPr>
              <w:spacing w:after="0" w:line="196" w:lineRule="exact"/>
              <w:rPr>
                <w:sz w:val="20"/>
                <w:szCs w:val="20"/>
                <w:color w:val="auto"/>
              </w:rPr>
            </w:pPr>
            <w:r>
              <w:rPr>
                <w:rFonts w:ascii="Arial" w:cs="Arial" w:eastAsia="Arial" w:hAnsi="Arial"/>
                <w:sz w:val="18"/>
                <w:szCs w:val="18"/>
                <w:b w:val="1"/>
                <w:bCs w:val="1"/>
                <w:i w:val="1"/>
                <w:iCs w:val="1"/>
                <w:color w:val="auto"/>
                <w:w w:val="97"/>
              </w:rPr>
              <w:t>(Principal office address MUST BE A STREET ADDRESS</w:t>
            </w:r>
            <w:r>
              <w:rPr>
                <w:rFonts w:ascii="Arial" w:cs="Arial" w:eastAsia="Arial" w:hAnsi="Arial"/>
                <w:sz w:val="18"/>
                <w:szCs w:val="18"/>
                <w:b w:val="1"/>
                <w:bCs w:val="1"/>
                <w:color w:val="auto"/>
                <w:w w:val="97"/>
              </w:rPr>
              <w:t>)</w:t>
            </w:r>
          </w:p>
        </w:tc>
        <w:tc>
          <w:tcPr>
            <w:tcW w:w="6060" w:type="dxa"/>
            <w:vAlign w:val="bottom"/>
          </w:tcPr>
          <w:p>
            <w:pPr>
              <w:ind w:left="940"/>
              <w:spacing w:after="0" w:line="196" w:lineRule="exact"/>
              <w:rPr>
                <w:sz w:val="20"/>
                <w:szCs w:val="20"/>
                <w:color w:val="auto"/>
              </w:rPr>
            </w:pPr>
            <w:r>
              <w:rPr>
                <w:rFonts w:ascii="Arial" w:cs="Arial" w:eastAsia="Arial" w:hAnsi="Arial"/>
                <w:sz w:val="18"/>
                <w:szCs w:val="18"/>
                <w:color w:val="auto"/>
              </w:rPr>
              <w:t>Atlanta, GA 30319</w:t>
            </w:r>
          </w:p>
        </w:tc>
      </w:tr>
      <w:tr>
        <w:trPr>
          <w:trHeight w:val="20"/>
        </w:trPr>
        <w:tc>
          <w:tcPr>
            <w:tcW w:w="5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bl>
    <w:p>
      <w:pPr>
        <w:spacing w:after="0" w:line="225" w:lineRule="exact"/>
        <w:rPr>
          <w:sz w:val="20"/>
          <w:szCs w:val="20"/>
          <w:color w:val="auto"/>
        </w:rPr>
      </w:pPr>
    </w:p>
    <w:p>
      <w:pPr>
        <w:ind w:left="580" w:right="7000" w:hanging="572"/>
        <w:spacing w:after="0" w:line="347" w:lineRule="auto"/>
        <w:tabs>
          <w:tab w:leader="none" w:pos="580"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Enter new mailing address, if applicable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xml:space="preserve">(Mailing address </w:t>
      </w:r>
      <w:r>
        <w:rPr>
          <w:rFonts w:ascii="Arial" w:cs="Arial" w:eastAsia="Arial" w:hAnsi="Arial"/>
          <w:sz w:val="16"/>
          <w:szCs w:val="16"/>
          <w:b w:val="1"/>
          <w:bCs w:val="1"/>
          <w:i w:val="1"/>
          <w:iCs w:val="1"/>
          <w:u w:val="single" w:color="auto"/>
          <w:color w:val="auto"/>
        </w:rPr>
        <w:t>MAY BE A POST OFFICE BOX</w:t>
      </w:r>
      <w:r>
        <w:rPr>
          <w:rFonts w:ascii="Arial" w:cs="Arial" w:eastAsia="Arial" w:hAnsi="Arial"/>
          <w:sz w:val="16"/>
          <w:szCs w:val="16"/>
          <w:i w:val="1"/>
          <w:iCs w:val="1"/>
          <w:color w:val="auto"/>
        </w:rPr>
        <w:t>)</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29" w:lineRule="exact"/>
        <w:rPr>
          <w:rFonts w:ascii="Arial" w:cs="Arial" w:eastAsia="Arial" w:hAnsi="Arial"/>
          <w:sz w:val="16"/>
          <w:szCs w:val="16"/>
          <w:b w:val="1"/>
          <w:bCs w:val="1"/>
          <w:color w:val="auto"/>
        </w:rPr>
      </w:pPr>
    </w:p>
    <w:p>
      <w:pPr>
        <w:ind w:right="20" w:firstLine="8"/>
        <w:spacing w:after="0" w:line="282" w:lineRule="auto"/>
        <w:tabs>
          <w:tab w:leader="none" w:pos="22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If amending the registered agent and/or registered office address in Florida, enter the name of the new registered agent and/or the new registered office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-759460</wp:posOffset>
            </wp:positionV>
            <wp:extent cx="32588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58820" cy="17145"/>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-605155</wp:posOffset>
            </wp:positionV>
            <wp:extent cx="32588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58820" cy="17145"/>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-450850</wp:posOffset>
            </wp:positionV>
            <wp:extent cx="32588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Name of New Registered Agent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14605</wp:posOffset>
            </wp:positionV>
            <wp:extent cx="19551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New Registered Office Address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14605</wp:posOffset>
            </wp:positionV>
            <wp:extent cx="19551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(Florida street address)</w:t>
      </w:r>
    </w:p>
    <w:p>
      <w:pPr>
        <w:spacing w:after="0" w:line="23" w:lineRule="exact"/>
        <w:rPr>
          <w:sz w:val="20"/>
          <w:szCs w:val="20"/>
          <w:color w:val="auto"/>
        </w:rPr>
      </w:pPr>
    </w:p>
    <w:p>
      <w:pPr>
        <w:ind w:left="6980"/>
        <w:spacing w:after="0"/>
        <w:tabs>
          <w:tab w:leader="none" w:pos="7220" w:val="left"/>
        </w:tabs>
        <w:rPr>
          <w:sz w:val="20"/>
          <w:szCs w:val="20"/>
          <w:color w:val="auto"/>
        </w:rPr>
      </w:pPr>
      <w:r>
        <w:rPr>
          <w:rFonts w:ascii="Arial" w:cs="Arial" w:eastAsia="Arial" w:hAnsi="Arial"/>
          <w:sz w:val="18"/>
          <w:szCs w:val="18"/>
          <w:color w:val="auto"/>
        </w:rPr>
        <w:t>,</w:t>
        <w:tab/>
        <w:t>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5715</wp:posOffset>
            </wp:positionV>
            <wp:extent cx="477647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776470" cy="17145"/>
                    </a:xfrm>
                    <a:prstGeom prst="rect">
                      <a:avLst/>
                    </a:prstGeom>
                    <a:noFill/>
                  </pic:spPr>
                </pic:pic>
              </a:graphicData>
            </a:graphic>
          </wp:anchor>
        </w:drawing>
      </w:r>
    </w:p>
    <w:p>
      <w:pPr>
        <w:spacing w:after="0" w:line="2" w:lineRule="exact"/>
        <w:rPr>
          <w:sz w:val="20"/>
          <w:szCs w:val="20"/>
          <w:color w:val="auto"/>
        </w:rPr>
      </w:pPr>
    </w:p>
    <w:p>
      <w:pPr>
        <w:ind w:left="3900"/>
        <w:spacing w:after="0"/>
        <w:tabs>
          <w:tab w:leader="none" w:pos="8100" w:val="left"/>
        </w:tabs>
        <w:rPr>
          <w:sz w:val="20"/>
          <w:szCs w:val="20"/>
          <w:color w:val="auto"/>
        </w:rPr>
      </w:pPr>
      <w:r>
        <w:rPr>
          <w:rFonts w:ascii="Arial" w:cs="Arial" w:eastAsia="Arial" w:hAnsi="Arial"/>
          <w:sz w:val="18"/>
          <w:szCs w:val="18"/>
          <w:i w:val="1"/>
          <w:iCs w:val="1"/>
          <w:color w:val="auto"/>
        </w:rPr>
        <w:t>(City)</w:t>
      </w:r>
      <w:r>
        <w:rPr>
          <w:sz w:val="20"/>
          <w:szCs w:val="20"/>
          <w:color w:val="auto"/>
        </w:rPr>
        <w:tab/>
      </w:r>
      <w:r>
        <w:rPr>
          <w:rFonts w:ascii="Arial" w:cs="Arial" w:eastAsia="Arial" w:hAnsi="Arial"/>
          <w:sz w:val="18"/>
          <w:szCs w:val="18"/>
          <w:i w:val="1"/>
          <w:iCs w:val="1"/>
          <w:color w:val="auto"/>
        </w:rPr>
        <w:t>(Zip Code)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Registered Agent’s Signature, if changing Registered Agent: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 hereby accept the appointment as registered agent.  I am familiar with and accept the obligations of the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280035</wp:posOffset>
            </wp:positionV>
            <wp:extent cx="398780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98780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5140"/>
        <w:spacing w:after="0"/>
        <w:rPr>
          <w:sz w:val="20"/>
          <w:szCs w:val="20"/>
          <w:color w:val="auto"/>
        </w:rPr>
      </w:pPr>
      <w:r>
        <w:rPr>
          <w:rFonts w:ascii="Arial" w:cs="Arial" w:eastAsia="Arial" w:hAnsi="Arial"/>
          <w:sz w:val="18"/>
          <w:szCs w:val="18"/>
          <w:i w:val="1"/>
          <w:iCs w:val="1"/>
          <w:color w:val="auto"/>
        </w:rPr>
        <w:t>Signature of New Registered Agent, if changing</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1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b w:val="1"/>
          <w:bCs w:val="1"/>
          <w:u w:val="single" w:color="auto"/>
          <w:color w:val="auto"/>
        </w:rPr>
        <w:t>If amending the Officers and/or Directors, enter the title and name of each officer/director being removed and title, name, and address of each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Officer and/or Director being added: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Attach additional sheets, if necessary)</w:t>
      </w:r>
    </w:p>
    <w:p>
      <w:pPr>
        <w:spacing w:after="0" w:line="207" w:lineRule="exact"/>
        <w:rPr>
          <w:sz w:val="20"/>
          <w:szCs w:val="20"/>
          <w:color w:val="auto"/>
        </w:rPr>
      </w:pPr>
    </w:p>
    <w:p>
      <w:pPr>
        <w:spacing w:after="0"/>
        <w:tabs>
          <w:tab w:leader="none" w:pos="2860" w:val="left"/>
          <w:tab w:leader="none" w:pos="5700" w:val="left"/>
          <w:tab w:leader="none" w:pos="856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b w:val="1"/>
          <w:bCs w:val="1"/>
          <w:color w:val="auto"/>
        </w:rPr>
        <w:t>Address</w:t>
      </w:r>
      <w:r>
        <w:rPr>
          <w:sz w:val="20"/>
          <w:szCs w:val="20"/>
          <w:color w:val="auto"/>
        </w:rPr>
        <w:tab/>
      </w:r>
      <w:r>
        <w:rPr>
          <w:rFonts w:ascii="Arial" w:cs="Arial" w:eastAsia="Arial" w:hAnsi="Arial"/>
          <w:sz w:val="16"/>
          <w:szCs w:val="16"/>
          <w:b w:val="1"/>
          <w:bCs w:val="1"/>
          <w:color w:val="auto"/>
        </w:rPr>
        <w:t>Type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oAdd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07682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076825" cy="17145"/>
                    </a:xfrm>
                    <a:prstGeom prst="rect">
                      <a:avLst/>
                    </a:prstGeom>
                    <a:noFill/>
                  </pic:spPr>
                </pic:pic>
              </a:graphicData>
            </a:graphic>
          </wp:anchor>
        </w:drawing>
      </w:r>
    </w:p>
    <w:p>
      <w:pPr>
        <w:spacing w:after="0" w:line="16"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oRemove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144907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49070" cy="1714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169545</wp:posOffset>
            </wp:positionV>
            <wp:extent cx="144907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oAdd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07682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076825" cy="17145"/>
                    </a:xfrm>
                    <a:prstGeom prst="rect">
                      <a:avLst/>
                    </a:prstGeom>
                    <a:noFill/>
                  </pic:spPr>
                </pic:pic>
              </a:graphicData>
            </a:graphic>
          </wp:anchor>
        </w:drawing>
      </w:r>
    </w:p>
    <w:p>
      <w:pPr>
        <w:spacing w:after="0" w:line="16"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oRemove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144907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49070" cy="1714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169545</wp:posOffset>
            </wp:positionV>
            <wp:extent cx="144907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oAdd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07682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076825" cy="17145"/>
                    </a:xfrm>
                    <a:prstGeom prst="rect">
                      <a:avLst/>
                    </a:prstGeom>
                    <a:noFill/>
                  </pic:spPr>
                </pic:pic>
              </a:graphicData>
            </a:graphic>
          </wp:anchor>
        </w:drawing>
      </w:r>
    </w:p>
    <w:p>
      <w:pPr>
        <w:spacing w:after="0" w:line="16"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oRemove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144907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49070" cy="1714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169545</wp:posOffset>
            </wp:positionV>
            <wp:extent cx="144907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If amending or adding additional Articles, enter change(s) here</w:t>
      </w:r>
      <w:r>
        <w:rPr>
          <w:rFonts w:ascii="Arial" w:cs="Arial" w:eastAsia="Arial" w:hAnsi="Arial"/>
          <w:sz w:val="18"/>
          <w:szCs w:val="18"/>
          <w:u w:val="single" w:color="auto"/>
          <w:color w:val="auto"/>
        </w:rPr>
        <w:t>:</w:t>
      </w:r>
    </w:p>
    <w:p>
      <w:pPr>
        <w:spacing w:after="0" w:line="27" w:lineRule="exact"/>
        <w:rPr>
          <w:sz w:val="20"/>
          <w:szCs w:val="20"/>
          <w:color w:val="auto"/>
        </w:rPr>
      </w:pPr>
    </w:p>
    <w:p>
      <w:pPr>
        <w:ind w:left="660"/>
        <w:spacing w:after="0"/>
        <w:tabs>
          <w:tab w:leader="none" w:pos="3680" w:val="left"/>
        </w:tabs>
        <w:rPr>
          <w:sz w:val="20"/>
          <w:szCs w:val="20"/>
          <w:color w:val="auto"/>
        </w:rPr>
      </w:pPr>
      <w:r>
        <w:rPr>
          <w:rFonts w:ascii="Arial" w:cs="Arial" w:eastAsia="Arial" w:hAnsi="Arial"/>
          <w:sz w:val="18"/>
          <w:szCs w:val="18"/>
          <w:color w:val="auto"/>
        </w:rPr>
        <w:t>(a</w:t>
      </w:r>
      <w:r>
        <w:rPr>
          <w:rFonts w:ascii="Arial" w:cs="Arial" w:eastAsia="Arial" w:hAnsi="Arial"/>
          <w:sz w:val="18"/>
          <w:szCs w:val="18"/>
          <w:i w:val="1"/>
          <w:iCs w:val="1"/>
          <w:color w:val="auto"/>
        </w:rPr>
        <w:t>ttach additional sheets, if necessary).</w:t>
      </w:r>
      <w:r>
        <w:rPr>
          <w:sz w:val="20"/>
          <w:szCs w:val="20"/>
          <w:color w:val="auto"/>
        </w:rPr>
        <w:tab/>
      </w:r>
      <w:r>
        <w:rPr>
          <w:rFonts w:ascii="Arial" w:cs="Arial" w:eastAsia="Arial" w:hAnsi="Arial"/>
          <w:sz w:val="16"/>
          <w:szCs w:val="16"/>
          <w:i w:val="1"/>
          <w:iCs w:val="1"/>
          <w:color w:val="auto"/>
        </w:rPr>
        <w:t>(Be specific)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863600</wp:posOffset>
            </wp:positionV>
            <wp:extent cx="72466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b w:val="1"/>
          <w:bCs w:val="1"/>
          <w:u w:val="single" w:color="auto"/>
          <w:color w:val="auto"/>
        </w:rPr>
        <w:t>If an amendment provides for an exchange, reclassification, or cancellation of issued shares, provisions for implementing the amendment if not contained in the amendment itself:</w:t>
      </w: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if not applicable, indicate N/A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863600</wp:posOffset>
            </wp:positionV>
            <wp:extent cx="72466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Page 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 xml:space="preserve">The date of each amendment(s) adoption: </w:t>
      </w:r>
      <w:r>
        <w:rPr>
          <w:rFonts w:ascii="Arial" w:cs="Arial" w:eastAsia="Arial" w:hAnsi="Arial"/>
          <w:sz w:val="18"/>
          <w:szCs w:val="18"/>
          <w:color w:val="auto"/>
        </w:rPr>
        <w:t>July 29,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Effective date if applicable: </w:t>
      </w:r>
      <w:r>
        <w:rPr>
          <w:rFonts w:ascii="Arial" w:cs="Arial" w:eastAsia="Arial" w:hAnsi="Arial"/>
          <w:sz w:val="18"/>
          <w:szCs w:val="18"/>
          <w:color w:val="auto"/>
        </w:rPr>
        <w:t>December 28, 2010</w:t>
      </w:r>
    </w:p>
    <w:p>
      <w:pPr>
        <w:spacing w:after="0" w:line="27" w:lineRule="exact"/>
        <w:rPr>
          <w:sz w:val="20"/>
          <w:szCs w:val="20"/>
          <w:color w:val="auto"/>
        </w:rPr>
      </w:pPr>
    </w:p>
    <w:p>
      <w:pPr>
        <w:ind w:left="2300"/>
        <w:spacing w:after="0"/>
        <w:rPr>
          <w:sz w:val="20"/>
          <w:szCs w:val="20"/>
          <w:color w:val="auto"/>
        </w:rPr>
      </w:pPr>
      <w:r>
        <w:rPr>
          <w:rFonts w:ascii="Arial" w:cs="Arial" w:eastAsia="Arial" w:hAnsi="Arial"/>
          <w:sz w:val="18"/>
          <w:szCs w:val="18"/>
          <w:i w:val="1"/>
          <w:iCs w:val="1"/>
          <w:color w:val="auto"/>
        </w:rPr>
        <w:t>(no more than 90 days after amendment file date)</w:t>
      </w:r>
    </w:p>
    <w:p>
      <w:pPr>
        <w:spacing w:after="0" w:line="207" w:lineRule="exact"/>
        <w:rPr>
          <w:sz w:val="20"/>
          <w:szCs w:val="20"/>
          <w:color w:val="auto"/>
        </w:rPr>
      </w:pPr>
    </w:p>
    <w:p>
      <w:pPr>
        <w:spacing w:after="0"/>
        <w:tabs>
          <w:tab w:leader="none" w:pos="3120" w:val="left"/>
        </w:tabs>
        <w:rPr>
          <w:sz w:val="20"/>
          <w:szCs w:val="20"/>
          <w:color w:val="auto"/>
        </w:rPr>
      </w:pPr>
      <w:r>
        <w:rPr>
          <w:rFonts w:ascii="Arial" w:cs="Arial" w:eastAsia="Arial" w:hAnsi="Arial"/>
          <w:sz w:val="18"/>
          <w:szCs w:val="18"/>
          <w:b w:val="1"/>
          <w:bCs w:val="1"/>
          <w:color w:val="auto"/>
        </w:rPr>
        <w:t>Adoption of Amendment(s)</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CHECK ONE</w:t>
      </w:r>
      <w:r>
        <w:rPr>
          <w:rFonts w:ascii="Arial" w:cs="Arial" w:eastAsia="Arial" w:hAnsi="Arial"/>
          <w:sz w:val="18"/>
          <w:szCs w:val="18"/>
          <w:b w:val="1"/>
          <w:bCs w:val="1"/>
          <w:color w:val="auto"/>
        </w:rPr>
        <w:t>)</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 The amendment(s) was/were adopted by the shareholders. The number of votes cast for the amendment(s) by the shareholders was/were sufficient for approval.</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o The amendment(s) was/were approved by the shareholders through voting groups. </w:t>
      </w:r>
      <w:r>
        <w:rPr>
          <w:rFonts w:ascii="Arial" w:cs="Arial" w:eastAsia="Arial" w:hAnsi="Arial"/>
          <w:sz w:val="18"/>
          <w:szCs w:val="18"/>
          <w:i w:val="1"/>
          <w:iCs w:val="1"/>
          <w:color w:val="auto"/>
        </w:rPr>
        <w:t>The following statement must be separately provided for each voting</w:t>
      </w:r>
      <w:r>
        <w:rPr>
          <w:rFonts w:ascii="Arial" w:cs="Arial" w:eastAsia="Arial" w:hAnsi="Arial"/>
          <w:sz w:val="18"/>
          <w:szCs w:val="18"/>
          <w:color w:val="auto"/>
        </w:rPr>
        <w:t xml:space="preserve"> </w:t>
      </w:r>
      <w:r>
        <w:rPr>
          <w:rFonts w:ascii="Arial" w:cs="Arial" w:eastAsia="Arial" w:hAnsi="Arial"/>
          <w:sz w:val="18"/>
          <w:szCs w:val="18"/>
          <w:i w:val="1"/>
          <w:iCs w:val="1"/>
          <w:color w:val="auto"/>
        </w:rPr>
        <w:t>group entitled to vote separately on the amendment(s):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number of votes cast for the amendment(s) was/were sufficient for approval</w:t>
      </w:r>
    </w:p>
    <w:p>
      <w:pPr>
        <w:spacing w:after="0" w:line="200" w:lineRule="exact"/>
        <w:rPr>
          <w:sz w:val="20"/>
          <w:szCs w:val="20"/>
          <w:color w:val="auto"/>
        </w:rPr>
      </w:pPr>
    </w:p>
    <w:p>
      <w:pPr>
        <w:spacing w:after="0" w:line="241" w:lineRule="exact"/>
        <w:rPr>
          <w:sz w:val="20"/>
          <w:szCs w:val="20"/>
          <w:color w:val="auto"/>
        </w:rPr>
      </w:pPr>
    </w:p>
    <w:p>
      <w:pPr>
        <w:ind w:left="460"/>
        <w:spacing w:after="0"/>
        <w:tabs>
          <w:tab w:leader="none" w:pos="5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14605</wp:posOffset>
            </wp:positionV>
            <wp:extent cx="260731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2300"/>
        <w:spacing w:after="0"/>
        <w:rPr>
          <w:sz w:val="20"/>
          <w:szCs w:val="20"/>
          <w:color w:val="auto"/>
        </w:rPr>
      </w:pPr>
      <w:r>
        <w:rPr>
          <w:rFonts w:ascii="Arial" w:cs="Arial" w:eastAsia="Arial" w:hAnsi="Arial"/>
          <w:sz w:val="18"/>
          <w:szCs w:val="18"/>
          <w:i w:val="1"/>
          <w:iCs w:val="1"/>
          <w:color w:val="auto"/>
        </w:rPr>
        <w:t>(voting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 The amendment(s) was/were adopted by the board of directors without shareholder action and shareholder action was not required.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 The amendment(s) was/were adopted by the incorporators without shareholder action and shareholder action was not required.</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Dated: December 28, 2010</w:t>
      </w:r>
    </w:p>
    <w:p>
      <w:pPr>
        <w:spacing w:after="0" w:line="225" w:lineRule="exact"/>
        <w:rPr>
          <w:sz w:val="20"/>
          <w:szCs w:val="20"/>
          <w:color w:val="auto"/>
        </w:rPr>
      </w:pPr>
    </w:p>
    <w:p>
      <w:pPr>
        <w:ind w:left="1040"/>
        <w:spacing w:after="0"/>
        <w:tabs>
          <w:tab w:leader="none" w:pos="252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14605</wp:posOffset>
            </wp:positionV>
            <wp:extent cx="282130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21305" cy="17145"/>
                    </a:xfrm>
                    <a:prstGeom prst="rect">
                      <a:avLst/>
                    </a:prstGeom>
                    <a:noFill/>
                  </pic:spPr>
                </pic:pic>
              </a:graphicData>
            </a:graphic>
          </wp:anchor>
        </w:drawing>
      </w:r>
    </w:p>
    <w:p>
      <w:pPr>
        <w:spacing w:after="0" w:line="16" w:lineRule="exact"/>
        <w:rPr>
          <w:sz w:val="20"/>
          <w:szCs w:val="20"/>
          <w:color w:val="auto"/>
        </w:rPr>
      </w:pPr>
    </w:p>
    <w:p>
      <w:pPr>
        <w:ind w:left="2540" w:right="120"/>
        <w:spacing w:after="0" w:line="277" w:lineRule="auto"/>
        <w:rPr>
          <w:sz w:val="20"/>
          <w:szCs w:val="20"/>
          <w:color w:val="auto"/>
        </w:rPr>
      </w:pPr>
      <w:r>
        <w:rPr>
          <w:rFonts w:ascii="Arial" w:cs="Arial" w:eastAsia="Arial" w:hAnsi="Arial"/>
          <w:sz w:val="18"/>
          <w:szCs w:val="18"/>
          <w:color w:val="auto"/>
        </w:rPr>
        <w:t>(By a director, president or other officer – if directors or officers have not been selected, by an incorporator – if in the hands of a receiver, trustee, or other court appointed fiduciary by that fiduciary)</w:t>
      </w:r>
    </w:p>
    <w:p>
      <w:pPr>
        <w:spacing w:after="0" w:line="197"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Ronald M. Faris</w:t>
      </w:r>
    </w:p>
    <w:p>
      <w:pPr>
        <w:spacing w:after="0" w:line="2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(Typed or printed name of person signing)</w:t>
      </w:r>
    </w:p>
    <w:p>
      <w:pPr>
        <w:spacing w:after="0" w:line="211"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President and Chief Operating Officer</w:t>
      </w:r>
    </w:p>
    <w:p>
      <w:pPr>
        <w:spacing w:after="0" w:line="2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(Title of person signing)</w:t>
      </w:r>
    </w:p>
    <w:p>
      <w:pPr>
        <w:spacing w:after="0" w:line="35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Page 3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486" w:right="55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CORRECTION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Ocwen Financial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Document Number (if known): S75556</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provisions of Section 607.0124 or 617.0124, Florida Statutes, this corporation files these Articles of Correction within 30 days of the file date of the document being corrected.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These articles of correction correct the Articles of Amendment to Articles of Incorporation, filed with the Department of State on December 28, 2010.</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Specify the inaccuracy, incorrect statement, or defect: The effective date of the Articles of Amendment to Articles of Incorporation of Ocwen Financial Corporation was incorrectly stated as December 28, 2010.</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Correct the inaccuracy, incorrect statement, or defect: The effective date of the Articles of Amendment to Articles of Incorporation of Ocwen Financial Corporation is January 1, 2011.</w:t>
      </w:r>
    </w:p>
    <w:p>
      <w:pPr>
        <w:spacing w:after="0" w:line="166"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w:t>
      </w:r>
      <w:r>
        <w:rPr>
          <w:rFonts w:ascii="Arial" w:cs="Arial" w:eastAsia="Arial" w:hAnsi="Arial"/>
          <w:sz w:val="18"/>
          <w:szCs w:val="18"/>
          <w:b w:val="1"/>
          <w:bCs w:val="1"/>
          <w:color w:val="auto"/>
        </w:rPr>
        <w:t xml:space="preserve">/ </w:t>
      </w:r>
      <w:r>
        <w:rPr>
          <w:rFonts w:ascii="Arial" w:cs="Arial" w:eastAsia="Arial" w:hAnsi="Arial"/>
          <w:sz w:val="18"/>
          <w:szCs w:val="18"/>
          <w:color w:val="auto"/>
        </w:rPr>
        <w:t>Kristen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17145</wp:posOffset>
            </wp:positionV>
            <wp:extent cx="304419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044190" cy="17145"/>
                    </a:xfrm>
                    <a:prstGeom prst="rect">
                      <a:avLst/>
                    </a:prstGeom>
                    <a:noFill/>
                  </pic:spPr>
                </pic:pic>
              </a:graphicData>
            </a:graphic>
          </wp:anchor>
        </w:drawing>
      </w:r>
    </w:p>
    <w:p>
      <w:pPr>
        <w:spacing w:after="0" w:line="2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of a director, president or other officer – if directors or</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officers have not been selected, by an incorporator - if in the</w:t>
      </w:r>
    </w:p>
    <w:p>
      <w:pPr>
        <w:spacing w:after="0" w:line="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hands of the receiver, trustee, or other court appointed fiduciary,</w:t>
      </w:r>
    </w:p>
    <w:p>
      <w:pPr>
        <w:spacing w:after="0" w:line="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by that fiduciary.)</w:t>
      </w:r>
    </w:p>
    <w:p>
      <w:pPr>
        <w:spacing w:after="0" w:line="211"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Kristen Wagner</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(Typed or printed name of person signing)</w:t>
      </w:r>
    </w:p>
    <w:p>
      <w:pPr>
        <w:spacing w:after="0" w:line="211"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Assistant Secretary</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(Title of person signing)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2" w:name="page123"/>
    <w:bookmarkEnd w:id="122"/>
    <w:p>
      <w:pPr>
        <w:ind w:left="10480"/>
        <w:spacing w:after="0"/>
        <w:rPr>
          <w:sz w:val="20"/>
          <w:szCs w:val="20"/>
          <w:color w:val="auto"/>
        </w:rPr>
      </w:pPr>
      <w:r>
        <w:rPr>
          <w:rFonts w:ascii="Arial" w:cs="Arial" w:eastAsia="Arial" w:hAnsi="Arial"/>
          <w:sz w:val="16"/>
          <w:szCs w:val="16"/>
          <w:b w:val="1"/>
          <w:bCs w:val="1"/>
          <w:color w:val="auto"/>
        </w:rPr>
        <w:t>Exhibit 12.1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EARNINGS TO FIXED CHARGES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8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(Dollars in thousands)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AF9E8"/>
          </w:tcPr>
          <w:p>
            <w:pPr>
              <w:spacing w:after="0"/>
              <w:rPr>
                <w:sz w:val="20"/>
                <w:szCs w:val="20"/>
                <w:color w:val="auto"/>
              </w:rPr>
            </w:pPr>
            <w:r>
              <w:rPr>
                <w:rFonts w:ascii="Arial" w:cs="Arial" w:eastAsia="Arial" w:hAnsi="Arial"/>
                <w:sz w:val="18"/>
                <w:szCs w:val="18"/>
                <w:color w:val="auto"/>
              </w:rPr>
              <w:t>Earnings:</w:t>
            </w: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ind w:left="60"/>
              <w:spacing w:after="0" w:line="201" w:lineRule="exact"/>
              <w:rPr>
                <w:sz w:val="20"/>
                <w:szCs w:val="20"/>
                <w:color w:val="auto"/>
              </w:rPr>
            </w:pPr>
            <w:r>
              <w:rPr>
                <w:rFonts w:ascii="Arial" w:cs="Arial" w:eastAsia="Arial" w:hAnsi="Arial"/>
                <w:sz w:val="18"/>
                <w:szCs w:val="18"/>
                <w:color w:val="auto"/>
              </w:rPr>
              <w:t>Income (loss) from continuing operations before</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140"/>
              <w:spacing w:after="0"/>
              <w:rPr>
                <w:sz w:val="20"/>
                <w:szCs w:val="20"/>
                <w:color w:val="auto"/>
              </w:rPr>
            </w:pPr>
            <w:r>
              <w:rPr>
                <w:rFonts w:ascii="Arial" w:cs="Arial" w:eastAsia="Arial" w:hAnsi="Arial"/>
                <w:sz w:val="18"/>
                <w:szCs w:val="18"/>
                <w:color w:val="auto"/>
              </w:rPr>
              <w:t>income taxes (1)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37,783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96,194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44,093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49,891</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77,951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Add: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shd w:val="clear" w:color="auto" w:fill="EAF9E8"/>
          </w:tcPr>
          <w:p>
            <w:pPr>
              <w:ind w:left="60"/>
              <w:spacing w:after="0" w:line="201" w:lineRule="exact"/>
              <w:rPr>
                <w:sz w:val="20"/>
                <w:szCs w:val="20"/>
                <w:color w:val="auto"/>
              </w:rPr>
            </w:pPr>
            <w:r>
              <w:rPr>
                <w:rFonts w:ascii="Arial" w:cs="Arial" w:eastAsia="Arial" w:hAnsi="Arial"/>
                <w:sz w:val="18"/>
                <w:szCs w:val="18"/>
                <w:color w:val="auto"/>
                <w:w w:val="98"/>
              </w:rPr>
              <w:t>Interest expensed and capitalized, except interest on</w:t>
            </w:r>
          </w:p>
        </w:tc>
        <w:tc>
          <w:tcPr>
            <w:tcW w:w="24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deposits, and amortization of capitalized debt</w:t>
            </w: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expenses</w:t>
            </w:r>
          </w:p>
        </w:tc>
        <w:tc>
          <w:tcPr>
            <w:tcW w:w="240" w:type="dxa"/>
            <w:vAlign w:val="bottom"/>
            <w:shd w:val="clear" w:color="auto" w:fill="EAF9E8"/>
          </w:tcPr>
          <w:p>
            <w:pPr>
              <w:spacing w:after="0"/>
              <w:rPr>
                <w:sz w:val="20"/>
                <w:szCs w:val="20"/>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85,011</w:t>
            </w:r>
          </w:p>
        </w:tc>
        <w:tc>
          <w:tcPr>
            <w:tcW w:w="340" w:type="dxa"/>
            <w:vAlign w:val="bottom"/>
            <w:shd w:val="clear" w:color="auto" w:fill="EAF9E8"/>
          </w:tcPr>
          <w:p>
            <w:pPr>
              <w:spacing w:after="0"/>
              <w:rPr>
                <w:sz w:val="20"/>
                <w:szCs w:val="20"/>
                <w:color w:val="auto"/>
              </w:rPr>
            </w:pPr>
          </w:p>
        </w:tc>
        <w:tc>
          <w:tcPr>
            <w:tcW w:w="260" w:type="dxa"/>
            <w:vAlign w:val="bottom"/>
            <w:shd w:val="clear" w:color="auto" w:fill="EAF9E8"/>
          </w:tcPr>
          <w:p>
            <w:pPr>
              <w:spacing w:after="0"/>
              <w:rPr>
                <w:sz w:val="20"/>
                <w:szCs w:val="20"/>
                <w:color w:val="auto"/>
              </w:rPr>
            </w:pPr>
          </w:p>
        </w:tc>
        <w:tc>
          <w:tcPr>
            <w:tcW w:w="12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62,541</w:t>
            </w:r>
          </w:p>
        </w:tc>
        <w:tc>
          <w:tcPr>
            <w:tcW w:w="240" w:type="dxa"/>
            <w:vAlign w:val="bottom"/>
            <w:shd w:val="clear" w:color="auto" w:fill="EAF9E8"/>
          </w:tcPr>
          <w:p>
            <w:pPr>
              <w:spacing w:after="0"/>
              <w:rPr>
                <w:sz w:val="20"/>
                <w:szCs w:val="20"/>
                <w:color w:val="auto"/>
              </w:rPr>
            </w:pPr>
          </w:p>
        </w:tc>
        <w:tc>
          <w:tcPr>
            <w:tcW w:w="12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86,141</w:t>
            </w:r>
          </w:p>
        </w:tc>
        <w:tc>
          <w:tcPr>
            <w:tcW w:w="240" w:type="dxa"/>
            <w:vAlign w:val="bottom"/>
            <w:shd w:val="clear" w:color="auto" w:fill="EAF9E8"/>
          </w:tcPr>
          <w:p>
            <w:pPr>
              <w:spacing w:after="0"/>
              <w:rPr>
                <w:sz w:val="20"/>
                <w:szCs w:val="20"/>
                <w:color w:val="auto"/>
              </w:rPr>
            </w:pPr>
          </w:p>
        </w:tc>
        <w:tc>
          <w:tcPr>
            <w:tcW w:w="10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75,890</w:t>
            </w:r>
          </w:p>
        </w:tc>
        <w:tc>
          <w:tcPr>
            <w:tcW w:w="16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56,318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Interest on deposits</w:t>
            </w:r>
          </w:p>
        </w:tc>
        <w:tc>
          <w:tcPr>
            <w:tcW w:w="24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908</w:t>
            </w:r>
          </w:p>
        </w:tc>
        <w:tc>
          <w:tcPr>
            <w:tcW w:w="26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572</w:t>
            </w: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654</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917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bottom w:val="single" w:sz="8" w:color="EAF9E8"/>
            </w:tcBorders>
            <w:shd w:val="clear" w:color="auto" w:fill="EAF9E8"/>
          </w:tcPr>
          <w:p>
            <w:pPr>
              <w:ind w:left="60"/>
              <w:spacing w:after="0"/>
              <w:rPr>
                <w:sz w:val="20"/>
                <w:szCs w:val="20"/>
                <w:color w:val="auto"/>
              </w:rPr>
            </w:pPr>
            <w:r>
              <w:rPr>
                <w:rFonts w:ascii="Arial" w:cs="Arial" w:eastAsia="Arial" w:hAnsi="Arial"/>
                <w:sz w:val="18"/>
                <w:szCs w:val="18"/>
                <w:color w:val="auto"/>
              </w:rPr>
              <w:t>Interest component of rental expense</w:t>
            </w:r>
          </w:p>
        </w:tc>
        <w:tc>
          <w:tcPr>
            <w:tcW w:w="240" w:type="dxa"/>
            <w:vAlign w:val="bottom"/>
            <w:tcBorders>
              <w:bottom w:val="single" w:sz="8" w:color="auto"/>
            </w:tcBorders>
            <w:shd w:val="clear" w:color="auto" w:fill="EAF9E8"/>
          </w:tcPr>
          <w:p>
            <w:pPr>
              <w:spacing w:after="0"/>
              <w:rPr>
                <w:sz w:val="19"/>
                <w:szCs w:val="19"/>
                <w:color w:val="auto"/>
              </w:rPr>
            </w:pPr>
          </w:p>
        </w:tc>
        <w:tc>
          <w:tcPr>
            <w:tcW w:w="9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4,101</w:t>
            </w:r>
          </w:p>
        </w:tc>
        <w:tc>
          <w:tcPr>
            <w:tcW w:w="340" w:type="dxa"/>
            <w:vAlign w:val="bottom"/>
            <w:tcBorders>
              <w:bottom w:val="single" w:sz="8" w:color="EAF9E8"/>
            </w:tcBorders>
            <w:shd w:val="clear" w:color="auto" w:fill="EAF9E8"/>
          </w:tcPr>
          <w:p>
            <w:pPr>
              <w:spacing w:after="0"/>
              <w:rPr>
                <w:sz w:val="19"/>
                <w:szCs w:val="19"/>
                <w:color w:val="auto"/>
              </w:rPr>
            </w:pPr>
          </w:p>
        </w:tc>
        <w:tc>
          <w:tcPr>
            <w:tcW w:w="260" w:type="dxa"/>
            <w:vAlign w:val="bottom"/>
            <w:tcBorders>
              <w:bottom w:val="single" w:sz="8" w:color="auto"/>
            </w:tcBorders>
            <w:shd w:val="clear" w:color="auto" w:fill="EAF9E8"/>
          </w:tcPr>
          <w:p>
            <w:pPr>
              <w:spacing w:after="0"/>
              <w:rPr>
                <w:sz w:val="19"/>
                <w:szCs w:val="19"/>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2,100</w:t>
            </w:r>
          </w:p>
        </w:tc>
        <w:tc>
          <w:tcPr>
            <w:tcW w:w="36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auto"/>
            </w:tcBorders>
            <w:shd w:val="clear" w:color="auto" w:fill="EAF9E8"/>
          </w:tcPr>
          <w:p>
            <w:pPr>
              <w:spacing w:after="0"/>
              <w:rPr>
                <w:sz w:val="19"/>
                <w:szCs w:val="19"/>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2,650</w:t>
            </w:r>
          </w:p>
        </w:tc>
        <w:tc>
          <w:tcPr>
            <w:tcW w:w="32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auto"/>
            </w:tcBorders>
            <w:shd w:val="clear" w:color="auto" w:fill="EAF9E8"/>
          </w:tcPr>
          <w:p>
            <w:pPr>
              <w:spacing w:after="0"/>
              <w:rPr>
                <w:sz w:val="19"/>
                <w:szCs w:val="19"/>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2,217</w:t>
            </w:r>
          </w:p>
        </w:tc>
        <w:tc>
          <w:tcPr>
            <w:tcW w:w="16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auto"/>
            </w:tcBorders>
            <w:shd w:val="clear" w:color="auto" w:fill="EAF9E8"/>
          </w:tcPr>
          <w:p>
            <w:pPr>
              <w:spacing w:after="0"/>
              <w:rPr>
                <w:sz w:val="19"/>
                <w:szCs w:val="19"/>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1,513</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Total fixed charges (2)</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90,020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65,213</w:t>
            </w: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89,445</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79,024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58,779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220" w:type="dxa"/>
            <w:vAlign w:val="bottom"/>
            <w:shd w:val="clear" w:color="auto" w:fill="EAF9E8"/>
          </w:tcPr>
          <w:p>
            <w:pPr>
              <w:spacing w:after="0"/>
              <w:rPr>
                <w:sz w:val="20"/>
                <w:szCs w:val="20"/>
                <w:color w:val="auto"/>
              </w:rPr>
            </w:pPr>
            <w:r>
              <w:rPr>
                <w:rFonts w:ascii="Arial" w:cs="Arial" w:eastAsia="Arial" w:hAnsi="Arial"/>
                <w:sz w:val="18"/>
                <w:szCs w:val="18"/>
                <w:color w:val="auto"/>
              </w:rPr>
              <w:t>Earnings (losses) for computation purposes</w:t>
            </w:r>
          </w:p>
        </w:tc>
        <w:tc>
          <w:tcPr>
            <w:tcW w:w="240" w:type="dxa"/>
            <w:vAlign w:val="bottom"/>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127,803</w:t>
            </w:r>
          </w:p>
        </w:tc>
        <w:tc>
          <w:tcPr>
            <w:tcW w:w="340" w:type="dxa"/>
            <w:vAlign w:val="bottom"/>
            <w:shd w:val="clear" w:color="auto" w:fill="EAF9E8"/>
          </w:tcPr>
          <w:p>
            <w:pPr>
              <w:spacing w:after="0"/>
              <w:rPr>
                <w:sz w:val="22"/>
                <w:szCs w:val="22"/>
                <w:color w:val="auto"/>
              </w:rPr>
            </w:pPr>
          </w:p>
        </w:tc>
        <w:tc>
          <w:tcPr>
            <w:tcW w:w="26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161,407</w:t>
            </w:r>
          </w:p>
        </w:tc>
        <w:tc>
          <w:tcPr>
            <w:tcW w:w="360" w:type="dxa"/>
            <w:vAlign w:val="bottom"/>
            <w:shd w:val="clear" w:color="auto" w:fill="EAF9E8"/>
          </w:tcPr>
          <w:p>
            <w:pPr>
              <w:spacing w:after="0"/>
              <w:rPr>
                <w:sz w:val="22"/>
                <w:szCs w:val="22"/>
                <w:color w:val="auto"/>
              </w:rPr>
            </w:pPr>
          </w:p>
        </w:tc>
        <w:tc>
          <w:tcPr>
            <w:tcW w:w="24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133,538</w:t>
            </w:r>
          </w:p>
        </w:tc>
        <w:tc>
          <w:tcPr>
            <w:tcW w:w="320" w:type="dxa"/>
            <w:vAlign w:val="bottom"/>
            <w:shd w:val="clear" w:color="auto" w:fill="EAF9E8"/>
          </w:tcPr>
          <w:p>
            <w:pPr>
              <w:spacing w:after="0"/>
              <w:rPr>
                <w:sz w:val="22"/>
                <w:szCs w:val="22"/>
                <w:color w:val="auto"/>
              </w:rPr>
            </w:pPr>
          </w:p>
        </w:tc>
        <w:tc>
          <w:tcPr>
            <w:tcW w:w="240" w:type="dxa"/>
            <w:vAlign w:val="bottom"/>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128,915</w:t>
            </w:r>
          </w:p>
        </w:tc>
        <w:tc>
          <w:tcPr>
            <w:tcW w:w="160" w:type="dxa"/>
            <w:vAlign w:val="bottom"/>
            <w:shd w:val="clear" w:color="auto" w:fill="EAF9E8"/>
          </w:tcPr>
          <w:p>
            <w:pPr>
              <w:spacing w:after="0"/>
              <w:rPr>
                <w:sz w:val="22"/>
                <w:szCs w:val="22"/>
                <w:color w:val="auto"/>
              </w:rPr>
            </w:pPr>
          </w:p>
        </w:tc>
        <w:tc>
          <w:tcPr>
            <w:tcW w:w="4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136,730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EAF9E8"/>
            </w:tcBorders>
          </w:tcPr>
          <w:p>
            <w:pPr>
              <w:spacing w:after="0"/>
              <w:rPr>
                <w:sz w:val="18"/>
                <w:szCs w:val="18"/>
                <w:color w:val="auto"/>
              </w:rPr>
            </w:pPr>
          </w:p>
        </w:tc>
        <w:tc>
          <w:tcPr>
            <w:tcW w:w="16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AF9E8"/>
          </w:tcPr>
          <w:p>
            <w:pPr>
              <w:spacing w:after="0"/>
              <w:rPr>
                <w:sz w:val="20"/>
                <w:szCs w:val="20"/>
                <w:color w:val="auto"/>
              </w:rPr>
            </w:pPr>
            <w:r>
              <w:rPr>
                <w:rFonts w:ascii="Arial" w:cs="Arial" w:eastAsia="Arial" w:hAnsi="Arial"/>
                <w:sz w:val="18"/>
                <w:szCs w:val="18"/>
                <w:color w:val="auto"/>
              </w:rPr>
              <w:t>Ratio of earnings to fixed charges:</w:t>
            </w: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Including interest on deposits (3)</w:t>
            </w:r>
          </w:p>
        </w:tc>
        <w:tc>
          <w:tcPr>
            <w:tcW w:w="24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1.42</w:t>
            </w:r>
          </w:p>
        </w:tc>
        <w:tc>
          <w:tcPr>
            <w:tcW w:w="26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2.48</w:t>
            </w: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1.49</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AF9E8"/>
          </w:tcPr>
          <w:p>
            <w:pPr>
              <w:ind w:left="60"/>
              <w:spacing w:after="0"/>
              <w:rPr>
                <w:sz w:val="20"/>
                <w:szCs w:val="20"/>
                <w:color w:val="auto"/>
              </w:rPr>
            </w:pPr>
            <w:r>
              <w:rPr>
                <w:rFonts w:ascii="Arial" w:cs="Arial" w:eastAsia="Arial" w:hAnsi="Arial"/>
                <w:sz w:val="18"/>
                <w:szCs w:val="18"/>
                <w:color w:val="auto"/>
              </w:rPr>
              <w:t>Excluding interest on deposits (3)</w:t>
            </w:r>
          </w:p>
        </w:tc>
        <w:tc>
          <w:tcPr>
            <w:tcW w:w="24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1.42</w:t>
            </w: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2.49</w:t>
            </w:r>
          </w:p>
        </w:tc>
        <w:tc>
          <w:tcPr>
            <w:tcW w:w="2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80" w:hanging="572"/>
        <w:spacing w:after="0"/>
        <w:tabs>
          <w:tab w:leader="none" w:pos="5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Excludes income or loss from equity investees but includes any distributions received representing a return on capital</w:t>
      </w:r>
    </w:p>
    <w:p>
      <w:pPr>
        <w:spacing w:after="0" w:line="225"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Fixed charges represent total interest expensed and capitalized, including and excluding interest on deposits, amortization of capitalized debt expenses as well as the interest component of rental expense.</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ratios of earnings to fixed charges were computed by dividing (x) income from continuing operations before income taxes plus fixed charges by</w:t>
      </w:r>
    </w:p>
    <w:p>
      <w:pPr>
        <w:spacing w:after="0" w:line="46"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(y) fixed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SIGNIFICANT DIRECT AND INDIRECT SUBSIDIARIES OF OCWEN FINANCIAL CORPORATION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40" w:type="dxa"/>
            <w:vAlign w:val="bottom"/>
            <w:gridSpan w:val="2"/>
          </w:tcPr>
          <w:p>
            <w:pPr>
              <w:spacing w:after="0"/>
              <w:rPr>
                <w:sz w:val="20"/>
                <w:szCs w:val="20"/>
                <w:color w:val="auto"/>
              </w:rPr>
            </w:pPr>
            <w:r>
              <w:rPr>
                <w:rFonts w:ascii="Arial" w:cs="Arial" w:eastAsia="Arial" w:hAnsi="Arial"/>
                <w:sz w:val="18"/>
                <w:szCs w:val="18"/>
                <w:color w:val="auto"/>
              </w:rPr>
              <w:t>Name</w:t>
            </w:r>
          </w:p>
        </w:tc>
        <w:tc>
          <w:tcPr>
            <w:tcW w:w="34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1"/>
              </w:rPr>
              <w:t>State or Other Jurisdiction of Organization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EAF9E8"/>
          </w:tcPr>
          <w:p>
            <w:pPr>
              <w:spacing w:after="0"/>
              <w:rPr>
                <w:sz w:val="20"/>
                <w:szCs w:val="20"/>
                <w:color w:val="auto"/>
              </w:rPr>
            </w:pPr>
            <w:r>
              <w:rPr>
                <w:rFonts w:ascii="Arial" w:cs="Arial" w:eastAsia="Arial" w:hAnsi="Arial"/>
                <w:sz w:val="18"/>
                <w:szCs w:val="18"/>
                <w:color w:val="auto"/>
              </w:rPr>
              <w:t>Ocwen Loan Servicing, LLC (1)</w:t>
            </w:r>
          </w:p>
        </w:tc>
        <w:tc>
          <w:tcPr>
            <w:tcW w:w="340" w:type="dxa"/>
            <w:vAlign w:val="bottom"/>
            <w:shd w:val="clear" w:color="auto" w:fill="EAF9E8"/>
          </w:tcPr>
          <w:p>
            <w:pPr>
              <w:spacing w:after="0"/>
              <w:rPr>
                <w:sz w:val="18"/>
                <w:szCs w:val="18"/>
                <w:color w:val="auto"/>
              </w:rPr>
            </w:pPr>
          </w:p>
        </w:tc>
        <w:tc>
          <w:tcPr>
            <w:tcW w:w="43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EAF9E8"/>
          </w:tcPr>
          <w:p>
            <w:pPr>
              <w:spacing w:after="0"/>
              <w:rPr>
                <w:sz w:val="20"/>
                <w:szCs w:val="20"/>
                <w:color w:val="auto"/>
              </w:rPr>
            </w:pPr>
            <w:r>
              <w:rPr>
                <w:rFonts w:ascii="Arial" w:cs="Arial" w:eastAsia="Arial" w:hAnsi="Arial"/>
                <w:sz w:val="18"/>
                <w:szCs w:val="18"/>
                <w:color w:val="auto"/>
              </w:rPr>
              <w:t>Ocwen Financial Solutions Pvt. Ltd (1)</w:t>
            </w:r>
          </w:p>
        </w:tc>
        <w:tc>
          <w:tcPr>
            <w:tcW w:w="340" w:type="dxa"/>
            <w:vAlign w:val="bottom"/>
            <w:shd w:val="clear" w:color="auto" w:fill="EAF9E8"/>
          </w:tcPr>
          <w:p>
            <w:pPr>
              <w:spacing w:after="0"/>
              <w:rPr>
                <w:sz w:val="18"/>
                <w:szCs w:val="18"/>
                <w:color w:val="auto"/>
              </w:rPr>
            </w:pPr>
          </w:p>
        </w:tc>
        <w:tc>
          <w:tcPr>
            <w:tcW w:w="43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7"/>
              </w:rPr>
              <w:t>India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EAF9E8"/>
          </w:tcPr>
          <w:p>
            <w:pPr>
              <w:spacing w:after="0"/>
              <w:rPr>
                <w:sz w:val="20"/>
                <w:szCs w:val="20"/>
                <w:color w:val="auto"/>
              </w:rPr>
            </w:pPr>
            <w:r>
              <w:rPr>
                <w:rFonts w:ascii="Arial" w:cs="Arial" w:eastAsia="Arial" w:hAnsi="Arial"/>
                <w:sz w:val="18"/>
                <w:szCs w:val="18"/>
                <w:color w:val="auto"/>
              </w:rPr>
              <w:t>OMAT1 REO Holdings, LLC (1)</w:t>
            </w:r>
          </w:p>
        </w:tc>
        <w:tc>
          <w:tcPr>
            <w:tcW w:w="340" w:type="dxa"/>
            <w:vAlign w:val="bottom"/>
            <w:shd w:val="clear" w:color="auto" w:fill="EAF9E8"/>
          </w:tcPr>
          <w:p>
            <w:pPr>
              <w:spacing w:after="0"/>
              <w:rPr>
                <w:sz w:val="18"/>
                <w:szCs w:val="18"/>
                <w:color w:val="auto"/>
              </w:rPr>
            </w:pPr>
          </w:p>
        </w:tc>
        <w:tc>
          <w:tcPr>
            <w:tcW w:w="43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EAF9E8"/>
          </w:tcPr>
          <w:p>
            <w:pPr>
              <w:spacing w:after="0"/>
              <w:rPr>
                <w:sz w:val="20"/>
                <w:szCs w:val="20"/>
                <w:color w:val="auto"/>
              </w:rPr>
            </w:pPr>
            <w:r>
              <w:rPr>
                <w:rFonts w:ascii="Arial" w:cs="Arial" w:eastAsia="Arial" w:hAnsi="Arial"/>
                <w:sz w:val="18"/>
                <w:szCs w:val="18"/>
                <w:color w:val="auto"/>
              </w:rPr>
              <w:t>Real Estate Servicing Solutions, Inc. (1)</w:t>
            </w:r>
          </w:p>
        </w:tc>
        <w:tc>
          <w:tcPr>
            <w:tcW w:w="340" w:type="dxa"/>
            <w:vAlign w:val="bottom"/>
            <w:shd w:val="clear" w:color="auto" w:fill="EAF9E8"/>
          </w:tcPr>
          <w:p>
            <w:pPr>
              <w:spacing w:after="0"/>
              <w:rPr>
                <w:sz w:val="18"/>
                <w:szCs w:val="18"/>
                <w:color w:val="auto"/>
              </w:rPr>
            </w:pPr>
          </w:p>
        </w:tc>
        <w:tc>
          <w:tcPr>
            <w:tcW w:w="43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EAF9E8"/>
          </w:tcPr>
          <w:p>
            <w:pPr>
              <w:spacing w:after="0"/>
              <w:rPr>
                <w:sz w:val="20"/>
                <w:szCs w:val="20"/>
                <w:color w:val="auto"/>
              </w:rPr>
            </w:pPr>
            <w:r>
              <w:rPr>
                <w:rFonts w:ascii="Arial" w:cs="Arial" w:eastAsia="Arial" w:hAnsi="Arial"/>
                <w:sz w:val="18"/>
                <w:szCs w:val="18"/>
                <w:color w:val="auto"/>
              </w:rPr>
              <w:t>Ocwen Partnership, L. P. (1)</w:t>
            </w:r>
          </w:p>
        </w:tc>
        <w:tc>
          <w:tcPr>
            <w:tcW w:w="340" w:type="dxa"/>
            <w:vAlign w:val="bottom"/>
            <w:shd w:val="clear" w:color="auto" w:fill="EAF9E8"/>
          </w:tcPr>
          <w:p>
            <w:pPr>
              <w:spacing w:after="0"/>
              <w:rPr>
                <w:sz w:val="18"/>
                <w:szCs w:val="18"/>
                <w:color w:val="auto"/>
              </w:rPr>
            </w:pPr>
          </w:p>
        </w:tc>
        <w:tc>
          <w:tcPr>
            <w:tcW w:w="43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6"/>
              </w:rPr>
              <w:t>Virginia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EAF9E8"/>
          </w:tcPr>
          <w:p>
            <w:pPr>
              <w:spacing w:after="0"/>
              <w:rPr>
                <w:sz w:val="20"/>
                <w:szCs w:val="20"/>
                <w:color w:val="auto"/>
              </w:rPr>
            </w:pPr>
            <w:r>
              <w:rPr>
                <w:rFonts w:ascii="Arial" w:cs="Arial" w:eastAsia="Arial" w:hAnsi="Arial"/>
                <w:sz w:val="18"/>
                <w:szCs w:val="18"/>
                <w:color w:val="auto"/>
              </w:rPr>
              <w:t>Investors Mortgage Insurance Holding Company (2)</w:t>
            </w:r>
          </w:p>
        </w:tc>
        <w:tc>
          <w:tcPr>
            <w:tcW w:w="340" w:type="dxa"/>
            <w:vAlign w:val="bottom"/>
            <w:shd w:val="clear" w:color="auto" w:fill="EAF9E8"/>
          </w:tcPr>
          <w:p>
            <w:pPr>
              <w:spacing w:after="0"/>
              <w:rPr>
                <w:sz w:val="18"/>
                <w:szCs w:val="18"/>
                <w:color w:val="auto"/>
              </w:rPr>
            </w:pPr>
          </w:p>
        </w:tc>
        <w:tc>
          <w:tcPr>
            <w:tcW w:w="43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EAF9E8"/>
          </w:tcPr>
          <w:p>
            <w:pPr>
              <w:spacing w:after="0"/>
              <w:rPr>
                <w:sz w:val="20"/>
                <w:szCs w:val="20"/>
                <w:color w:val="auto"/>
              </w:rPr>
            </w:pPr>
            <w:r>
              <w:rPr>
                <w:rFonts w:ascii="Arial" w:cs="Arial" w:eastAsia="Arial" w:hAnsi="Arial"/>
                <w:sz w:val="18"/>
                <w:szCs w:val="18"/>
                <w:color w:val="auto"/>
              </w:rPr>
              <w:t>Ocwen Asset Investment Corp. (2)</w:t>
            </w:r>
          </w:p>
        </w:tc>
        <w:tc>
          <w:tcPr>
            <w:tcW w:w="340" w:type="dxa"/>
            <w:vAlign w:val="bottom"/>
            <w:shd w:val="clear" w:color="auto" w:fill="EAF9E8"/>
          </w:tcPr>
          <w:p>
            <w:pPr>
              <w:spacing w:after="0"/>
              <w:rPr>
                <w:sz w:val="18"/>
                <w:szCs w:val="18"/>
                <w:color w:val="auto"/>
              </w:rPr>
            </w:pPr>
          </w:p>
        </w:tc>
        <w:tc>
          <w:tcPr>
            <w:tcW w:w="43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EAF9E8"/>
          </w:tcPr>
          <w:p>
            <w:pPr>
              <w:spacing w:after="0"/>
              <w:rPr>
                <w:sz w:val="20"/>
                <w:szCs w:val="20"/>
                <w:color w:val="auto"/>
              </w:rPr>
            </w:pPr>
            <w:r>
              <w:rPr>
                <w:rFonts w:ascii="Arial" w:cs="Arial" w:eastAsia="Arial" w:hAnsi="Arial"/>
                <w:sz w:val="18"/>
                <w:szCs w:val="18"/>
                <w:color w:val="auto"/>
              </w:rPr>
              <w:t>Ocwen General, Inc. (2)</w:t>
            </w:r>
          </w:p>
        </w:tc>
        <w:tc>
          <w:tcPr>
            <w:tcW w:w="340" w:type="dxa"/>
            <w:vAlign w:val="bottom"/>
            <w:shd w:val="clear" w:color="auto" w:fill="EAF9E8"/>
          </w:tcPr>
          <w:p>
            <w:pPr>
              <w:spacing w:after="0"/>
              <w:rPr>
                <w:sz w:val="18"/>
                <w:szCs w:val="18"/>
                <w:color w:val="auto"/>
              </w:rPr>
            </w:pPr>
          </w:p>
        </w:tc>
        <w:tc>
          <w:tcPr>
            <w:tcW w:w="43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6"/>
              </w:rPr>
              <w:t>Virginia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EAF9E8"/>
          </w:tcPr>
          <w:p>
            <w:pPr>
              <w:spacing w:after="0"/>
              <w:rPr>
                <w:sz w:val="20"/>
                <w:szCs w:val="20"/>
                <w:color w:val="auto"/>
              </w:rPr>
            </w:pPr>
            <w:r>
              <w:rPr>
                <w:rFonts w:ascii="Arial" w:cs="Arial" w:eastAsia="Arial" w:hAnsi="Arial"/>
                <w:sz w:val="18"/>
                <w:szCs w:val="18"/>
                <w:color w:val="auto"/>
              </w:rPr>
              <w:t>HomEq Servicer Advance Facility Transferor, LLC (3)</w:t>
            </w:r>
          </w:p>
        </w:tc>
        <w:tc>
          <w:tcPr>
            <w:tcW w:w="340" w:type="dxa"/>
            <w:vAlign w:val="bottom"/>
            <w:shd w:val="clear" w:color="auto" w:fill="EAF9E8"/>
          </w:tcPr>
          <w:p>
            <w:pPr>
              <w:spacing w:after="0"/>
              <w:rPr>
                <w:sz w:val="18"/>
                <w:szCs w:val="18"/>
                <w:color w:val="auto"/>
              </w:rPr>
            </w:pPr>
          </w:p>
        </w:tc>
        <w:tc>
          <w:tcPr>
            <w:tcW w:w="43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EAF9E8"/>
          </w:tcPr>
          <w:p>
            <w:pPr>
              <w:spacing w:after="0"/>
              <w:rPr>
                <w:sz w:val="20"/>
                <w:szCs w:val="20"/>
                <w:color w:val="auto"/>
              </w:rPr>
            </w:pPr>
            <w:r>
              <w:rPr>
                <w:rFonts w:ascii="Arial" w:cs="Arial" w:eastAsia="Arial" w:hAnsi="Arial"/>
                <w:sz w:val="18"/>
                <w:szCs w:val="18"/>
                <w:color w:val="auto"/>
              </w:rPr>
              <w:t>HomEq Servicer Advance Facility Receivables Trust 2010-ADV1 (3)</w:t>
            </w:r>
          </w:p>
        </w:tc>
        <w:tc>
          <w:tcPr>
            <w:tcW w:w="340" w:type="dxa"/>
            <w:vAlign w:val="bottom"/>
            <w:shd w:val="clear" w:color="auto" w:fill="EAF9E8"/>
          </w:tcPr>
          <w:p>
            <w:pPr>
              <w:spacing w:after="0"/>
              <w:rPr>
                <w:sz w:val="18"/>
                <w:szCs w:val="18"/>
                <w:color w:val="auto"/>
              </w:rPr>
            </w:pPr>
          </w:p>
        </w:tc>
        <w:tc>
          <w:tcPr>
            <w:tcW w:w="43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EAF9E8"/>
          </w:tcPr>
          <w:p>
            <w:pPr>
              <w:spacing w:after="0"/>
              <w:rPr>
                <w:sz w:val="20"/>
                <w:szCs w:val="20"/>
                <w:color w:val="auto"/>
              </w:rPr>
            </w:pPr>
            <w:r>
              <w:rPr>
                <w:rFonts w:ascii="Arial" w:cs="Arial" w:eastAsia="Arial" w:hAnsi="Arial"/>
                <w:sz w:val="18"/>
                <w:szCs w:val="18"/>
                <w:color w:val="auto"/>
              </w:rPr>
              <w:t>Ocwen Servicer Advance Variable Funding Issuer (DB), LLC (3)</w:t>
            </w:r>
          </w:p>
        </w:tc>
        <w:tc>
          <w:tcPr>
            <w:tcW w:w="340" w:type="dxa"/>
            <w:vAlign w:val="bottom"/>
            <w:shd w:val="clear" w:color="auto" w:fill="EAF9E8"/>
          </w:tcPr>
          <w:p>
            <w:pPr>
              <w:spacing w:after="0"/>
              <w:rPr>
                <w:sz w:val="18"/>
                <w:szCs w:val="18"/>
                <w:color w:val="auto"/>
              </w:rPr>
            </w:pPr>
          </w:p>
        </w:tc>
        <w:tc>
          <w:tcPr>
            <w:tcW w:w="43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EAF9E8"/>
          </w:tcPr>
          <w:p>
            <w:pPr>
              <w:spacing w:after="0"/>
              <w:rPr>
                <w:sz w:val="20"/>
                <w:szCs w:val="20"/>
                <w:color w:val="auto"/>
              </w:rPr>
            </w:pPr>
            <w:r>
              <w:rPr>
                <w:rFonts w:ascii="Arial" w:cs="Arial" w:eastAsia="Arial" w:hAnsi="Arial"/>
                <w:sz w:val="18"/>
                <w:szCs w:val="18"/>
                <w:color w:val="auto"/>
              </w:rPr>
              <w:t>Ocwen Servicer Advance Variable Funding Transferor (DB), LLC (3)</w:t>
            </w:r>
          </w:p>
        </w:tc>
        <w:tc>
          <w:tcPr>
            <w:tcW w:w="340" w:type="dxa"/>
            <w:vAlign w:val="bottom"/>
            <w:shd w:val="clear" w:color="auto" w:fill="EAF9E8"/>
          </w:tcPr>
          <w:p>
            <w:pPr>
              <w:spacing w:after="0"/>
              <w:rPr>
                <w:sz w:val="18"/>
                <w:szCs w:val="18"/>
                <w:color w:val="auto"/>
              </w:rPr>
            </w:pPr>
          </w:p>
        </w:tc>
        <w:tc>
          <w:tcPr>
            <w:tcW w:w="43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EAF9E8"/>
          </w:tcPr>
          <w:p>
            <w:pPr>
              <w:spacing w:after="0"/>
              <w:rPr>
                <w:sz w:val="20"/>
                <w:szCs w:val="20"/>
                <w:color w:val="auto"/>
              </w:rPr>
            </w:pPr>
            <w:r>
              <w:rPr>
                <w:rFonts w:ascii="Arial" w:cs="Arial" w:eastAsia="Arial" w:hAnsi="Arial"/>
                <w:sz w:val="18"/>
                <w:szCs w:val="18"/>
                <w:color w:val="auto"/>
              </w:rPr>
              <w:t>Ocwen Servicer Advance Funding (Wachovia), LLC (3)</w:t>
            </w:r>
          </w:p>
        </w:tc>
        <w:tc>
          <w:tcPr>
            <w:tcW w:w="340" w:type="dxa"/>
            <w:vAlign w:val="bottom"/>
            <w:shd w:val="clear" w:color="auto" w:fill="EAF9E8"/>
          </w:tcPr>
          <w:p>
            <w:pPr>
              <w:spacing w:after="0"/>
              <w:rPr>
                <w:sz w:val="18"/>
                <w:szCs w:val="18"/>
                <w:color w:val="auto"/>
              </w:rPr>
            </w:pPr>
          </w:p>
        </w:tc>
        <w:tc>
          <w:tcPr>
            <w:tcW w:w="43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EAF9E8"/>
          </w:tcPr>
          <w:p>
            <w:pPr>
              <w:spacing w:after="0"/>
              <w:rPr>
                <w:sz w:val="20"/>
                <w:szCs w:val="20"/>
                <w:color w:val="auto"/>
              </w:rPr>
            </w:pPr>
            <w:r>
              <w:rPr>
                <w:rFonts w:ascii="Arial" w:cs="Arial" w:eastAsia="Arial" w:hAnsi="Arial"/>
                <w:sz w:val="18"/>
                <w:szCs w:val="18"/>
                <w:color w:val="auto"/>
              </w:rPr>
              <w:t>Ocwen Servicer Advance Funding (RBS), LLC (3)</w:t>
            </w:r>
          </w:p>
        </w:tc>
        <w:tc>
          <w:tcPr>
            <w:tcW w:w="340" w:type="dxa"/>
            <w:vAlign w:val="bottom"/>
            <w:shd w:val="clear" w:color="auto" w:fill="EAF9E8"/>
          </w:tcPr>
          <w:p>
            <w:pPr>
              <w:spacing w:after="0"/>
              <w:rPr>
                <w:sz w:val="18"/>
                <w:szCs w:val="18"/>
                <w:color w:val="auto"/>
              </w:rPr>
            </w:pPr>
          </w:p>
        </w:tc>
        <w:tc>
          <w:tcPr>
            <w:tcW w:w="43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EAF9E8"/>
          </w:tcPr>
          <w:p>
            <w:pPr>
              <w:spacing w:after="0"/>
              <w:rPr>
                <w:sz w:val="20"/>
                <w:szCs w:val="20"/>
                <w:color w:val="auto"/>
              </w:rPr>
            </w:pPr>
            <w:r>
              <w:rPr>
                <w:rFonts w:ascii="Arial" w:cs="Arial" w:eastAsia="Arial" w:hAnsi="Arial"/>
                <w:sz w:val="18"/>
                <w:szCs w:val="18"/>
                <w:color w:val="auto"/>
              </w:rPr>
              <w:t>Ocwen Advance Trust 2008-1 (3)</w:t>
            </w:r>
          </w:p>
        </w:tc>
        <w:tc>
          <w:tcPr>
            <w:tcW w:w="340" w:type="dxa"/>
            <w:vAlign w:val="bottom"/>
            <w:shd w:val="clear" w:color="auto" w:fill="EAF9E8"/>
          </w:tcPr>
          <w:p>
            <w:pPr>
              <w:spacing w:after="0"/>
              <w:rPr>
                <w:sz w:val="18"/>
                <w:szCs w:val="18"/>
                <w:color w:val="auto"/>
              </w:rPr>
            </w:pPr>
          </w:p>
        </w:tc>
        <w:tc>
          <w:tcPr>
            <w:tcW w:w="43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EAF9E8"/>
          </w:tcPr>
          <w:p>
            <w:pPr>
              <w:spacing w:after="0"/>
              <w:rPr>
                <w:sz w:val="20"/>
                <w:szCs w:val="20"/>
                <w:color w:val="auto"/>
              </w:rPr>
            </w:pPr>
            <w:r>
              <w:rPr>
                <w:rFonts w:ascii="Arial" w:cs="Arial" w:eastAsia="Arial" w:hAnsi="Arial"/>
                <w:sz w:val="18"/>
                <w:szCs w:val="18"/>
                <w:color w:val="auto"/>
              </w:rPr>
              <w:t>Ocwen Servicer Advance Receivables Company II, Inc. (3)</w:t>
            </w:r>
          </w:p>
        </w:tc>
        <w:tc>
          <w:tcPr>
            <w:tcW w:w="340" w:type="dxa"/>
            <w:vAlign w:val="bottom"/>
            <w:shd w:val="clear" w:color="auto" w:fill="EAF9E8"/>
          </w:tcPr>
          <w:p>
            <w:pPr>
              <w:spacing w:after="0"/>
              <w:rPr>
                <w:sz w:val="18"/>
                <w:szCs w:val="18"/>
                <w:color w:val="auto"/>
              </w:rPr>
            </w:pPr>
          </w:p>
        </w:tc>
        <w:tc>
          <w:tcPr>
            <w:tcW w:w="43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EAF9E8"/>
          </w:tcPr>
          <w:p>
            <w:pPr>
              <w:spacing w:after="0"/>
              <w:rPr>
                <w:sz w:val="20"/>
                <w:szCs w:val="20"/>
                <w:color w:val="auto"/>
              </w:rPr>
            </w:pPr>
            <w:r>
              <w:rPr>
                <w:rFonts w:ascii="Arial" w:cs="Arial" w:eastAsia="Arial" w:hAnsi="Arial"/>
                <w:sz w:val="18"/>
                <w:szCs w:val="18"/>
                <w:color w:val="auto"/>
              </w:rPr>
              <w:t>Ocwen Servicer Advance Receivables Funding Company II Ltd. (3)</w:t>
            </w:r>
          </w:p>
        </w:tc>
        <w:tc>
          <w:tcPr>
            <w:tcW w:w="340" w:type="dxa"/>
            <w:vAlign w:val="bottom"/>
            <w:shd w:val="clear" w:color="auto" w:fill="EAF9E8"/>
          </w:tcPr>
          <w:p>
            <w:pPr>
              <w:spacing w:after="0"/>
              <w:rPr>
                <w:sz w:val="18"/>
                <w:szCs w:val="18"/>
                <w:color w:val="auto"/>
              </w:rPr>
            </w:pPr>
          </w:p>
        </w:tc>
        <w:tc>
          <w:tcPr>
            <w:tcW w:w="43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Cayman Islands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Operating company</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Holding company with no significant assets or operations other than investment in and equity in the earnings of subsidiaries</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Special purpose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consent to the incorporation by reference in Registration Statement No. 333-160626 and 333-163996 on Form S-3 and Registration Statement No. 333-143275 and 333-44999 on Form S-8 of Ocwen Financial Corporation and subsidiaries (the “Company”) of our report dated February 28, 2011 relating to the consolidated financial statements (which report expresses an unqualified opinion and includes an explanatory paragraph related to the adoption of new accounting provisions with respect to consolidation of variable interest entities) and our report dated February 28, 2011 on the effectiveness of the Company’s internal control over financial reporting appearing in this Annual Report on Form 10-K of the Company for the years ended December 31, 2010 and 2009.</w:t>
      </w:r>
    </w:p>
    <w:p>
      <w:pPr>
        <w:spacing w:after="0" w:line="15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Atlanta, Georgia</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February 28,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CERTIFIED PUBLIC ACCOUNTING FIRM</w:t>
      </w:r>
    </w:p>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333-160626 and 333-163996) and on Form S-8 (No. 333-143275 and 333-44999) of Ocwen Financial Corporation of our report dated March 12, 2009, except for the effects of the change in accounting for certain convertible debt instruments and noncontrolling interests discussed in Note 1, as to which the date is July 16, 2009, relating to the 2008 financial statements, which appears in this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Fort Lauderdale,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certify that:</w:t>
      </w:r>
    </w:p>
    <w:p>
      <w:pPr>
        <w:spacing w:after="0" w:line="225" w:lineRule="exact"/>
        <w:rPr>
          <w:sz w:val="20"/>
          <w:szCs w:val="20"/>
          <w:color w:val="auto"/>
        </w:rPr>
      </w:pPr>
    </w:p>
    <w:p>
      <w:pPr>
        <w:ind w:left="1160" w:hanging="571"/>
        <w:spacing w:after="0"/>
        <w:tabs>
          <w:tab w:leader="none" w:pos="11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Ocwen Financial Corporation;</w:t>
      </w:r>
    </w:p>
    <w:p>
      <w:pPr>
        <w:spacing w:after="0" w:line="225"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160" w:hanging="571"/>
        <w:spacing w:after="0" w:line="308" w:lineRule="auto"/>
        <w:tabs>
          <w:tab w:leader="none" w:pos="11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1160" w:hanging="571"/>
        <w:spacing w:after="0" w:line="264" w:lineRule="auto"/>
        <w:tabs>
          <w:tab w:leader="none" w:pos="11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720" w:hanging="564"/>
        <w:spacing w:after="0" w:line="264" w:lineRule="auto"/>
        <w:tabs>
          <w:tab w:leader="none" w:pos="17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720" w:hanging="564"/>
        <w:spacing w:after="0" w:line="264" w:lineRule="auto"/>
        <w:tabs>
          <w:tab w:leader="none" w:pos="17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720" w:hanging="564"/>
        <w:spacing w:after="0" w:line="264" w:lineRule="auto"/>
        <w:tabs>
          <w:tab w:leader="none" w:pos="17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720" w:hanging="564"/>
        <w:spacing w:after="0" w:line="264" w:lineRule="auto"/>
        <w:tabs>
          <w:tab w:leader="none" w:pos="17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720" w:hanging="564"/>
        <w:spacing w:after="0" w:line="342" w:lineRule="auto"/>
        <w:tabs>
          <w:tab w:leader="none" w:pos="172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20" w:hanging="564"/>
        <w:spacing w:after="0" w:line="277" w:lineRule="auto"/>
        <w:tabs>
          <w:tab w:leader="none" w:pos="17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February 28, 2011</w:t>
      </w:r>
      <w:r>
        <w:rPr>
          <w:sz w:val="20"/>
          <w:szCs w:val="20"/>
          <w:color w:val="auto"/>
        </w:rPr>
        <w:tab/>
      </w:r>
      <w:r>
        <w:rPr>
          <w:rFonts w:ascii="Arial" w:cs="Arial" w:eastAsia="Arial" w:hAnsi="Arial"/>
          <w:sz w:val="16"/>
          <w:szCs w:val="16"/>
          <w:color w:val="auto"/>
        </w:rPr>
        <w:t>/s/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Ronald M. Faris,</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Van Vlack, certify that:</w:t>
      </w:r>
    </w:p>
    <w:p>
      <w:pPr>
        <w:spacing w:after="0" w:line="225" w:lineRule="exact"/>
        <w:rPr>
          <w:sz w:val="20"/>
          <w:szCs w:val="20"/>
          <w:color w:val="auto"/>
        </w:rPr>
      </w:pPr>
    </w:p>
    <w:p>
      <w:pPr>
        <w:ind w:left="1160" w:hanging="571"/>
        <w:spacing w:after="0"/>
        <w:tabs>
          <w:tab w:leader="none" w:pos="11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Ocwen Financial Corporation;</w:t>
      </w:r>
    </w:p>
    <w:p>
      <w:pPr>
        <w:spacing w:after="0" w:line="225"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160" w:hanging="571"/>
        <w:spacing w:after="0" w:line="308" w:lineRule="auto"/>
        <w:tabs>
          <w:tab w:leader="none" w:pos="11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1160" w:hanging="571"/>
        <w:spacing w:after="0" w:line="264" w:lineRule="auto"/>
        <w:tabs>
          <w:tab w:leader="none" w:pos="11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720" w:hanging="564"/>
        <w:spacing w:after="0" w:line="264" w:lineRule="auto"/>
        <w:tabs>
          <w:tab w:leader="none" w:pos="17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720" w:hanging="564"/>
        <w:spacing w:after="0" w:line="264" w:lineRule="auto"/>
        <w:tabs>
          <w:tab w:leader="none" w:pos="17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720" w:hanging="564"/>
        <w:spacing w:after="0" w:line="264" w:lineRule="auto"/>
        <w:tabs>
          <w:tab w:leader="none" w:pos="17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720" w:hanging="564"/>
        <w:spacing w:after="0" w:line="264" w:lineRule="auto"/>
        <w:tabs>
          <w:tab w:leader="none" w:pos="17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720" w:hanging="564"/>
        <w:spacing w:after="0" w:line="342" w:lineRule="auto"/>
        <w:tabs>
          <w:tab w:leader="none" w:pos="172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20" w:hanging="564"/>
        <w:spacing w:after="0" w:line="277" w:lineRule="auto"/>
        <w:tabs>
          <w:tab w:leader="none" w:pos="17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February 28, 2011</w:t>
      </w:r>
      <w:r>
        <w:rPr>
          <w:sz w:val="20"/>
          <w:szCs w:val="20"/>
          <w:color w:val="auto"/>
        </w:rPr>
        <w:tab/>
      </w:r>
      <w:r>
        <w:rPr>
          <w:rFonts w:ascii="Arial" w:cs="Arial" w:eastAsia="Arial" w:hAnsi="Arial"/>
          <w:sz w:val="16"/>
          <w:szCs w:val="16"/>
          <w:color w:val="auto"/>
        </w:rPr>
        <w:t>/s/ John Van Vlack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Van Vlack, Executive Vice President,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state and attest that:</w:t>
      </w:r>
    </w:p>
    <w:p>
      <w:pPr>
        <w:spacing w:after="0" w:line="225" w:lineRule="exact"/>
        <w:rPr>
          <w:sz w:val="20"/>
          <w:szCs w:val="20"/>
          <w:color w:val="auto"/>
        </w:rPr>
      </w:pPr>
    </w:p>
    <w:p>
      <w:pPr>
        <w:ind w:left="580" w:hanging="572"/>
        <w:spacing w:after="0"/>
        <w:tabs>
          <w:tab w:leader="none" w:pos="5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am the Chief Executive Officer of Ocwen Financial Corporation (the “Registrant”).</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Annual Report on Form 10-K of the Registrant for the year ended December 31, 2010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1160" w:hanging="571"/>
        <w:spacing w:after="0" w:line="277" w:lineRule="auto"/>
        <w:tabs>
          <w:tab w:leader="none" w:pos="1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M. Faris</w:t>
            </w:r>
          </w:p>
        </w:tc>
        <w:tc>
          <w:tcPr>
            <w:tcW w:w="5460" w:type="dxa"/>
            <w:vAlign w:val="bottom"/>
          </w:tcPr>
          <w:p>
            <w:pPr>
              <w:spacing w:after="0"/>
              <w:rPr>
                <w:sz w:val="20"/>
                <w:szCs w:val="20"/>
                <w:color w:val="auto"/>
              </w:rPr>
            </w:pPr>
          </w:p>
        </w:tc>
      </w:tr>
      <w:tr>
        <w:trPr>
          <w:trHeight w:val="202"/>
        </w:trPr>
        <w:tc>
          <w:tcPr>
            <w:tcW w:w="700" w:type="dxa"/>
            <w:vAlign w:val="bottom"/>
          </w:tcPr>
          <w:p>
            <w:pPr>
              <w:spacing w:after="0" w:line="201" w:lineRule="exact"/>
              <w:rPr>
                <w:sz w:val="20"/>
                <w:szCs w:val="20"/>
                <w:color w:val="auto"/>
              </w:rPr>
            </w:pPr>
            <w:r>
              <w:rPr>
                <w:rFonts w:ascii="Arial" w:cs="Arial" w:eastAsia="Arial" w:hAnsi="Arial"/>
                <w:sz w:val="18"/>
                <w:szCs w:val="18"/>
                <w:color w:val="auto"/>
              </w:rPr>
              <w:t>Title:</w:t>
            </w:r>
          </w:p>
        </w:tc>
        <w:tc>
          <w:tcPr>
            <w:tcW w:w="5260" w:type="dxa"/>
            <w:vAlign w:val="bottom"/>
          </w:tcPr>
          <w:p>
            <w:pPr>
              <w:spacing w:after="0" w:line="201" w:lineRule="exact"/>
              <w:rPr>
                <w:sz w:val="20"/>
                <w:szCs w:val="20"/>
                <w:color w:val="auto"/>
              </w:rPr>
            </w:pPr>
            <w:r>
              <w:rPr>
                <w:rFonts w:ascii="Arial" w:cs="Arial" w:eastAsia="Arial" w:hAnsi="Arial"/>
                <w:sz w:val="18"/>
                <w:szCs w:val="18"/>
                <w:color w:val="auto"/>
              </w:rPr>
              <w:t>President and Chief Executive Officer</w:t>
            </w:r>
          </w:p>
        </w:tc>
        <w:tc>
          <w:tcPr>
            <w:tcW w:w="5460" w:type="dxa"/>
            <w:vAlign w:val="bottom"/>
          </w:tcPr>
          <w:p>
            <w:pPr>
              <w:spacing w:after="0"/>
              <w:rPr>
                <w:sz w:val="17"/>
                <w:szCs w:val="17"/>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5260" w:type="dxa"/>
            <w:vAlign w:val="bottom"/>
          </w:tcPr>
          <w:p>
            <w:pPr>
              <w:spacing w:after="0"/>
              <w:rPr>
                <w:sz w:val="20"/>
                <w:szCs w:val="20"/>
                <w:color w:val="auto"/>
              </w:rPr>
            </w:pPr>
            <w:r>
              <w:rPr>
                <w:rFonts w:ascii="Arial" w:cs="Arial" w:eastAsia="Arial" w:hAnsi="Arial"/>
                <w:sz w:val="18"/>
                <w:szCs w:val="18"/>
                <w:color w:val="auto"/>
              </w:rPr>
              <w:t>February 28, 2011</w:t>
            </w:r>
          </w:p>
        </w:tc>
        <w:tc>
          <w:tcPr>
            <w:tcW w:w="5460" w:type="dxa"/>
            <w:vAlign w:val="bottom"/>
          </w:tcPr>
          <w:p>
            <w:pPr>
              <w:spacing w:after="0"/>
              <w:rPr>
                <w:sz w:val="20"/>
                <w:szCs w:val="20"/>
                <w:color w:val="auto"/>
              </w:rPr>
            </w:pPr>
          </w:p>
        </w:tc>
      </w:tr>
      <w:tr>
        <w:trPr>
          <w:trHeight w:val="618"/>
        </w:trPr>
        <w:tc>
          <w:tcPr>
            <w:tcW w:w="700" w:type="dxa"/>
            <w:vAlign w:val="bottom"/>
            <w:tcBorders>
              <w:bottom w:val="single" w:sz="8" w:color="808080"/>
            </w:tcBorders>
          </w:tcPr>
          <w:p>
            <w:pPr>
              <w:spacing w:after="0"/>
              <w:rPr>
                <w:sz w:val="24"/>
                <w:szCs w:val="24"/>
                <w:color w:val="auto"/>
              </w:rPr>
            </w:pPr>
          </w:p>
        </w:tc>
        <w:tc>
          <w:tcPr>
            <w:tcW w:w="5260" w:type="dxa"/>
            <w:vAlign w:val="bottom"/>
            <w:tcBorders>
              <w:bottom w:val="single" w:sz="8" w:color="808080"/>
            </w:tcBorders>
          </w:tcPr>
          <w:p>
            <w:pPr>
              <w:spacing w:after="0"/>
              <w:rPr>
                <w:sz w:val="24"/>
                <w:szCs w:val="24"/>
                <w:color w:val="auto"/>
              </w:rPr>
            </w:pPr>
          </w:p>
        </w:tc>
        <w:tc>
          <w:tcPr>
            <w:tcW w:w="5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Van Vlack, state and attest that:</w:t>
      </w:r>
    </w:p>
    <w:p>
      <w:pPr>
        <w:spacing w:after="0" w:line="225" w:lineRule="exact"/>
        <w:rPr>
          <w:sz w:val="20"/>
          <w:szCs w:val="20"/>
          <w:color w:val="auto"/>
        </w:rPr>
      </w:pPr>
    </w:p>
    <w:p>
      <w:pPr>
        <w:ind w:left="580" w:hanging="572"/>
        <w:spacing w:after="0"/>
        <w:tabs>
          <w:tab w:leader="none" w:pos="5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Annual Report on Form 10-K of the Registrant for the year ended December 31, 2010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1160" w:hanging="571"/>
        <w:spacing w:after="0" w:line="277" w:lineRule="auto"/>
        <w:tabs>
          <w:tab w:leader="none" w:pos="11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Van Vlack</w:t>
            </w:r>
          </w:p>
        </w:tc>
        <w:tc>
          <w:tcPr>
            <w:tcW w:w="6840" w:type="dxa"/>
            <w:vAlign w:val="bottom"/>
          </w:tcPr>
          <w:p>
            <w:pPr>
              <w:spacing w:after="0"/>
              <w:rPr>
                <w:sz w:val="20"/>
                <w:szCs w:val="20"/>
                <w:color w:val="auto"/>
              </w:rPr>
            </w:pPr>
          </w:p>
        </w:tc>
      </w:tr>
      <w:tr>
        <w:trPr>
          <w:trHeight w:val="202"/>
        </w:trPr>
        <w:tc>
          <w:tcPr>
            <w:tcW w:w="700" w:type="dxa"/>
            <w:vAlign w:val="bottom"/>
          </w:tcPr>
          <w:p>
            <w:pPr>
              <w:spacing w:after="0" w:line="201" w:lineRule="exact"/>
              <w:rPr>
                <w:sz w:val="20"/>
                <w:szCs w:val="20"/>
                <w:color w:val="auto"/>
              </w:rPr>
            </w:pPr>
            <w:r>
              <w:rPr>
                <w:rFonts w:ascii="Arial" w:cs="Arial" w:eastAsia="Arial" w:hAnsi="Arial"/>
                <w:sz w:val="18"/>
                <w:szCs w:val="18"/>
                <w:color w:val="auto"/>
              </w:rPr>
              <w:t>Title:</w:t>
            </w:r>
          </w:p>
        </w:tc>
        <w:tc>
          <w:tcPr>
            <w:tcW w:w="3880" w:type="dxa"/>
            <w:vAlign w:val="bottom"/>
          </w:tcPr>
          <w:p>
            <w:pPr>
              <w:spacing w:after="0" w:line="201" w:lineRule="exact"/>
              <w:rPr>
                <w:sz w:val="20"/>
                <w:szCs w:val="20"/>
                <w:color w:val="auto"/>
              </w:rPr>
            </w:pPr>
            <w:r>
              <w:rPr>
                <w:rFonts w:ascii="Arial" w:cs="Arial" w:eastAsia="Arial" w:hAnsi="Arial"/>
                <w:sz w:val="18"/>
                <w:szCs w:val="18"/>
                <w:color w:val="auto"/>
              </w:rPr>
              <w:t>Executive Vice President,</w:t>
            </w:r>
          </w:p>
        </w:tc>
        <w:tc>
          <w:tcPr>
            <w:tcW w:w="6840" w:type="dxa"/>
            <w:vAlign w:val="bottom"/>
          </w:tcPr>
          <w:p>
            <w:pPr>
              <w:spacing w:after="0"/>
              <w:rPr>
                <w:sz w:val="17"/>
                <w:szCs w:val="17"/>
                <w:color w:val="auto"/>
              </w:rPr>
            </w:pPr>
          </w:p>
        </w:tc>
      </w:tr>
      <w:tr>
        <w:trPr>
          <w:trHeight w:val="216"/>
        </w:trPr>
        <w:tc>
          <w:tcPr>
            <w:tcW w:w="7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Chief Financial Officer and</w:t>
            </w:r>
          </w:p>
        </w:tc>
        <w:tc>
          <w:tcPr>
            <w:tcW w:w="68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Chief Accounting Officer</w:t>
            </w:r>
          </w:p>
        </w:tc>
        <w:tc>
          <w:tcPr>
            <w:tcW w:w="6840" w:type="dxa"/>
            <w:vAlign w:val="bottom"/>
          </w:tcPr>
          <w:p>
            <w:pPr>
              <w:spacing w:after="0"/>
              <w:rPr>
                <w:sz w:val="18"/>
                <w:szCs w:val="18"/>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880" w:type="dxa"/>
            <w:vAlign w:val="bottom"/>
          </w:tcPr>
          <w:p>
            <w:pPr>
              <w:spacing w:after="0"/>
              <w:rPr>
                <w:sz w:val="20"/>
                <w:szCs w:val="20"/>
                <w:color w:val="auto"/>
              </w:rPr>
            </w:pPr>
            <w:r>
              <w:rPr>
                <w:rFonts w:ascii="Arial" w:cs="Arial" w:eastAsia="Arial" w:hAnsi="Arial"/>
                <w:sz w:val="18"/>
                <w:szCs w:val="18"/>
                <w:color w:val="auto"/>
              </w:rPr>
              <w:t>February 28, 2011</w:t>
            </w:r>
          </w:p>
        </w:tc>
        <w:tc>
          <w:tcPr>
            <w:tcW w:w="6840" w:type="dxa"/>
            <w:vAlign w:val="bottom"/>
          </w:tcPr>
          <w:p>
            <w:pPr>
              <w:spacing w:after="0"/>
              <w:rPr>
                <w:sz w:val="20"/>
                <w:szCs w:val="20"/>
                <w:color w:val="auto"/>
              </w:rPr>
            </w:pPr>
          </w:p>
        </w:tc>
      </w:tr>
      <w:tr>
        <w:trPr>
          <w:trHeight w:val="618"/>
        </w:trPr>
        <w:tc>
          <w:tcPr>
            <w:tcW w:w="700" w:type="dxa"/>
            <w:vAlign w:val="bottom"/>
            <w:tcBorders>
              <w:bottom w:val="single" w:sz="8" w:color="808080"/>
            </w:tcBorders>
          </w:tcPr>
          <w:p>
            <w:pPr>
              <w:spacing w:after="0"/>
              <w:rPr>
                <w:sz w:val="24"/>
                <w:szCs w:val="24"/>
                <w:color w:val="auto"/>
              </w:rPr>
            </w:pPr>
          </w:p>
        </w:tc>
        <w:tc>
          <w:tcPr>
            <w:tcW w:w="3880" w:type="dxa"/>
            <w:vAlign w:val="bottom"/>
            <w:tcBorders>
              <w:bottom w:val="single" w:sz="8" w:color="808080"/>
            </w:tcBorders>
          </w:tcPr>
          <w:p>
            <w:pPr>
              <w:spacing w:after="0"/>
              <w:rPr>
                <w:sz w:val="24"/>
                <w:szCs w:val="24"/>
                <w:color w:val="auto"/>
              </w:rPr>
            </w:pPr>
          </w:p>
        </w:tc>
        <w:tc>
          <w:tcPr>
            <w:tcW w:w="6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0" w:name="page131"/>
    <w:bookmarkEnd w:id="1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0115BE"/>
    <w:multiLevelType w:val="hybridMultilevel"/>
    <w:lvl w:ilvl="0">
      <w:lvlJc w:val="left"/>
      <w:lvlText w:val="x"/>
      <w:numFmt w:val="bullet"/>
      <w:start w:val="1"/>
    </w:lvl>
  </w:abstractNum>
  <w:abstractNum w:abstractNumId="1">
    <w:nsid w:val="235BA861"/>
    <w:multiLevelType w:val="hybridMultilevel"/>
    <w:lvl w:ilvl="0">
      <w:lvlJc w:val="left"/>
      <w:lvlText w:val="o"/>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lvl w:ilvl="1">
      <w:lvlJc w:val="left"/>
      <w:lvlText w:val="●"/>
      <w:numFmt w:val="bullet"/>
      <w:start w:val="1"/>
    </w:lvl>
  </w:abstractNum>
  <w:abstractNum w:abstractNumId="5">
    <w:nsid w:val="741226BB"/>
    <w:multiLevelType w:val="hybridMultilevel"/>
    <w:lvl w:ilvl="0">
      <w:lvlJc w:val="left"/>
      <w:lvlText w:val="%1."/>
      <w:numFmt w:val="decimal"/>
      <w:start w:val="1"/>
    </w:lvl>
  </w:abstractNum>
  <w:abstractNum w:abstractNumId="6">
    <w:nsid w:val="D34B6A8"/>
    <w:multiLevelType w:val="hybridMultilevel"/>
    <w:lvl w:ilvl="0">
      <w:lvlJc w:val="left"/>
      <w:lvlText w:val="%1."/>
      <w:numFmt w:val="decimal"/>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1."/>
      <w:numFmt w:val="decimal"/>
      <w:start w:val="1"/>
    </w:lvl>
  </w:abstractNum>
  <w:abstractNum w:abstractNumId="11">
    <w:nsid w:val="77AE35EB"/>
    <w:multiLevelType w:val="hybridMultilevel"/>
    <w:lvl w:ilvl="0">
      <w:lvlJc w:val="left"/>
      <w:lvlText w:val="%1."/>
      <w:numFmt w:val="decimal"/>
      <w:start w:val="1"/>
    </w:lvl>
  </w:abstractNum>
  <w:abstractNum w:abstractNumId="12">
    <w:nsid w:val="579BE4F1"/>
    <w:multiLevelType w:val="hybridMultilevel"/>
    <w:lvl w:ilvl="0">
      <w:lvlJc w:val="left"/>
      <w:lvlText w:val="●"/>
      <w:numFmt w:val="bullet"/>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
      <w:numFmt w:val="bullet"/>
      <w:start w:val="1"/>
    </w:lvl>
  </w:abstractNum>
  <w:abstractNum w:abstractNumId="16">
    <w:nsid w:val="25A70BF7"/>
    <w:multiLevelType w:val="hybridMultilevel"/>
    <w:lvl w:ilvl="0">
      <w:lvlJc w:val="left"/>
      <w:lvlText w:val="●"/>
      <w:numFmt w:val="bullet"/>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
      <w:numFmt w:val="bullet"/>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1)"/>
      <w:numFmt w:val="decimal"/>
      <w:start w:val="1"/>
    </w:lvl>
  </w:abstractNum>
  <w:abstractNum w:abstractNumId="25">
    <w:nsid w:val="5F5E7FD0"/>
    <w:multiLevelType w:val="hybridMultilevel"/>
    <w:lvl w:ilvl="0">
      <w:lvlJc w:val="left"/>
      <w:lvlText w:val="(%1)"/>
      <w:numFmt w:val="decimal"/>
      <w:start w:val="1"/>
    </w:lvl>
  </w:abstractNum>
  <w:abstractNum w:abstractNumId="26">
    <w:nsid w:val="98A3148"/>
    <w:multiLevelType w:val="hybridMultilevel"/>
    <w:lvl w:ilvl="0">
      <w:lvlJc w:val="left"/>
      <w:lvlText w:val="(%1)"/>
      <w:numFmt w:val="decimal"/>
      <w:start w:val="1"/>
    </w:lvl>
  </w:abstractNum>
  <w:abstractNum w:abstractNumId="27">
    <w:nsid w:val="799D0247"/>
    <w:multiLevelType w:val="hybridMultilevel"/>
    <w:lvl w:ilvl="0">
      <w:lvlJc w:val="left"/>
      <w:lvlText w:val="(%1)"/>
      <w:numFmt w:val="decimal"/>
      <w:start w:val="3"/>
    </w:lvl>
  </w:abstractNum>
  <w:abstractNum w:abstractNumId="28">
    <w:nsid w:val="6B94764"/>
    <w:multiLevelType w:val="hybridMultilevel"/>
    <w:lvl w:ilvl="0">
      <w:lvlJc w:val="left"/>
      <w:lvlText w:val="(%1)"/>
      <w:numFmt w:val="decimal"/>
      <w:start w:val="1"/>
    </w:lvl>
  </w:abstractNum>
  <w:abstractNum w:abstractNumId="29">
    <w:nsid w:val="42C296BD"/>
    <w:multiLevelType w:val="hybridMultilevel"/>
    <w:lvl w:ilvl="0">
      <w:lvlJc w:val="left"/>
      <w:lvlText w:val="●"/>
      <w:numFmt w:val="bullet"/>
      <w:start w:val="1"/>
    </w:lvl>
  </w:abstractNum>
  <w:abstractNum w:abstractNumId="30">
    <w:nsid w:val="168E121F"/>
    <w:multiLevelType w:val="hybridMultilevel"/>
    <w:lvl w:ilvl="0">
      <w:lvlJc w:val="left"/>
      <w:lvlText w:val="●"/>
      <w:numFmt w:val="bullet"/>
      <w:start w:val="1"/>
    </w:lvl>
  </w:abstractNum>
  <w:abstractNum w:abstractNumId="31">
    <w:nsid w:val="1EBA5D23"/>
    <w:multiLevelType w:val="hybridMultilevel"/>
    <w:lvl w:ilvl="0">
      <w:lvlJc w:val="left"/>
      <w:lvlText w:val="●"/>
      <w:numFmt w:val="bullet"/>
      <w:start w:val="1"/>
    </w:lvl>
  </w:abstractNum>
  <w:abstractNum w:abstractNumId="32">
    <w:nsid w:val="661E3F1E"/>
    <w:multiLevelType w:val="hybridMultilevel"/>
    <w:lvl w:ilvl="0">
      <w:lvlJc w:val="left"/>
      <w:lvlText w:val="●"/>
      <w:numFmt w:val="bullet"/>
      <w:start w:val="1"/>
    </w:lvl>
  </w:abstractNum>
  <w:abstractNum w:abstractNumId="33">
    <w:nsid w:val="5DC79EA8"/>
    <w:multiLevelType w:val="hybridMultilevel"/>
    <w:lvl w:ilvl="0">
      <w:lvlJc w:val="left"/>
      <w:lvlText w:val="●"/>
      <w:numFmt w:val="bullet"/>
      <w:start w:val="1"/>
    </w:lvl>
  </w:abstractNum>
  <w:abstractNum w:abstractNumId="34">
    <w:nsid w:val="540A471C"/>
    <w:multiLevelType w:val="hybridMultilevel"/>
    <w:lvl w:ilvl="0">
      <w:lvlJc w:val="left"/>
      <w:lvlText w:val="●"/>
      <w:numFmt w:val="bullet"/>
      <w:start w:val="1"/>
    </w:lvl>
  </w:abstractNum>
  <w:abstractNum w:abstractNumId="35">
    <w:nsid w:val="7BD3EE7B"/>
    <w:multiLevelType w:val="hybridMultilevel"/>
    <w:lvl w:ilvl="0">
      <w:lvlJc w:val="left"/>
      <w:lvlText w:val="●"/>
      <w:numFmt w:val="bullet"/>
      <w:start w:val="1"/>
    </w:lvl>
  </w:abstractNum>
  <w:abstractNum w:abstractNumId="36">
    <w:nsid w:val="51D9C564"/>
    <w:multiLevelType w:val="hybridMultilevel"/>
    <w:lvl w:ilvl="0">
      <w:lvlJc w:val="left"/>
      <w:lvlText w:val="(%1)"/>
      <w:numFmt w:val="decimal"/>
      <w:start w:val="1"/>
    </w:lvl>
  </w:abstractNum>
  <w:abstractNum w:abstractNumId="37">
    <w:nsid w:val="613EFDC5"/>
    <w:multiLevelType w:val="hybridMultilevel"/>
    <w:lvl w:ilvl="0">
      <w:lvlJc w:val="left"/>
      <w:lvlText w:val="(%1)"/>
      <w:numFmt w:val="decimal"/>
      <w:start w:val="3"/>
    </w:lvl>
  </w:abstractNum>
  <w:abstractNum w:abstractNumId="38">
    <w:nsid w:val="BF72B14"/>
    <w:multiLevelType w:val="hybridMultilevel"/>
    <w:lvl w:ilvl="0">
      <w:lvlJc w:val="left"/>
      <w:lvlText w:val="(%1)"/>
      <w:numFmt w:val="decimal"/>
      <w:start w:val="1"/>
    </w:lvl>
  </w:abstractNum>
  <w:abstractNum w:abstractNumId="39">
    <w:nsid w:val="11447B73"/>
    <w:multiLevelType w:val="hybridMultilevel"/>
    <w:lvl w:ilvl="0">
      <w:lvlJc w:val="left"/>
      <w:lvlText w:val="(%1)"/>
      <w:numFmt w:val="decimal"/>
      <w:start w:val="4"/>
    </w:lvl>
  </w:abstractNum>
  <w:abstractNum w:abstractNumId="40">
    <w:nsid w:val="42963E5A"/>
    <w:multiLevelType w:val="hybridMultilevel"/>
    <w:lvl w:ilvl="0">
      <w:lvlJc w:val="left"/>
      <w:lvlText w:val="(%1)"/>
      <w:numFmt w:val="decimal"/>
      <w:start w:val="1"/>
    </w:lvl>
  </w:abstractNum>
  <w:abstractNum w:abstractNumId="41">
    <w:nsid w:val="A0382C5"/>
    <w:multiLevelType w:val="hybridMultilevel"/>
    <w:lvl w:ilvl="0">
      <w:lvlJc w:val="left"/>
      <w:lvlText w:val="(%1)"/>
      <w:numFmt w:val="decimal"/>
      <w:start w:val="1"/>
    </w:lvl>
  </w:abstractNum>
  <w:abstractNum w:abstractNumId="42">
    <w:nsid w:val="8F2B15E"/>
    <w:multiLevelType w:val="hybridMultilevel"/>
    <w:lvl w:ilvl="0">
      <w:lvlJc w:val="left"/>
      <w:lvlText w:val="(%1)"/>
      <w:numFmt w:val="decimal"/>
      <w:start w:val="1"/>
    </w:lvl>
  </w:abstractNum>
  <w:abstractNum w:abstractNumId="43">
    <w:nsid w:val="1A32234B"/>
    <w:multiLevelType w:val="hybridMultilevel"/>
    <w:lvl w:ilvl="0">
      <w:lvlJc w:val="left"/>
      <w:lvlText w:val="(%1)"/>
      <w:numFmt w:val="decimal"/>
      <w:start w:val="1"/>
    </w:lvl>
  </w:abstractNum>
  <w:abstractNum w:abstractNumId="44">
    <w:nsid w:val="3B0FD379"/>
    <w:multiLevelType w:val="hybridMultilevel"/>
    <w:lvl w:ilvl="0">
      <w:lvlJc w:val="left"/>
      <w:lvlText w:val="●"/>
      <w:numFmt w:val="bullet"/>
      <w:start w:val="1"/>
    </w:lvl>
  </w:abstractNum>
  <w:abstractNum w:abstractNumId="45">
    <w:nsid w:val="68EB2F63"/>
    <w:multiLevelType w:val="hybridMultilevel"/>
    <w:lvl w:ilvl="0">
      <w:lvlJc w:val="left"/>
      <w:lvlText w:val="●"/>
      <w:numFmt w:val="bullet"/>
      <w:start w:val="1"/>
    </w:lvl>
  </w:abstractNum>
  <w:abstractNum w:abstractNumId="46">
    <w:nsid w:val="4962813B"/>
    <w:multiLevelType w:val="hybridMultilevel"/>
    <w:lvl w:ilvl="0">
      <w:lvlJc w:val="left"/>
      <w:lvlText w:val="●"/>
      <w:numFmt w:val="bullet"/>
      <w:start w:val="1"/>
    </w:lvl>
  </w:abstractNum>
  <w:abstractNum w:abstractNumId="47">
    <w:nsid w:val="60B6DF70"/>
    <w:multiLevelType w:val="hybridMultilevel"/>
    <w:lvl w:ilvl="0">
      <w:lvlJc w:val="left"/>
      <w:lvlText w:val="●"/>
      <w:numFmt w:val="bullet"/>
      <w:start w:val="1"/>
    </w:lvl>
  </w:abstractNum>
  <w:abstractNum w:abstractNumId="48">
    <w:nsid w:val="6A5EE64"/>
    <w:multiLevelType w:val="hybridMultilevel"/>
    <w:lvl w:ilvl="0">
      <w:lvlJc w:val="left"/>
      <w:lvlText w:val="●"/>
      <w:numFmt w:val="bullet"/>
      <w:start w:val="1"/>
    </w:lvl>
  </w:abstractNum>
  <w:abstractNum w:abstractNumId="49">
    <w:nsid w:val="14330624"/>
    <w:multiLevelType w:val="hybridMultilevel"/>
    <w:lvl w:ilvl="0">
      <w:lvlJc w:val="left"/>
      <w:lvlText w:val="(%1)"/>
      <w:numFmt w:val="decimal"/>
      <w:start w:val="1"/>
    </w:lvl>
  </w:abstractNum>
  <w:abstractNum w:abstractNumId="50">
    <w:nsid w:val="7FFFCA11"/>
    <w:multiLevelType w:val="hybridMultilevel"/>
    <w:lvl w:ilvl="0">
      <w:lvlJc w:val="left"/>
      <w:lvlText w:val="(%1)"/>
      <w:numFmt w:val="decimal"/>
      <w:start w:val="1"/>
    </w:lvl>
  </w:abstractNum>
  <w:abstractNum w:abstractNumId="51">
    <w:nsid w:val="1A27709E"/>
    <w:multiLevelType w:val="hybridMultilevel"/>
    <w:lvl w:ilvl="0">
      <w:lvlJc w:val="left"/>
      <w:lvlText w:val="(%1)"/>
      <w:numFmt w:val="decimal"/>
      <w:start w:val="1"/>
    </w:lvl>
  </w:abstractNum>
  <w:abstractNum w:abstractNumId="52">
    <w:nsid w:val="71EA1109"/>
    <w:multiLevelType w:val="hybridMultilevel"/>
    <w:lvl w:ilvl="0">
      <w:lvlJc w:val="left"/>
      <w:lvlText w:val="(%1)"/>
      <w:numFmt w:val="decimal"/>
      <w:start w:val="3"/>
    </w:lvl>
  </w:abstractNum>
  <w:abstractNum w:abstractNumId="53">
    <w:nsid w:val="100F59DC"/>
    <w:multiLevelType w:val="hybridMultilevel"/>
    <w:lvl w:ilvl="0">
      <w:lvlJc w:val="left"/>
      <w:lvlText w:val="(%1)"/>
      <w:numFmt w:val="decimal"/>
      <w:start w:val="1"/>
    </w:lvl>
  </w:abstractNum>
  <w:abstractNum w:abstractNumId="54">
    <w:nsid w:val="7FB7E0AA"/>
    <w:multiLevelType w:val="hybridMultilevel"/>
    <w:lvl w:ilvl="0">
      <w:lvlJc w:val="left"/>
      <w:lvlText w:val="(%1)"/>
      <w:numFmt w:val="decimal"/>
      <w:start w:val="1"/>
    </w:lvl>
  </w:abstractNum>
  <w:abstractNum w:abstractNumId="55">
    <w:nsid w:val="6EB5BD4"/>
    <w:multiLevelType w:val="hybridMultilevel"/>
    <w:lvl w:ilvl="0">
      <w:lvlJc w:val="left"/>
      <w:lvlText w:val="(%1)"/>
      <w:numFmt w:val="decimal"/>
      <w:start w:val="1"/>
    </w:lvl>
  </w:abstractNum>
  <w:abstractNum w:abstractNumId="56">
    <w:nsid w:val="6F6DD9AC"/>
    <w:multiLevelType w:val="hybridMultilevel"/>
    <w:lvl w:ilvl="0">
      <w:lvlJc w:val="left"/>
      <w:lvlText w:val="%1."/>
      <w:numFmt w:val="decimal"/>
      <w:start w:val="1"/>
    </w:lvl>
  </w:abstractNum>
  <w:abstractNum w:abstractNumId="57">
    <w:nsid w:val="94211F2"/>
    <w:multiLevelType w:val="hybridMultilevel"/>
    <w:lvl w:ilvl="0">
      <w:lvlJc w:val="left"/>
      <w:lvlText w:val="●"/>
      <w:numFmt w:val="bullet"/>
      <w:start w:val="1"/>
    </w:lvl>
  </w:abstractNum>
  <w:abstractNum w:abstractNumId="58">
    <w:nsid w:val="885E1B"/>
    <w:multiLevelType w:val="hybridMultilevel"/>
    <w:lvl w:ilvl="0">
      <w:lvlJc w:val="left"/>
      <w:lvlText w:val="●"/>
      <w:numFmt w:val="bullet"/>
      <w:start w:val="1"/>
    </w:lvl>
  </w:abstractNum>
  <w:abstractNum w:abstractNumId="59">
    <w:nsid w:val="76272110"/>
    <w:multiLevelType w:val="hybridMultilevel"/>
    <w:lvl w:ilvl="0">
      <w:lvlJc w:val="left"/>
      <w:lvlText w:val="(%1)"/>
      <w:numFmt w:val="decimal"/>
      <w:start w:val="1"/>
    </w:lvl>
  </w:abstractNum>
  <w:abstractNum w:abstractNumId="60">
    <w:nsid w:val="4C04A8AF"/>
    <w:multiLevelType w:val="hybridMultilevel"/>
    <w:lvl w:ilvl="0">
      <w:lvlJc w:val="left"/>
      <w:lvlText w:val="(%1)"/>
      <w:numFmt w:val="decimal"/>
      <w:start w:val="1"/>
    </w:lvl>
  </w:abstractNum>
  <w:abstractNum w:abstractNumId="61">
    <w:nsid w:val="1716703B"/>
    <w:multiLevelType w:val="hybridMultilevel"/>
    <w:lvl w:ilvl="0">
      <w:lvlJc w:val="left"/>
      <w:lvlText w:val="."/>
      <w:numFmt w:val="bullet"/>
      <w:start w:val="1"/>
    </w:lvl>
  </w:abstractNum>
  <w:abstractNum w:abstractNumId="62">
    <w:nsid w:val="14E17E33"/>
    <w:multiLevelType w:val="hybridMultilevel"/>
    <w:lvl w:ilvl="0">
      <w:lvlJc w:val="left"/>
      <w:lvlText w:val="(%1)"/>
      <w:numFmt w:val="lowerLetter"/>
      <w:start w:val="2"/>
    </w:lvl>
  </w:abstractNum>
  <w:abstractNum w:abstractNumId="63">
    <w:nsid w:val="3222E7CD"/>
    <w:multiLevelType w:val="hybridMultilevel"/>
    <w:lvl w:ilvl="0">
      <w:lvlJc w:val="left"/>
      <w:lvlText w:val="●"/>
      <w:numFmt w:val="bullet"/>
      <w:start w:val="1"/>
    </w:lvl>
  </w:abstractNum>
  <w:abstractNum w:abstractNumId="64">
    <w:nsid w:val="74DE0EE3"/>
    <w:multiLevelType w:val="hybridMultilevel"/>
    <w:lvl w:ilvl="0">
      <w:lvlJc w:val="left"/>
      <w:lvlText w:val="(%1)"/>
      <w:numFmt w:val="lowerLetter"/>
      <w:start w:val="1"/>
    </w:lvl>
  </w:abstractNum>
  <w:abstractNum w:abstractNumId="65">
    <w:nsid w:val="68EBC550"/>
    <w:multiLevelType w:val="hybridMultilevel"/>
    <w:lvl w:ilvl="0">
      <w:lvlJc w:val="left"/>
      <w:lvlText w:val="(%1)"/>
      <w:numFmt w:val="decimal"/>
      <w:start w:val="1"/>
    </w:lvl>
  </w:abstractNum>
  <w:abstractNum w:abstractNumId="66">
    <w:nsid w:val="2DF6D648"/>
    <w:multiLevelType w:val="hybridMultilevel"/>
    <w:lvl w:ilvl="0">
      <w:lvlJc w:val="left"/>
      <w:lvlText w:val="(%1)"/>
      <w:numFmt w:val="decimal"/>
      <w:start w:val="1"/>
    </w:lvl>
  </w:abstractNum>
  <w:abstractNum w:abstractNumId="67">
    <w:nsid w:val="46B7D447"/>
    <w:multiLevelType w:val="hybridMultilevel"/>
    <w:lvl w:ilvl="0">
      <w:lvlJc w:val="left"/>
      <w:lvlText w:val="(%1)"/>
      <w:numFmt w:val="decimal"/>
      <w:start w:val="1"/>
    </w:lvl>
  </w:abstractNum>
  <w:abstractNum w:abstractNumId="68">
    <w:nsid w:val="4A2AC315"/>
    <w:multiLevelType w:val="hybridMultilevel"/>
    <w:lvl w:ilvl="0">
      <w:lvlJc w:val="left"/>
      <w:lvlText w:val="●"/>
      <w:numFmt w:val="bullet"/>
      <w:start w:val="1"/>
    </w:lvl>
  </w:abstractNum>
  <w:abstractNum w:abstractNumId="69">
    <w:nsid w:val="39EE015C"/>
    <w:multiLevelType w:val="hybridMultilevel"/>
    <w:lvl w:ilvl="0">
      <w:lvlJc w:val="left"/>
      <w:lvlText w:val="●"/>
      <w:numFmt w:val="bullet"/>
      <w:start w:val="1"/>
    </w:lvl>
  </w:abstractNum>
  <w:abstractNum w:abstractNumId="70">
    <w:nsid w:val="57FC4FBB"/>
    <w:multiLevelType w:val="hybridMultilevel"/>
    <w:lvl w:ilvl="0">
      <w:lvlJc w:val="left"/>
      <w:lvlText w:val="(%1)"/>
      <w:numFmt w:val="decimal"/>
      <w:start w:val="1"/>
    </w:lvl>
  </w:abstractNum>
  <w:abstractNum w:abstractNumId="71">
    <w:nsid w:val="CC1016F"/>
    <w:multiLevelType w:val="hybridMultilevel"/>
    <w:lvl w:ilvl="0">
      <w:lvlJc w:val="left"/>
      <w:lvlText w:val="(%1)"/>
      <w:numFmt w:val="decimal"/>
      <w:start w:val="1"/>
    </w:lvl>
  </w:abstractNum>
  <w:abstractNum w:abstractNumId="72">
    <w:nsid w:val="43F18422"/>
    <w:multiLevelType w:val="hybridMultilevel"/>
    <w:lvl w:ilvl="0">
      <w:lvlJc w:val="left"/>
      <w:lvlText w:val="(%1)"/>
      <w:numFmt w:val="decimal"/>
      <w:start w:val="1"/>
    </w:lvl>
  </w:abstractNum>
  <w:abstractNum w:abstractNumId="73">
    <w:nsid w:val="60EF0119"/>
    <w:multiLevelType w:val="hybridMultilevel"/>
    <w:lvl w:ilvl="0">
      <w:lvlJc w:val="left"/>
      <w:lvlText w:val="(%1)"/>
      <w:numFmt w:val="decimal"/>
      <w:start w:val="1"/>
    </w:lvl>
  </w:abstractNum>
  <w:abstractNum w:abstractNumId="74">
    <w:nsid w:val="26F324BA"/>
    <w:multiLevelType w:val="hybridMultilevel"/>
    <w:lvl w:ilvl="0">
      <w:lvlJc w:val="left"/>
      <w:lvlText w:val="(%1)"/>
      <w:numFmt w:val="decimal"/>
      <w:start w:val="1"/>
    </w:lvl>
  </w:abstractNum>
  <w:abstractNum w:abstractNumId="75">
    <w:nsid w:val="7F01579B"/>
    <w:multiLevelType w:val="hybridMultilevel"/>
    <w:lvl w:ilvl="0">
      <w:lvlJc w:val="left"/>
      <w:lvlText w:val="(%1)"/>
      <w:numFmt w:val="decimal"/>
      <w:start w:val="1"/>
    </w:lvl>
  </w:abstractNum>
  <w:abstractNum w:abstractNumId="76">
    <w:nsid w:val="49DA307D"/>
    <w:multiLevelType w:val="hybridMultilevel"/>
    <w:lvl w:ilvl="0">
      <w:lvlJc w:val="left"/>
      <w:lvlText w:val="(%1)"/>
      <w:numFmt w:val="decimal"/>
      <w:start w:val="1"/>
    </w:lvl>
  </w:abstractNum>
  <w:abstractNum w:abstractNumId="77">
    <w:nsid w:val="7055A5F5"/>
    <w:multiLevelType w:val="hybridMultilevel"/>
    <w:lvl w:ilvl="0">
      <w:lvlJc w:val="left"/>
      <w:lvlText w:val="(%1)"/>
      <w:numFmt w:val="decimal"/>
      <w:start w:val="1"/>
    </w:lvl>
  </w:abstractNum>
  <w:abstractNum w:abstractNumId="78">
    <w:nsid w:val="5FB8370B"/>
    <w:multiLevelType w:val="hybridMultilevel"/>
    <w:lvl w:ilvl="0">
      <w:lvlJc w:val="left"/>
      <w:lvlText w:val="(%1)"/>
      <w:numFmt w:val="decimal"/>
      <w:start w:val="1"/>
    </w:lvl>
  </w:abstractNum>
  <w:abstractNum w:abstractNumId="79">
    <w:nsid w:val="50801EE1"/>
    <w:multiLevelType w:val="hybridMultilevel"/>
    <w:lvl w:ilvl="0">
      <w:lvlJc w:val="left"/>
      <w:lvlText w:val="(%1)"/>
      <w:numFmt w:val="decimal"/>
      <w:start w:val="1"/>
    </w:lvl>
  </w:abstractNum>
  <w:abstractNum w:abstractNumId="80">
    <w:nsid w:val="488AC1A"/>
    <w:multiLevelType w:val="hybridMultilevel"/>
    <w:lvl w:ilvl="0">
      <w:lvlJc w:val="left"/>
      <w:lvlText w:val="(%1)"/>
      <w:numFmt w:val="decimal"/>
      <w:start w:val="1"/>
    </w:lvl>
  </w:abstractNum>
  <w:abstractNum w:abstractNumId="81">
    <w:nsid w:val="5FB8011C"/>
    <w:multiLevelType w:val="hybridMultilevel"/>
    <w:lvl w:ilvl="0">
      <w:lvlJc w:val="left"/>
      <w:lvlText w:val="(%1)"/>
      <w:numFmt w:val="decimal"/>
      <w:start w:val="4"/>
    </w:lvl>
  </w:abstractNum>
  <w:abstractNum w:abstractNumId="82">
    <w:nsid w:val="6AA78F7F"/>
    <w:multiLevelType w:val="hybridMultilevel"/>
    <w:lvl w:ilvl="0">
      <w:lvlJc w:val="left"/>
      <w:lvlText w:val="(%1)"/>
      <w:numFmt w:val="decimal"/>
      <w:start w:val="1"/>
    </w:lvl>
  </w:abstractNum>
  <w:abstractNum w:abstractNumId="83">
    <w:nsid w:val="7672BD23"/>
    <w:multiLevelType w:val="hybridMultilevel"/>
    <w:lvl w:ilvl="0">
      <w:lvlJc w:val="left"/>
      <w:lvlText w:val="(%1)"/>
      <w:numFmt w:val="decimal"/>
      <w:start w:val="2"/>
    </w:lvl>
  </w:abstractNum>
  <w:abstractNum w:abstractNumId="84">
    <w:nsid w:val="6FC75AF8"/>
    <w:multiLevelType w:val="hybridMultilevel"/>
    <w:lvl w:ilvl="0">
      <w:lvlJc w:val="left"/>
      <w:lvlText w:val="(%1)"/>
      <w:numFmt w:val="decimal"/>
      <w:start w:val="1"/>
    </w:lvl>
  </w:abstractNum>
  <w:abstractNum w:abstractNumId="85">
    <w:nsid w:val="6A5F7029"/>
    <w:multiLevelType w:val="hybridMultilevel"/>
    <w:lvl w:ilvl="0">
      <w:lvlJc w:val="left"/>
      <w:lvlText w:val="(%1)"/>
      <w:numFmt w:val="decimal"/>
      <w:start w:val="1"/>
    </w:lvl>
  </w:abstractNum>
  <w:abstractNum w:abstractNumId="86">
    <w:nsid w:val="7D5E18F8"/>
    <w:multiLevelType w:val="hybridMultilevel"/>
    <w:lvl w:ilvl="0">
      <w:lvlJc w:val="left"/>
      <w:lvlText w:val="(%1)"/>
      <w:numFmt w:val="decimal"/>
      <w:start w:val="1"/>
    </w:lvl>
  </w:abstractNum>
  <w:abstractNum w:abstractNumId="87">
    <w:nsid w:val="5F3534A4"/>
    <w:multiLevelType w:val="hybridMultilevel"/>
    <w:lvl w:ilvl="0">
      <w:lvlJc w:val="left"/>
      <w:lvlText w:val="(%1)"/>
      <w:numFmt w:val="decimal"/>
      <w:start w:val="1"/>
    </w:lvl>
  </w:abstractNum>
  <w:abstractNum w:abstractNumId="88">
    <w:nsid w:val="73A1821B"/>
    <w:multiLevelType w:val="hybridMultilevel"/>
    <w:lvl w:ilvl="0">
      <w:lvlJc w:val="left"/>
      <w:lvlText w:val="(%1)"/>
      <w:numFmt w:val="decimal"/>
      <w:start w:val="1"/>
    </w:lvl>
  </w:abstractNum>
  <w:abstractNum w:abstractNumId="89">
    <w:nsid w:val="7DE67713"/>
    <w:multiLevelType w:val="hybridMultilevel"/>
    <w:lvl w:ilvl="0">
      <w:lvlJc w:val="left"/>
      <w:lvlText w:val="(%1)"/>
      <w:numFmt w:val="decimal"/>
      <w:start w:val="1"/>
    </w:lvl>
  </w:abstractNum>
  <w:abstractNum w:abstractNumId="90">
    <w:nsid w:val="555C55B5"/>
    <w:multiLevelType w:val="hybridMultilevel"/>
    <w:lvl w:ilvl="0">
      <w:lvlJc w:val="left"/>
      <w:lvlText w:val="●"/>
      <w:numFmt w:val="bullet"/>
      <w:start w:val="1"/>
    </w:lvl>
  </w:abstractNum>
  <w:abstractNum w:abstractNumId="91">
    <w:nsid w:val="3FA62ACA"/>
    <w:multiLevelType w:val="hybridMultilevel"/>
    <w:lvl w:ilvl="0">
      <w:lvlJc w:val="left"/>
      <w:lvlText w:val="●"/>
      <w:numFmt w:val="bullet"/>
      <w:start w:val="1"/>
    </w:lvl>
  </w:abstractNum>
  <w:abstractNum w:abstractNumId="92">
    <w:nsid w:val="14FCE74E"/>
    <w:multiLevelType w:val="hybridMultilevel"/>
    <w:lvl w:ilvl="0">
      <w:lvlJc w:val="left"/>
      <w:lvlText w:val="●"/>
      <w:numFmt w:val="bullet"/>
      <w:start w:val="1"/>
    </w:lvl>
  </w:abstractNum>
  <w:abstractNum w:abstractNumId="93">
    <w:nsid w:val="6A3DD3E8"/>
    <w:multiLevelType w:val="hybridMultilevel"/>
    <w:lvl w:ilvl="0">
      <w:lvlJc w:val="left"/>
      <w:lvlText w:val="(%1)"/>
      <w:numFmt w:val="decimal"/>
      <w:start w:val="1"/>
    </w:lvl>
  </w:abstractNum>
  <w:abstractNum w:abstractNumId="94">
    <w:nsid w:val="71C91298"/>
    <w:multiLevelType w:val="hybridMultilevel"/>
    <w:lvl w:ilvl="0">
      <w:lvlJc w:val="left"/>
      <w:lvlText w:val="(%1)"/>
      <w:numFmt w:val="decimal"/>
      <w:start w:val="2"/>
    </w:lvl>
  </w:abstractNum>
  <w:abstractNum w:abstractNumId="95">
    <w:nsid w:val="9DAF632"/>
    <w:multiLevelType w:val="hybridMultilevel"/>
    <w:lvl w:ilvl="0">
      <w:lvlJc w:val="left"/>
      <w:lvlText w:val="(%1)"/>
      <w:numFmt w:val="decimal"/>
      <w:start w:val="4"/>
    </w:lvl>
  </w:abstractNum>
  <w:abstractNum w:abstractNumId="96">
    <w:nsid w:val="53299938"/>
    <w:multiLevelType w:val="hybridMultilevel"/>
    <w:lvl w:ilvl="0">
      <w:lvlJc w:val="left"/>
      <w:lvlText w:val="(%1)"/>
      <w:numFmt w:val="decimal"/>
      <w:start w:val="7"/>
    </w:lvl>
  </w:abstractNum>
  <w:abstractNum w:abstractNumId="97">
    <w:nsid w:val="1FBFE8E0"/>
    <w:multiLevelType w:val="hybridMultilevel"/>
    <w:lvl w:ilvl="0">
      <w:lvlJc w:val="left"/>
      <w:lvlText w:val="●"/>
      <w:numFmt w:val="bullet"/>
      <w:start w:val="1"/>
    </w:lvl>
  </w:abstractNum>
  <w:abstractNum w:abstractNumId="98">
    <w:nsid w:val="5092CA79"/>
    <w:multiLevelType w:val="hybridMultilevel"/>
    <w:lvl w:ilvl="0">
      <w:lvlJc w:val="left"/>
      <w:lvlText w:val="●"/>
      <w:numFmt w:val="bullet"/>
      <w:start w:val="1"/>
    </w:lvl>
  </w:abstractNum>
  <w:abstractNum w:abstractNumId="99">
    <w:nsid w:val="1D545C4D"/>
    <w:multiLevelType w:val="hybridMultilevel"/>
    <w:lvl w:ilvl="0">
      <w:lvlJc w:val="left"/>
      <w:lvlText w:val="●"/>
      <w:numFmt w:val="bullet"/>
      <w:start w:val="1"/>
    </w:lvl>
  </w:abstractNum>
  <w:abstractNum w:abstractNumId="100">
    <w:nsid w:val="59ADEA3D"/>
    <w:multiLevelType w:val="hybridMultilevel"/>
    <w:lvl w:ilvl="0">
      <w:lvlJc w:val="left"/>
      <w:lvlText w:val="●"/>
      <w:numFmt w:val="bullet"/>
      <w:start w:val="1"/>
    </w:lvl>
  </w:abstractNum>
  <w:abstractNum w:abstractNumId="101">
    <w:nsid w:val="288F1A34"/>
    <w:multiLevelType w:val="hybridMultilevel"/>
    <w:lvl w:ilvl="0">
      <w:lvlJc w:val="left"/>
      <w:lvlText w:val="●"/>
      <w:numFmt w:val="bullet"/>
      <w:start w:val="1"/>
    </w:lvl>
  </w:abstractNum>
  <w:abstractNum w:abstractNumId="102">
    <w:nsid w:val="2A155DBC"/>
    <w:multiLevelType w:val="hybridMultilevel"/>
    <w:lvl w:ilvl="0">
      <w:lvlJc w:val="left"/>
      <w:lvlText w:val="(%1)"/>
      <w:numFmt w:val="lowerLetter"/>
      <w:start w:val="2"/>
    </w:lvl>
  </w:abstractNum>
  <w:abstractNum w:abstractNumId="103">
    <w:nsid w:val="1D9F6E5F"/>
    <w:multiLevelType w:val="hybridMultilevel"/>
    <w:lvl w:ilvl="0">
      <w:lvlJc w:val="left"/>
      <w:lvlText w:val="%1."/>
      <w:numFmt w:val="decimal"/>
      <w:start w:val="7"/>
    </w:lvl>
  </w:abstractNum>
  <w:abstractNum w:abstractNumId="104">
    <w:nsid w:val="97E1B4E"/>
    <w:multiLevelType w:val="hybridMultilevel"/>
    <w:lvl w:ilvl="0">
      <w:lvlJc w:val="left"/>
      <w:lvlText w:val="(%1)"/>
      <w:numFmt w:val="decimal"/>
      <w:start w:val="1"/>
    </w:lvl>
  </w:abstractNum>
  <w:abstractNum w:abstractNumId="105">
    <w:nsid w:val="51088277"/>
    <w:multiLevelType w:val="hybridMultilevel"/>
    <w:lvl w:ilvl="0">
      <w:lvlJc w:val="left"/>
      <w:lvlText w:val="(%1)"/>
      <w:numFmt w:val="decimal"/>
      <w:start w:val="1"/>
    </w:lvl>
  </w:abstractNum>
  <w:abstractNum w:abstractNumId="106">
    <w:nsid w:val="1CA0C5FA"/>
    <w:multiLevelType w:val="hybridMultilevel"/>
    <w:lvl w:ilvl="0">
      <w:lvlJc w:val="left"/>
      <w:lvlText w:val="%1."/>
      <w:numFmt w:val="upperLetter"/>
      <w:start w:val="1"/>
    </w:lvl>
  </w:abstractNum>
  <w:abstractNum w:abstractNumId="107">
    <w:nsid w:val="53584BCB"/>
    <w:multiLevelType w:val="hybridMultilevel"/>
    <w:lvl w:ilvl="0">
      <w:lvlJc w:val="left"/>
      <w:lvlText w:val="%1."/>
      <w:numFmt w:val="upperLetter"/>
      <w:start w:val="3"/>
    </w:lvl>
  </w:abstractNum>
  <w:abstractNum w:abstractNumId="108">
    <w:nsid w:val="415E286C"/>
    <w:multiLevelType w:val="hybridMultilevel"/>
    <w:lvl w:ilvl="0">
      <w:lvlJc w:val="left"/>
      <w:lvlText w:val="(%1)"/>
      <w:numFmt w:val="decimal"/>
      <w:start w:val="1"/>
    </w:lvl>
  </w:abstractNum>
  <w:abstractNum w:abstractNumId="109">
    <w:nsid w:val="7C58FD05"/>
    <w:multiLevelType w:val="hybridMultilevel"/>
    <w:lvl w:ilvl="0">
      <w:lvlJc w:val="left"/>
      <w:lvlText w:val="(%1)"/>
      <w:numFmt w:val="decimal"/>
      <w:start w:val="1"/>
    </w:lvl>
  </w:abstractNum>
  <w:abstractNum w:abstractNumId="110">
    <w:nsid w:val="23D86AAC"/>
    <w:multiLevelType w:val="hybridMultilevel"/>
    <w:lvl w:ilvl="0">
      <w:lvlJc w:val="left"/>
      <w:lvlText w:val="%1."/>
      <w:numFmt w:val="decimal"/>
      <w:start w:val="1"/>
    </w:lvl>
    <w:lvl w:ilvl="1">
      <w:lvlJc w:val="left"/>
      <w:lvlText w:val="(%2)"/>
      <w:numFmt w:val="lowerLetter"/>
      <w:start w:val="1"/>
    </w:lvl>
  </w:abstractNum>
  <w:abstractNum w:abstractNumId="111">
    <w:nsid w:val="45E6D486"/>
    <w:multiLevelType w:val="hybridMultilevel"/>
    <w:lvl w:ilvl="0">
      <w:lvlJc w:val="left"/>
      <w:lvlText w:val="%1."/>
      <w:numFmt w:val="decimal"/>
      <w:start w:val="1"/>
    </w:lvl>
    <w:lvl w:ilvl="1">
      <w:lvlJc w:val="left"/>
      <w:lvlText w:val="(%2)"/>
      <w:numFmt w:val="lowerLetter"/>
      <w:start w:val="1"/>
    </w:lvl>
  </w:abstractNum>
  <w:abstractNum w:abstractNumId="112">
    <w:nsid w:val="5C10FE21"/>
    <w:multiLevelType w:val="hybridMultilevel"/>
    <w:lvl w:ilvl="0">
      <w:lvlJc w:val="left"/>
      <w:lvlText w:val="%1."/>
      <w:numFmt w:val="decimal"/>
      <w:start w:val="1"/>
    </w:lvl>
    <w:lvl w:ilvl="1">
      <w:lvlJc w:val="left"/>
      <w:lvlText w:val="●"/>
      <w:numFmt w:val="bullet"/>
      <w:start w:val="1"/>
    </w:lvl>
  </w:abstractNum>
  <w:abstractNum w:abstractNumId="113">
    <w:nsid w:val="E7FFA2B"/>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2019-12-10T10:04:23Z</dcterms:created>
  <dcterms:modified xsi:type="dcterms:W3CDTF">2019-12-10T10:04:23Z</dcterms:modified>
</cp:coreProperties>
</file>